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D555EB">
      <w:pPr>
        <w:spacing w:line="240" w:lineRule="auto"/>
        <w:jc w:val="center"/>
        <w:rPr>
          <w:rFonts w:hint="eastAsia"/>
          <w:b/>
          <w:bCs/>
          <w:sz w:val="24"/>
          <w:szCs w:val="24"/>
          <w:lang w:val="en-US" w:eastAsia="zh-CN"/>
        </w:rPr>
      </w:pPr>
      <w:r>
        <w:rPr>
          <w:rFonts w:ascii="宋体" w:hAnsi="宋体" w:eastAsia="宋体" w:cs="宋体"/>
          <w:sz w:val="24"/>
          <w:szCs w:val="24"/>
        </w:rPr>
        <w:drawing>
          <wp:inline distT="0" distB="0" distL="114300" distR="114300">
            <wp:extent cx="6113780" cy="8292465"/>
            <wp:effectExtent l="0" t="0" r="1270" b="13335"/>
            <wp:docPr id="107" name="图片 107" descr="微信图片_20251014124607_227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51014124607_227_51"/>
                    <pic:cNvPicPr>
                      <a:picLocks noChangeAspect="1"/>
                    </pic:cNvPicPr>
                  </pic:nvPicPr>
                  <pic:blipFill>
                    <a:blip r:embed="rId6"/>
                    <a:srcRect l="7846" t="7958" r="4257" b="7742"/>
                    <a:stretch>
                      <a:fillRect/>
                    </a:stretch>
                  </pic:blipFill>
                  <pic:spPr>
                    <a:xfrm>
                      <a:off x="0" y="0"/>
                      <a:ext cx="6113780" cy="8292465"/>
                    </a:xfrm>
                    <a:prstGeom prst="rect">
                      <a:avLst/>
                    </a:prstGeom>
                  </pic:spPr>
                </pic:pic>
              </a:graphicData>
            </a:graphic>
          </wp:inline>
        </w:drawing>
      </w:r>
    </w:p>
    <w:p w14:paraId="24A1AA94">
      <w:pPr>
        <w:rPr>
          <w:rFonts w:ascii="Times New Roman" w:hAnsi="Times New Roman"/>
          <w:color w:val="auto"/>
          <w:sz w:val="36"/>
          <w:szCs w:val="36"/>
          <w:lang w:val="zh-CN"/>
        </w:rPr>
      </w:pPr>
      <w:r>
        <w:rPr>
          <w:rFonts w:ascii="Times New Roman" w:hAnsi="Times New Roman"/>
          <w:color w:val="auto"/>
          <w:sz w:val="36"/>
          <w:szCs w:val="36"/>
          <w:lang w:val="zh-CN"/>
        </w:rPr>
        <w:br w:type="page"/>
      </w:r>
    </w:p>
    <w:p w14:paraId="7203ED4E">
      <w:pPr>
        <w:pStyle w:val="178"/>
        <w:jc w:val="center"/>
        <w:rPr>
          <w:rFonts w:ascii="Times New Roman" w:hAnsi="Times New Roman"/>
          <w:color w:val="auto"/>
          <w:sz w:val="36"/>
          <w:szCs w:val="36"/>
          <w:lang w:val="zh-CN"/>
        </w:rPr>
      </w:pPr>
      <w:r>
        <w:rPr>
          <w:rFonts w:ascii="Times New Roman" w:hAnsi="Times New Roman"/>
          <w:color w:val="auto"/>
          <w:sz w:val="36"/>
          <w:szCs w:val="36"/>
          <w:lang w:val="zh-CN"/>
        </w:rPr>
        <w:t>目  录</w:t>
      </w:r>
    </w:p>
    <w:p w14:paraId="29402EF7"/>
    <w:p w14:paraId="1EABC7D6">
      <w:pPr>
        <w:pStyle w:val="33"/>
        <w:tabs>
          <w:tab w:val="right" w:leader="hyphen" w:pos="8844"/>
        </w:tabs>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_Toc27636 </w:instrText>
      </w:r>
      <w:r>
        <w:rPr>
          <w:rFonts w:hint="default" w:ascii="Times New Roman" w:hAnsi="Times New Roman" w:eastAsia="宋体" w:cs="Times New Roman"/>
          <w:szCs w:val="24"/>
        </w:rPr>
        <w:fldChar w:fldCharType="separate"/>
      </w:r>
      <w:r>
        <w:rPr>
          <w:rFonts w:ascii="黑体" w:hAnsi="黑体" w:eastAsia="黑体"/>
          <w:snapToGrid w:val="0"/>
          <w:szCs w:val="30"/>
        </w:rPr>
        <w:t>一、建设项目基本情况</w:t>
      </w:r>
      <w:r>
        <w:tab/>
      </w:r>
      <w:r>
        <w:fldChar w:fldCharType="begin"/>
      </w:r>
      <w:r>
        <w:instrText xml:space="preserve"> PAGEREF _Toc27636 \h </w:instrText>
      </w:r>
      <w:r>
        <w:fldChar w:fldCharType="separate"/>
      </w:r>
      <w:r>
        <w:t>1</w:t>
      </w:r>
      <w:r>
        <w:fldChar w:fldCharType="end"/>
      </w:r>
      <w:r>
        <w:rPr>
          <w:rFonts w:hint="default" w:ascii="Times New Roman" w:hAnsi="Times New Roman" w:eastAsia="宋体" w:cs="Times New Roman"/>
          <w:szCs w:val="24"/>
        </w:rPr>
        <w:fldChar w:fldCharType="end"/>
      </w:r>
    </w:p>
    <w:p w14:paraId="2DBC2C7C">
      <w:pPr>
        <w:pStyle w:val="33"/>
        <w:tabs>
          <w:tab w:val="right" w:leader="hyphen" w:pos="8844"/>
        </w:tabs>
      </w:pPr>
      <w:r>
        <w:rPr>
          <w:rFonts w:hint="default" w:ascii="Times New Roman" w:hAnsi="Times New Roman" w:eastAsia="宋体" w:cs="Times New Roman"/>
          <w:bCs/>
          <w:szCs w:val="24"/>
          <w:lang w:val="zh-CN"/>
        </w:rPr>
        <w:fldChar w:fldCharType="begin"/>
      </w:r>
      <w:r>
        <w:rPr>
          <w:rFonts w:hint="default" w:ascii="Times New Roman" w:hAnsi="Times New Roman" w:eastAsia="宋体" w:cs="Times New Roman"/>
          <w:bCs/>
          <w:szCs w:val="24"/>
          <w:lang w:val="zh-CN"/>
        </w:rPr>
        <w:instrText xml:space="preserve"> HYPERLINK \l _Toc17120 </w:instrText>
      </w:r>
      <w:r>
        <w:rPr>
          <w:rFonts w:hint="default" w:ascii="Times New Roman" w:hAnsi="Times New Roman" w:eastAsia="宋体" w:cs="Times New Roman"/>
          <w:bCs/>
          <w:szCs w:val="24"/>
          <w:lang w:val="zh-CN"/>
        </w:rPr>
        <w:fldChar w:fldCharType="separate"/>
      </w:r>
      <w:r>
        <w:rPr>
          <w:rFonts w:ascii="黑体" w:hAnsi="黑体" w:eastAsia="黑体"/>
          <w:snapToGrid w:val="0"/>
          <w:szCs w:val="30"/>
        </w:rPr>
        <w:t>二、建设项目工程分析</w:t>
      </w:r>
      <w:r>
        <w:tab/>
      </w:r>
      <w:r>
        <w:fldChar w:fldCharType="begin"/>
      </w:r>
      <w:r>
        <w:instrText xml:space="preserve"> PAGEREF _Toc17120 \h </w:instrText>
      </w:r>
      <w:r>
        <w:fldChar w:fldCharType="separate"/>
      </w:r>
      <w:r>
        <w:t>16</w:t>
      </w:r>
      <w:r>
        <w:fldChar w:fldCharType="end"/>
      </w:r>
      <w:r>
        <w:rPr>
          <w:rFonts w:hint="default" w:ascii="Times New Roman" w:hAnsi="Times New Roman" w:eastAsia="宋体" w:cs="Times New Roman"/>
          <w:bCs/>
          <w:szCs w:val="24"/>
          <w:lang w:val="zh-CN"/>
        </w:rPr>
        <w:fldChar w:fldCharType="end"/>
      </w:r>
    </w:p>
    <w:p w14:paraId="6DFACC47">
      <w:pPr>
        <w:pStyle w:val="33"/>
        <w:tabs>
          <w:tab w:val="right" w:leader="hyphen" w:pos="8844"/>
        </w:tabs>
      </w:pPr>
      <w:r>
        <w:rPr>
          <w:rFonts w:hint="default" w:ascii="Times New Roman" w:hAnsi="Times New Roman" w:eastAsia="宋体" w:cs="Times New Roman"/>
          <w:bCs/>
          <w:szCs w:val="24"/>
          <w:lang w:val="zh-CN"/>
        </w:rPr>
        <w:fldChar w:fldCharType="begin"/>
      </w:r>
      <w:r>
        <w:rPr>
          <w:rFonts w:hint="default" w:ascii="Times New Roman" w:hAnsi="Times New Roman" w:eastAsia="宋体" w:cs="Times New Roman"/>
          <w:bCs/>
          <w:szCs w:val="24"/>
          <w:lang w:val="zh-CN"/>
        </w:rPr>
        <w:instrText xml:space="preserve"> HYPERLINK \l _Toc30835 </w:instrText>
      </w:r>
      <w:r>
        <w:rPr>
          <w:rFonts w:hint="default" w:ascii="Times New Roman" w:hAnsi="Times New Roman" w:eastAsia="宋体" w:cs="Times New Roman"/>
          <w:bCs/>
          <w:szCs w:val="24"/>
          <w:lang w:val="zh-CN"/>
        </w:rPr>
        <w:fldChar w:fldCharType="separate"/>
      </w:r>
      <w:r>
        <w:rPr>
          <w:rFonts w:ascii="黑体" w:hAnsi="黑体" w:eastAsia="黑体"/>
          <w:snapToGrid w:val="0"/>
          <w:szCs w:val="30"/>
        </w:rPr>
        <w:t>三、区域环境质量现状、环境保护目标及评价标准</w:t>
      </w:r>
      <w:r>
        <w:tab/>
      </w:r>
      <w:r>
        <w:fldChar w:fldCharType="begin"/>
      </w:r>
      <w:r>
        <w:instrText xml:space="preserve"> PAGEREF _Toc30835 \h </w:instrText>
      </w:r>
      <w:r>
        <w:fldChar w:fldCharType="separate"/>
      </w:r>
      <w:r>
        <w:t>32</w:t>
      </w:r>
      <w:r>
        <w:fldChar w:fldCharType="end"/>
      </w:r>
      <w:r>
        <w:rPr>
          <w:rFonts w:hint="default" w:ascii="Times New Roman" w:hAnsi="Times New Roman" w:eastAsia="宋体" w:cs="Times New Roman"/>
          <w:bCs/>
          <w:szCs w:val="24"/>
          <w:lang w:val="zh-CN"/>
        </w:rPr>
        <w:fldChar w:fldCharType="end"/>
      </w:r>
    </w:p>
    <w:p w14:paraId="58F970AE">
      <w:pPr>
        <w:pStyle w:val="33"/>
        <w:tabs>
          <w:tab w:val="right" w:leader="hyphen" w:pos="8844"/>
        </w:tabs>
      </w:pPr>
      <w:r>
        <w:rPr>
          <w:rFonts w:hint="default" w:ascii="Times New Roman" w:hAnsi="Times New Roman" w:eastAsia="宋体" w:cs="Times New Roman"/>
          <w:bCs/>
          <w:szCs w:val="24"/>
          <w:lang w:val="zh-CN"/>
        </w:rPr>
        <w:fldChar w:fldCharType="begin"/>
      </w:r>
      <w:r>
        <w:rPr>
          <w:rFonts w:hint="default" w:ascii="Times New Roman" w:hAnsi="Times New Roman" w:eastAsia="宋体" w:cs="Times New Roman"/>
          <w:bCs/>
          <w:szCs w:val="24"/>
          <w:lang w:val="zh-CN"/>
        </w:rPr>
        <w:instrText xml:space="preserve"> HYPERLINK \l _Toc21692 </w:instrText>
      </w:r>
      <w:r>
        <w:rPr>
          <w:rFonts w:hint="default" w:ascii="Times New Roman" w:hAnsi="Times New Roman" w:eastAsia="宋体" w:cs="Times New Roman"/>
          <w:bCs/>
          <w:szCs w:val="24"/>
          <w:lang w:val="zh-CN"/>
        </w:rPr>
        <w:fldChar w:fldCharType="separate"/>
      </w:r>
      <w:r>
        <w:rPr>
          <w:rFonts w:ascii="黑体" w:hAnsi="黑体" w:eastAsia="黑体"/>
          <w:snapToGrid w:val="0"/>
          <w:szCs w:val="30"/>
        </w:rPr>
        <w:t>四、主要环境影响和保护措施</w:t>
      </w:r>
      <w:r>
        <w:tab/>
      </w:r>
      <w:r>
        <w:fldChar w:fldCharType="begin"/>
      </w:r>
      <w:r>
        <w:instrText xml:space="preserve"> PAGEREF _Toc21692 \h </w:instrText>
      </w:r>
      <w:r>
        <w:fldChar w:fldCharType="separate"/>
      </w:r>
      <w:r>
        <w:t>39</w:t>
      </w:r>
      <w:r>
        <w:fldChar w:fldCharType="end"/>
      </w:r>
      <w:r>
        <w:rPr>
          <w:rFonts w:hint="default" w:ascii="Times New Roman" w:hAnsi="Times New Roman" w:eastAsia="宋体" w:cs="Times New Roman"/>
          <w:bCs/>
          <w:szCs w:val="24"/>
          <w:lang w:val="zh-CN"/>
        </w:rPr>
        <w:fldChar w:fldCharType="end"/>
      </w:r>
    </w:p>
    <w:p w14:paraId="0E59EA18">
      <w:pPr>
        <w:pStyle w:val="33"/>
        <w:tabs>
          <w:tab w:val="right" w:leader="hyphen" w:pos="8844"/>
        </w:tabs>
      </w:pPr>
      <w:r>
        <w:rPr>
          <w:rFonts w:hint="default" w:ascii="Times New Roman" w:hAnsi="Times New Roman" w:eastAsia="宋体" w:cs="Times New Roman"/>
          <w:bCs/>
          <w:szCs w:val="24"/>
          <w:lang w:val="zh-CN"/>
        </w:rPr>
        <w:fldChar w:fldCharType="begin"/>
      </w:r>
      <w:r>
        <w:rPr>
          <w:rFonts w:hint="default" w:ascii="Times New Roman" w:hAnsi="Times New Roman" w:eastAsia="宋体" w:cs="Times New Roman"/>
          <w:bCs/>
          <w:szCs w:val="24"/>
          <w:lang w:val="zh-CN"/>
        </w:rPr>
        <w:instrText xml:space="preserve"> HYPERLINK \l _Toc11080 </w:instrText>
      </w:r>
      <w:r>
        <w:rPr>
          <w:rFonts w:hint="default" w:ascii="Times New Roman" w:hAnsi="Times New Roman" w:eastAsia="宋体" w:cs="Times New Roman"/>
          <w:bCs/>
          <w:szCs w:val="24"/>
          <w:lang w:val="zh-CN"/>
        </w:rPr>
        <w:fldChar w:fldCharType="separate"/>
      </w:r>
      <w:r>
        <w:rPr>
          <w:rFonts w:ascii="黑体" w:hAnsi="黑体" w:eastAsia="黑体"/>
          <w:snapToGrid w:val="0"/>
          <w:szCs w:val="30"/>
        </w:rPr>
        <w:t>五、环境保护措施监督检查清单</w:t>
      </w:r>
      <w:r>
        <w:tab/>
      </w:r>
      <w:r>
        <w:fldChar w:fldCharType="begin"/>
      </w:r>
      <w:r>
        <w:instrText xml:space="preserve"> PAGEREF _Toc11080 \h </w:instrText>
      </w:r>
      <w:r>
        <w:fldChar w:fldCharType="separate"/>
      </w:r>
      <w:r>
        <w:t>73</w:t>
      </w:r>
      <w:r>
        <w:fldChar w:fldCharType="end"/>
      </w:r>
      <w:r>
        <w:rPr>
          <w:rFonts w:hint="default" w:ascii="Times New Roman" w:hAnsi="Times New Roman" w:eastAsia="宋体" w:cs="Times New Roman"/>
          <w:bCs/>
          <w:szCs w:val="24"/>
          <w:lang w:val="zh-CN"/>
        </w:rPr>
        <w:fldChar w:fldCharType="end"/>
      </w:r>
    </w:p>
    <w:p w14:paraId="69E83BFA">
      <w:pPr>
        <w:pStyle w:val="33"/>
        <w:tabs>
          <w:tab w:val="right" w:leader="hyphen" w:pos="8844"/>
        </w:tabs>
      </w:pPr>
      <w:r>
        <w:rPr>
          <w:rFonts w:hint="default" w:ascii="Times New Roman" w:hAnsi="Times New Roman" w:eastAsia="宋体" w:cs="Times New Roman"/>
          <w:bCs/>
          <w:szCs w:val="24"/>
          <w:lang w:val="zh-CN"/>
        </w:rPr>
        <w:fldChar w:fldCharType="begin"/>
      </w:r>
      <w:r>
        <w:rPr>
          <w:rFonts w:hint="default" w:ascii="Times New Roman" w:hAnsi="Times New Roman" w:eastAsia="宋体" w:cs="Times New Roman"/>
          <w:bCs/>
          <w:szCs w:val="24"/>
          <w:lang w:val="zh-CN"/>
        </w:rPr>
        <w:instrText xml:space="preserve"> HYPERLINK \l _Toc13950 </w:instrText>
      </w:r>
      <w:r>
        <w:rPr>
          <w:rFonts w:hint="default" w:ascii="Times New Roman" w:hAnsi="Times New Roman" w:eastAsia="宋体" w:cs="Times New Roman"/>
          <w:bCs/>
          <w:szCs w:val="24"/>
          <w:lang w:val="zh-CN"/>
        </w:rPr>
        <w:fldChar w:fldCharType="separate"/>
      </w:r>
      <w:r>
        <w:rPr>
          <w:rFonts w:ascii="黑体" w:hAnsi="黑体" w:eastAsia="黑体"/>
          <w:snapToGrid w:val="0"/>
          <w:szCs w:val="30"/>
        </w:rPr>
        <w:t>六、结论</w:t>
      </w:r>
      <w:r>
        <w:tab/>
      </w:r>
      <w:r>
        <w:fldChar w:fldCharType="begin"/>
      </w:r>
      <w:r>
        <w:instrText xml:space="preserve"> PAGEREF _Toc13950 \h </w:instrText>
      </w:r>
      <w:r>
        <w:fldChar w:fldCharType="separate"/>
      </w:r>
      <w:r>
        <w:t>76</w:t>
      </w:r>
      <w:r>
        <w:fldChar w:fldCharType="end"/>
      </w:r>
      <w:r>
        <w:rPr>
          <w:rFonts w:hint="default" w:ascii="Times New Roman" w:hAnsi="Times New Roman" w:eastAsia="宋体" w:cs="Times New Roman"/>
          <w:bCs/>
          <w:szCs w:val="24"/>
          <w:lang w:val="zh-CN"/>
        </w:rPr>
        <w:fldChar w:fldCharType="end"/>
      </w:r>
    </w:p>
    <w:p w14:paraId="2F85B476">
      <w:pPr>
        <w:pStyle w:val="71"/>
        <w:ind w:firstLine="720" w:firstLineChars="300"/>
        <w:rPr>
          <w:lang w:val="zh-CN"/>
        </w:rPr>
      </w:pPr>
      <w:r>
        <w:rPr>
          <w:rFonts w:hint="default" w:ascii="Times New Roman" w:hAnsi="Times New Roman" w:eastAsia="宋体" w:cs="Times New Roman"/>
          <w:bCs/>
          <w:szCs w:val="24"/>
          <w:lang w:val="zh-CN"/>
        </w:rPr>
        <w:fldChar w:fldCharType="end"/>
      </w:r>
    </w:p>
    <w:p w14:paraId="2DB87A25">
      <w:pPr>
        <w:pStyle w:val="50"/>
        <w:ind w:left="0" w:leftChars="0" w:firstLine="0" w:firstLineChars="0"/>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321EC87">
      <w:pPr>
        <w:pStyle w:val="47"/>
        <w:jc w:val="center"/>
        <w:outlineLvl w:val="0"/>
        <w:rPr>
          <w:rFonts w:ascii="黑体" w:hAnsi="黑体" w:eastAsia="黑体"/>
          <w:snapToGrid w:val="0"/>
          <w:sz w:val="30"/>
          <w:szCs w:val="30"/>
        </w:rPr>
      </w:pPr>
      <w:bookmarkStart w:id="0" w:name="_Toc27636"/>
      <w:r>
        <w:rPr>
          <w:rFonts w:ascii="黑体" w:hAnsi="黑体" w:eastAsia="黑体"/>
          <w:snapToGrid w:val="0"/>
          <w:sz w:val="30"/>
          <w:szCs w:val="30"/>
        </w:rPr>
        <w:t>一、建设项目基本情况</w:t>
      </w:r>
      <w:bookmarkEnd w:id="0"/>
    </w:p>
    <w:tbl>
      <w:tblPr>
        <w:tblStyle w:val="51"/>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80"/>
        <w:gridCol w:w="2252"/>
        <w:gridCol w:w="1741"/>
        <w:gridCol w:w="3674"/>
      </w:tblGrid>
      <w:tr w14:paraId="145EF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5B423D73">
            <w:pPr>
              <w:adjustRightInd w:val="0"/>
              <w:snapToGrid w:val="0"/>
              <w:jc w:val="center"/>
              <w:rPr>
                <w:sz w:val="24"/>
              </w:rPr>
            </w:pPr>
            <w:r>
              <w:rPr>
                <w:sz w:val="24"/>
              </w:rPr>
              <w:t>建设项目名称</w:t>
            </w:r>
          </w:p>
        </w:tc>
        <w:tc>
          <w:tcPr>
            <w:tcW w:w="4332" w:type="pct"/>
            <w:gridSpan w:val="3"/>
            <w:vAlign w:val="center"/>
          </w:tcPr>
          <w:p w14:paraId="06E38297">
            <w:pPr>
              <w:adjustRightInd w:val="0"/>
              <w:snapToGrid w:val="0"/>
              <w:jc w:val="center"/>
              <w:rPr>
                <w:sz w:val="24"/>
              </w:rPr>
            </w:pPr>
            <w:r>
              <w:rPr>
                <w:rFonts w:hint="eastAsia"/>
                <w:sz w:val="24"/>
              </w:rPr>
              <w:t>祁阳市绕城公路加油站项目</w:t>
            </w:r>
          </w:p>
        </w:tc>
      </w:tr>
      <w:tr w14:paraId="6AA6F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042A44CC">
            <w:pPr>
              <w:adjustRightInd w:val="0"/>
              <w:snapToGrid w:val="0"/>
              <w:jc w:val="center"/>
              <w:rPr>
                <w:sz w:val="24"/>
              </w:rPr>
            </w:pPr>
            <w:r>
              <w:rPr>
                <w:sz w:val="24"/>
              </w:rPr>
              <w:t>项目代码</w:t>
            </w:r>
          </w:p>
        </w:tc>
        <w:tc>
          <w:tcPr>
            <w:tcW w:w="4332" w:type="pct"/>
            <w:gridSpan w:val="3"/>
            <w:vAlign w:val="center"/>
          </w:tcPr>
          <w:p w14:paraId="37F916D1">
            <w:pPr>
              <w:adjustRightInd w:val="0"/>
              <w:snapToGrid w:val="0"/>
              <w:jc w:val="center"/>
              <w:rPr>
                <w:rFonts w:hint="default" w:eastAsia="宋体"/>
                <w:sz w:val="24"/>
                <w:lang w:val="en-US" w:eastAsia="zh-CN"/>
              </w:rPr>
            </w:pPr>
            <w:r>
              <w:rPr>
                <w:rFonts w:hint="eastAsia"/>
                <w:sz w:val="24"/>
                <w:lang w:val="en-US" w:eastAsia="zh-CN"/>
              </w:rPr>
              <w:t>2209-431121-04-05-630400</w:t>
            </w:r>
          </w:p>
        </w:tc>
      </w:tr>
      <w:tr w14:paraId="41515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256D3064">
            <w:pPr>
              <w:adjustRightInd w:val="0"/>
              <w:snapToGrid w:val="0"/>
              <w:jc w:val="center"/>
              <w:rPr>
                <w:sz w:val="24"/>
              </w:rPr>
            </w:pPr>
            <w:r>
              <w:rPr>
                <w:sz w:val="24"/>
              </w:rPr>
              <w:t>建设单位联系人</w:t>
            </w:r>
          </w:p>
        </w:tc>
        <w:tc>
          <w:tcPr>
            <w:tcW w:w="1273" w:type="pct"/>
            <w:vAlign w:val="center"/>
          </w:tcPr>
          <w:p w14:paraId="1FD42559">
            <w:pPr>
              <w:adjustRightInd w:val="0"/>
              <w:snapToGrid w:val="0"/>
              <w:jc w:val="center"/>
              <w:rPr>
                <w:rFonts w:hint="default" w:eastAsia="宋体"/>
                <w:sz w:val="24"/>
                <w:lang w:val="en-US" w:eastAsia="zh-CN"/>
              </w:rPr>
            </w:pPr>
            <w:r>
              <w:rPr>
                <w:rFonts w:hint="eastAsia"/>
                <w:sz w:val="24"/>
                <w:lang w:val="en-US" w:eastAsia="zh-CN"/>
              </w:rPr>
              <w:t>周恺</w:t>
            </w:r>
          </w:p>
        </w:tc>
        <w:tc>
          <w:tcPr>
            <w:tcW w:w="983" w:type="pct"/>
            <w:vAlign w:val="center"/>
          </w:tcPr>
          <w:p w14:paraId="17DE64AB">
            <w:pPr>
              <w:adjustRightInd w:val="0"/>
              <w:snapToGrid w:val="0"/>
              <w:jc w:val="center"/>
              <w:rPr>
                <w:sz w:val="24"/>
              </w:rPr>
            </w:pPr>
            <w:r>
              <w:rPr>
                <w:sz w:val="24"/>
              </w:rPr>
              <w:t>联系方式</w:t>
            </w:r>
          </w:p>
        </w:tc>
        <w:tc>
          <w:tcPr>
            <w:tcW w:w="2076" w:type="pct"/>
            <w:vAlign w:val="center"/>
          </w:tcPr>
          <w:p w14:paraId="06C3E490">
            <w:pPr>
              <w:adjustRightInd w:val="0"/>
              <w:snapToGrid w:val="0"/>
              <w:jc w:val="center"/>
              <w:rPr>
                <w:sz w:val="24"/>
              </w:rPr>
            </w:pPr>
            <w:r>
              <w:rPr>
                <w:rFonts w:hint="eastAsia"/>
                <w:sz w:val="24"/>
              </w:rPr>
              <w:t>189</w:t>
            </w:r>
            <w:r>
              <w:rPr>
                <w:rFonts w:hint="eastAsia"/>
                <w:sz w:val="24"/>
                <w:lang w:val="en-US" w:eastAsia="zh-CN"/>
              </w:rPr>
              <w:t>****</w:t>
            </w:r>
            <w:bookmarkStart w:id="50" w:name="_GoBack"/>
            <w:bookmarkEnd w:id="50"/>
            <w:r>
              <w:rPr>
                <w:rFonts w:hint="eastAsia"/>
                <w:sz w:val="24"/>
              </w:rPr>
              <w:t>7463</w:t>
            </w:r>
          </w:p>
        </w:tc>
      </w:tr>
      <w:tr w14:paraId="71FBB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61C9E6E0">
            <w:pPr>
              <w:adjustRightInd w:val="0"/>
              <w:snapToGrid w:val="0"/>
              <w:jc w:val="center"/>
              <w:rPr>
                <w:sz w:val="24"/>
              </w:rPr>
            </w:pPr>
            <w:r>
              <w:rPr>
                <w:sz w:val="24"/>
              </w:rPr>
              <w:t>建设地点</w:t>
            </w:r>
          </w:p>
        </w:tc>
        <w:tc>
          <w:tcPr>
            <w:tcW w:w="4332" w:type="pct"/>
            <w:gridSpan w:val="3"/>
            <w:vAlign w:val="center"/>
          </w:tcPr>
          <w:p w14:paraId="6DD011AA">
            <w:pPr>
              <w:adjustRightInd w:val="0"/>
              <w:snapToGrid w:val="0"/>
              <w:jc w:val="center"/>
              <w:rPr>
                <w:sz w:val="24"/>
              </w:rPr>
            </w:pPr>
            <w:r>
              <w:rPr>
                <w:rFonts w:hint="eastAsia"/>
                <w:sz w:val="24"/>
                <w:lang w:val="en-US" w:eastAsia="zh-CN"/>
              </w:rPr>
              <w:t>湖南省永州市祁阳市长虹街道长虹社区九组祁阳大道铁路涵桥以北东侧</w:t>
            </w:r>
          </w:p>
        </w:tc>
      </w:tr>
      <w:tr w14:paraId="58E37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2279161A">
            <w:pPr>
              <w:adjustRightInd w:val="0"/>
              <w:snapToGrid w:val="0"/>
              <w:jc w:val="center"/>
              <w:rPr>
                <w:sz w:val="24"/>
              </w:rPr>
            </w:pPr>
            <w:r>
              <w:rPr>
                <w:sz w:val="24"/>
              </w:rPr>
              <w:t>地理坐标</w:t>
            </w:r>
          </w:p>
        </w:tc>
        <w:tc>
          <w:tcPr>
            <w:tcW w:w="4332" w:type="pct"/>
            <w:gridSpan w:val="3"/>
            <w:vAlign w:val="center"/>
          </w:tcPr>
          <w:p w14:paraId="68FA3F1B">
            <w:pPr>
              <w:jc w:val="center"/>
              <w:rPr>
                <w:sz w:val="24"/>
              </w:rPr>
            </w:pPr>
            <w:r>
              <w:rPr>
                <w:rFonts w:hint="eastAsia" w:ascii="Times New Roman" w:hAnsi="Times New Roman" w:cs="Times New Roman"/>
                <w:sz w:val="24"/>
                <w:lang w:val="en-US" w:eastAsia="zh-CN"/>
              </w:rPr>
              <w:t>东经</w:t>
            </w:r>
            <w:r>
              <w:rPr>
                <w:rFonts w:hint="default" w:ascii="Times New Roman" w:hAnsi="Times New Roman" w:cs="Times New Roman"/>
                <w:sz w:val="24"/>
              </w:rPr>
              <w:t>110°3′45.60</w:t>
            </w:r>
            <w:r>
              <w:rPr>
                <w:rFonts w:hint="eastAsia" w:ascii="Times New Roman" w:hAnsi="Times New Roman" w:cs="Times New Roman"/>
                <w:sz w:val="24"/>
                <w:lang w:val="en-US" w:eastAsia="zh-CN"/>
              </w:rPr>
              <w:t>6</w:t>
            </w:r>
            <w:r>
              <w:rPr>
                <w:rFonts w:hint="default" w:ascii="Times New Roman" w:hAnsi="Times New Roman" w:cs="Times New Roman"/>
                <w:sz w:val="24"/>
              </w:rPr>
              <w:t>″</w:t>
            </w:r>
            <w:r>
              <w:rPr>
                <w:sz w:val="24"/>
              </w:rPr>
              <w:t>，北纬</w:t>
            </w:r>
            <w:r>
              <w:rPr>
                <w:rFonts w:hint="default" w:ascii="Times New Roman" w:hAnsi="Times New Roman" w:cs="Times New Roman"/>
                <w:sz w:val="24"/>
              </w:rPr>
              <w:t>27°35′12.373″</w:t>
            </w:r>
          </w:p>
        </w:tc>
      </w:tr>
      <w:tr w14:paraId="5DF13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67" w:type="pct"/>
            <w:tcMar>
              <w:top w:w="16" w:type="dxa"/>
              <w:left w:w="16" w:type="dxa"/>
              <w:right w:w="16" w:type="dxa"/>
            </w:tcMar>
            <w:vAlign w:val="center"/>
          </w:tcPr>
          <w:p w14:paraId="1565CDA7">
            <w:pPr>
              <w:adjustRightInd w:val="0"/>
              <w:snapToGrid w:val="0"/>
              <w:jc w:val="center"/>
              <w:rPr>
                <w:sz w:val="24"/>
              </w:rPr>
            </w:pPr>
            <w:r>
              <w:rPr>
                <w:sz w:val="24"/>
              </w:rPr>
              <w:t>国民经济</w:t>
            </w:r>
          </w:p>
          <w:p w14:paraId="1043AEA4">
            <w:pPr>
              <w:adjustRightInd w:val="0"/>
              <w:snapToGrid w:val="0"/>
              <w:jc w:val="center"/>
              <w:rPr>
                <w:sz w:val="24"/>
              </w:rPr>
            </w:pPr>
            <w:r>
              <w:rPr>
                <w:sz w:val="24"/>
              </w:rPr>
              <w:t>行业类别</w:t>
            </w:r>
          </w:p>
        </w:tc>
        <w:tc>
          <w:tcPr>
            <w:tcW w:w="1273" w:type="pct"/>
            <w:vAlign w:val="center"/>
          </w:tcPr>
          <w:p w14:paraId="6E248BAB">
            <w:pPr>
              <w:adjustRightInd w:val="0"/>
              <w:snapToGrid w:val="0"/>
              <w:jc w:val="center"/>
              <w:rPr>
                <w:sz w:val="24"/>
              </w:rPr>
            </w:pPr>
            <w:r>
              <w:rPr>
                <w:sz w:val="24"/>
              </w:rPr>
              <w:t>机动车燃油零售</w:t>
            </w:r>
          </w:p>
          <w:p w14:paraId="2978BB76">
            <w:pPr>
              <w:adjustRightInd w:val="0"/>
              <w:snapToGrid w:val="0"/>
              <w:jc w:val="center"/>
              <w:rPr>
                <w:sz w:val="24"/>
              </w:rPr>
            </w:pPr>
            <w:r>
              <w:rPr>
                <w:sz w:val="24"/>
              </w:rPr>
              <w:t>F5265</w:t>
            </w:r>
          </w:p>
        </w:tc>
        <w:tc>
          <w:tcPr>
            <w:tcW w:w="983" w:type="pct"/>
            <w:vAlign w:val="center"/>
          </w:tcPr>
          <w:p w14:paraId="714F5871">
            <w:pPr>
              <w:adjustRightInd w:val="0"/>
              <w:snapToGrid w:val="0"/>
              <w:jc w:val="center"/>
              <w:rPr>
                <w:sz w:val="24"/>
              </w:rPr>
            </w:pPr>
            <w:bookmarkStart w:id="1" w:name="_Hlk49843745"/>
            <w:r>
              <w:rPr>
                <w:sz w:val="24"/>
              </w:rPr>
              <w:t>建设项目</w:t>
            </w:r>
          </w:p>
          <w:p w14:paraId="337D2BC7">
            <w:pPr>
              <w:adjustRightInd w:val="0"/>
              <w:snapToGrid w:val="0"/>
              <w:jc w:val="center"/>
              <w:rPr>
                <w:sz w:val="24"/>
              </w:rPr>
            </w:pPr>
            <w:r>
              <w:rPr>
                <w:sz w:val="24"/>
              </w:rPr>
              <w:t>行业类别</w:t>
            </w:r>
            <w:bookmarkEnd w:id="1"/>
          </w:p>
        </w:tc>
        <w:tc>
          <w:tcPr>
            <w:tcW w:w="2076" w:type="pct"/>
            <w:vAlign w:val="center"/>
          </w:tcPr>
          <w:p w14:paraId="3732CF8A">
            <w:pPr>
              <w:adjustRightInd w:val="0"/>
              <w:snapToGrid w:val="0"/>
              <w:jc w:val="center"/>
            </w:pPr>
            <w:r>
              <w:rPr>
                <w:sz w:val="24"/>
              </w:rPr>
              <w:t>五十、社会事业与服务业 119加油、加气站</w:t>
            </w:r>
          </w:p>
        </w:tc>
      </w:tr>
      <w:tr w14:paraId="624E6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67" w:type="pct"/>
            <w:tcMar>
              <w:top w:w="16" w:type="dxa"/>
              <w:left w:w="16" w:type="dxa"/>
              <w:right w:w="16" w:type="dxa"/>
            </w:tcMar>
            <w:vAlign w:val="center"/>
          </w:tcPr>
          <w:p w14:paraId="275C887D">
            <w:pPr>
              <w:adjustRightInd w:val="0"/>
              <w:snapToGrid w:val="0"/>
              <w:jc w:val="center"/>
              <w:rPr>
                <w:sz w:val="24"/>
              </w:rPr>
            </w:pPr>
            <w:r>
              <w:rPr>
                <w:sz w:val="24"/>
              </w:rPr>
              <w:t>建设性质</w:t>
            </w:r>
          </w:p>
        </w:tc>
        <w:tc>
          <w:tcPr>
            <w:tcW w:w="1273" w:type="pct"/>
            <w:vAlign w:val="center"/>
          </w:tcPr>
          <w:p w14:paraId="65C2E6DA">
            <w:pPr>
              <w:jc w:val="left"/>
              <w:rPr>
                <w:sz w:val="24"/>
              </w:rPr>
            </w:pPr>
            <w:r>
              <w:rPr>
                <w:sz w:val="24"/>
              </w:rPr>
              <w:sym w:font="Wingdings 2" w:char="0052"/>
            </w:r>
            <w:r>
              <w:rPr>
                <w:sz w:val="24"/>
              </w:rPr>
              <w:t>新建（迁建）</w:t>
            </w:r>
          </w:p>
          <w:p w14:paraId="5C7E337D">
            <w:pPr>
              <w:jc w:val="left"/>
              <w:rPr>
                <w:sz w:val="24"/>
              </w:rPr>
            </w:pPr>
            <w:r>
              <w:rPr>
                <w:sz w:val="24"/>
              </w:rPr>
              <w:t>□改建</w:t>
            </w:r>
          </w:p>
          <w:p w14:paraId="22F036D5">
            <w:pPr>
              <w:jc w:val="left"/>
              <w:rPr>
                <w:sz w:val="24"/>
              </w:rPr>
            </w:pPr>
            <w:r>
              <w:rPr>
                <w:sz w:val="24"/>
              </w:rPr>
              <w:t>□扩建</w:t>
            </w:r>
          </w:p>
          <w:p w14:paraId="395160AF">
            <w:pPr>
              <w:jc w:val="left"/>
              <w:rPr>
                <w:sz w:val="24"/>
              </w:rPr>
            </w:pPr>
            <w:r>
              <w:rPr>
                <w:sz w:val="24"/>
              </w:rPr>
              <w:t>□技术改造</w:t>
            </w:r>
          </w:p>
        </w:tc>
        <w:tc>
          <w:tcPr>
            <w:tcW w:w="983" w:type="pct"/>
            <w:vAlign w:val="center"/>
          </w:tcPr>
          <w:p w14:paraId="1B3ED91B">
            <w:pPr>
              <w:adjustRightInd w:val="0"/>
              <w:snapToGrid w:val="0"/>
              <w:jc w:val="center"/>
              <w:rPr>
                <w:sz w:val="24"/>
              </w:rPr>
            </w:pPr>
            <w:r>
              <w:rPr>
                <w:sz w:val="24"/>
              </w:rPr>
              <w:t>建设项目</w:t>
            </w:r>
          </w:p>
          <w:p w14:paraId="162202BC">
            <w:pPr>
              <w:adjustRightInd w:val="0"/>
              <w:snapToGrid w:val="0"/>
              <w:jc w:val="center"/>
              <w:rPr>
                <w:sz w:val="24"/>
              </w:rPr>
            </w:pPr>
            <w:r>
              <w:rPr>
                <w:sz w:val="24"/>
              </w:rPr>
              <w:t>申报情形</w:t>
            </w:r>
          </w:p>
        </w:tc>
        <w:tc>
          <w:tcPr>
            <w:tcW w:w="2076" w:type="pct"/>
            <w:vAlign w:val="center"/>
          </w:tcPr>
          <w:p w14:paraId="54752D81">
            <w:pPr>
              <w:jc w:val="left"/>
              <w:rPr>
                <w:sz w:val="24"/>
              </w:rPr>
            </w:pPr>
            <w:r>
              <w:rPr>
                <w:sz w:val="24"/>
              </w:rPr>
              <w:sym w:font="Wingdings 2" w:char="0052"/>
            </w:r>
            <w:r>
              <w:rPr>
                <w:sz w:val="24"/>
              </w:rPr>
              <w:t>首次申报项目</w:t>
            </w:r>
          </w:p>
          <w:p w14:paraId="7DAB6A99">
            <w:pPr>
              <w:jc w:val="left"/>
              <w:rPr>
                <w:sz w:val="24"/>
              </w:rPr>
            </w:pPr>
            <w:r>
              <w:rPr>
                <w:sz w:val="24"/>
              </w:rPr>
              <w:t>□不予批准后再次申报项目</w:t>
            </w:r>
          </w:p>
          <w:p w14:paraId="7A997679">
            <w:pPr>
              <w:jc w:val="left"/>
              <w:rPr>
                <w:sz w:val="24"/>
              </w:rPr>
            </w:pPr>
            <w:r>
              <w:rPr>
                <w:sz w:val="24"/>
              </w:rPr>
              <w:t>□超五年重新审核项目</w:t>
            </w:r>
          </w:p>
          <w:p w14:paraId="2C69CA4C">
            <w:pPr>
              <w:jc w:val="left"/>
              <w:rPr>
                <w:sz w:val="24"/>
              </w:rPr>
            </w:pPr>
            <w:r>
              <w:rPr>
                <w:sz w:val="24"/>
              </w:rPr>
              <w:t>□重大变动重新报批项目</w:t>
            </w:r>
          </w:p>
        </w:tc>
      </w:tr>
      <w:tr w14:paraId="1B9DD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667" w:type="pct"/>
            <w:tcMar>
              <w:top w:w="16" w:type="dxa"/>
              <w:left w:w="16" w:type="dxa"/>
              <w:right w:w="16" w:type="dxa"/>
            </w:tcMar>
            <w:vAlign w:val="center"/>
          </w:tcPr>
          <w:p w14:paraId="362A2933">
            <w:pPr>
              <w:adjustRightInd w:val="0"/>
              <w:snapToGrid w:val="0"/>
              <w:jc w:val="center"/>
              <w:rPr>
                <w:sz w:val="24"/>
              </w:rPr>
            </w:pPr>
            <w:r>
              <w:rPr>
                <w:sz w:val="24"/>
              </w:rPr>
              <w:t>项目审批（核准/备案）部门（选填）</w:t>
            </w:r>
          </w:p>
        </w:tc>
        <w:tc>
          <w:tcPr>
            <w:tcW w:w="1273" w:type="pct"/>
            <w:vAlign w:val="center"/>
          </w:tcPr>
          <w:p w14:paraId="3FEEF316">
            <w:pPr>
              <w:adjustRightInd w:val="0"/>
              <w:snapToGrid w:val="0"/>
              <w:jc w:val="center"/>
              <w:rPr>
                <w:rFonts w:hint="eastAsia" w:eastAsia="宋体"/>
                <w:sz w:val="24"/>
                <w:lang w:val="en-US" w:eastAsia="zh-CN"/>
              </w:rPr>
            </w:pPr>
            <w:r>
              <w:rPr>
                <w:rFonts w:hint="eastAsia"/>
                <w:sz w:val="24"/>
                <w:lang w:val="en-US" w:eastAsia="zh-CN"/>
              </w:rPr>
              <w:t>祁阳市</w:t>
            </w:r>
            <w:r>
              <w:rPr>
                <w:sz w:val="24"/>
              </w:rPr>
              <w:t>发展和改革</w:t>
            </w:r>
            <w:r>
              <w:rPr>
                <w:rFonts w:hint="eastAsia"/>
                <w:sz w:val="24"/>
                <w:lang w:val="en-US" w:eastAsia="zh-CN"/>
              </w:rPr>
              <w:t>局</w:t>
            </w:r>
          </w:p>
        </w:tc>
        <w:tc>
          <w:tcPr>
            <w:tcW w:w="983" w:type="pct"/>
            <w:vAlign w:val="center"/>
          </w:tcPr>
          <w:p w14:paraId="3A579CAE">
            <w:pPr>
              <w:adjustRightInd w:val="0"/>
              <w:snapToGrid w:val="0"/>
              <w:jc w:val="center"/>
              <w:rPr>
                <w:sz w:val="24"/>
              </w:rPr>
            </w:pPr>
            <w:r>
              <w:rPr>
                <w:sz w:val="24"/>
              </w:rPr>
              <w:t>项目审批（核准/</w:t>
            </w:r>
          </w:p>
          <w:p w14:paraId="4E5C6DF1">
            <w:pPr>
              <w:adjustRightInd w:val="0"/>
              <w:snapToGrid w:val="0"/>
              <w:jc w:val="center"/>
              <w:rPr>
                <w:sz w:val="24"/>
              </w:rPr>
            </w:pPr>
            <w:r>
              <w:rPr>
                <w:sz w:val="24"/>
              </w:rPr>
              <w:t>备案）文号（选填）</w:t>
            </w:r>
          </w:p>
        </w:tc>
        <w:tc>
          <w:tcPr>
            <w:tcW w:w="2076" w:type="pct"/>
            <w:vAlign w:val="center"/>
          </w:tcPr>
          <w:p w14:paraId="49DA7861">
            <w:pPr>
              <w:adjustRightInd w:val="0"/>
              <w:snapToGrid w:val="0"/>
              <w:jc w:val="center"/>
              <w:rPr>
                <w:rFonts w:hint="default" w:eastAsia="宋体"/>
                <w:sz w:val="24"/>
                <w:lang w:val="en-US" w:eastAsia="zh-CN"/>
              </w:rPr>
            </w:pPr>
            <w:r>
              <w:rPr>
                <w:rFonts w:hint="eastAsia"/>
                <w:sz w:val="24"/>
                <w:lang w:val="en-US" w:eastAsia="zh-CN"/>
              </w:rPr>
              <w:t>祁发改备【2025】26号</w:t>
            </w:r>
          </w:p>
        </w:tc>
      </w:tr>
      <w:tr w14:paraId="3C9F6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7" w:type="pct"/>
            <w:tcMar>
              <w:top w:w="16" w:type="dxa"/>
              <w:left w:w="16" w:type="dxa"/>
              <w:right w:w="16" w:type="dxa"/>
            </w:tcMar>
            <w:vAlign w:val="center"/>
          </w:tcPr>
          <w:p w14:paraId="0521E645">
            <w:pPr>
              <w:adjustRightInd w:val="0"/>
              <w:snapToGrid w:val="0"/>
              <w:jc w:val="center"/>
              <w:rPr>
                <w:sz w:val="24"/>
              </w:rPr>
            </w:pPr>
            <w:r>
              <w:rPr>
                <w:sz w:val="24"/>
              </w:rPr>
              <w:t>总投资（万元）</w:t>
            </w:r>
          </w:p>
        </w:tc>
        <w:tc>
          <w:tcPr>
            <w:tcW w:w="1273" w:type="pct"/>
            <w:vAlign w:val="center"/>
          </w:tcPr>
          <w:p w14:paraId="2DB22AB4">
            <w:pPr>
              <w:adjustRightInd w:val="0"/>
              <w:snapToGrid w:val="0"/>
              <w:jc w:val="center"/>
              <w:rPr>
                <w:rFonts w:hint="default" w:eastAsia="宋体"/>
                <w:sz w:val="24"/>
                <w:lang w:val="en-US" w:eastAsia="zh-CN"/>
              </w:rPr>
            </w:pPr>
            <w:r>
              <w:rPr>
                <w:rFonts w:hint="eastAsia"/>
                <w:sz w:val="24"/>
                <w:lang w:val="en-US" w:eastAsia="zh-CN"/>
              </w:rPr>
              <w:t>4000</w:t>
            </w:r>
          </w:p>
        </w:tc>
        <w:tc>
          <w:tcPr>
            <w:tcW w:w="983" w:type="pct"/>
            <w:tcMar>
              <w:top w:w="16" w:type="dxa"/>
              <w:left w:w="16" w:type="dxa"/>
              <w:right w:w="16" w:type="dxa"/>
            </w:tcMar>
            <w:vAlign w:val="center"/>
          </w:tcPr>
          <w:p w14:paraId="36252C46">
            <w:pPr>
              <w:adjustRightInd w:val="0"/>
              <w:snapToGrid w:val="0"/>
              <w:jc w:val="center"/>
              <w:rPr>
                <w:sz w:val="24"/>
              </w:rPr>
            </w:pPr>
            <w:r>
              <w:rPr>
                <w:sz w:val="24"/>
              </w:rPr>
              <w:t>环保投资（万元）</w:t>
            </w:r>
          </w:p>
        </w:tc>
        <w:tc>
          <w:tcPr>
            <w:tcW w:w="2076" w:type="pct"/>
            <w:vAlign w:val="center"/>
          </w:tcPr>
          <w:p w14:paraId="78105967">
            <w:pPr>
              <w:adjustRightInd w:val="0"/>
              <w:snapToGrid w:val="0"/>
              <w:jc w:val="center"/>
              <w:rPr>
                <w:rFonts w:hint="default" w:eastAsia="宋体"/>
                <w:sz w:val="24"/>
                <w:lang w:val="en-US" w:eastAsia="zh-CN"/>
              </w:rPr>
            </w:pPr>
            <w:r>
              <w:rPr>
                <w:rFonts w:hint="eastAsia"/>
                <w:sz w:val="24"/>
                <w:lang w:val="en-US" w:eastAsia="zh-CN"/>
              </w:rPr>
              <w:t>154</w:t>
            </w:r>
          </w:p>
        </w:tc>
      </w:tr>
      <w:tr w14:paraId="2B7AB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7" w:type="pct"/>
            <w:tcMar>
              <w:top w:w="16" w:type="dxa"/>
              <w:left w:w="16" w:type="dxa"/>
              <w:right w:w="16" w:type="dxa"/>
            </w:tcMar>
            <w:vAlign w:val="center"/>
          </w:tcPr>
          <w:p w14:paraId="42D89B7F">
            <w:pPr>
              <w:adjustRightInd w:val="0"/>
              <w:snapToGrid w:val="0"/>
              <w:jc w:val="center"/>
              <w:rPr>
                <w:sz w:val="24"/>
              </w:rPr>
            </w:pPr>
            <w:r>
              <w:rPr>
                <w:sz w:val="24"/>
              </w:rPr>
              <w:t>环保投资占比（%）</w:t>
            </w:r>
          </w:p>
        </w:tc>
        <w:tc>
          <w:tcPr>
            <w:tcW w:w="1273" w:type="pct"/>
            <w:vAlign w:val="center"/>
          </w:tcPr>
          <w:p w14:paraId="615375D4">
            <w:pPr>
              <w:adjustRightInd w:val="0"/>
              <w:snapToGrid w:val="0"/>
              <w:jc w:val="center"/>
              <w:rPr>
                <w:rFonts w:hint="default" w:eastAsia="宋体"/>
                <w:sz w:val="24"/>
                <w:lang w:val="en-US" w:eastAsia="zh-CN"/>
              </w:rPr>
            </w:pPr>
            <w:r>
              <w:rPr>
                <w:rFonts w:hint="eastAsia"/>
                <w:sz w:val="24"/>
                <w:lang w:val="en-US" w:eastAsia="zh-CN"/>
              </w:rPr>
              <w:t>3.85</w:t>
            </w:r>
          </w:p>
        </w:tc>
        <w:tc>
          <w:tcPr>
            <w:tcW w:w="983" w:type="pct"/>
            <w:tcMar>
              <w:top w:w="16" w:type="dxa"/>
              <w:left w:w="16" w:type="dxa"/>
              <w:right w:w="16" w:type="dxa"/>
            </w:tcMar>
            <w:vAlign w:val="center"/>
          </w:tcPr>
          <w:p w14:paraId="060B14AE">
            <w:pPr>
              <w:adjustRightInd w:val="0"/>
              <w:snapToGrid w:val="0"/>
              <w:jc w:val="center"/>
              <w:rPr>
                <w:sz w:val="24"/>
              </w:rPr>
            </w:pPr>
            <w:r>
              <w:rPr>
                <w:sz w:val="24"/>
              </w:rPr>
              <w:t>施工工期</w:t>
            </w:r>
          </w:p>
        </w:tc>
        <w:tc>
          <w:tcPr>
            <w:tcW w:w="2076" w:type="pct"/>
            <w:vAlign w:val="center"/>
          </w:tcPr>
          <w:p w14:paraId="0BF68942">
            <w:pPr>
              <w:adjustRightInd w:val="0"/>
              <w:snapToGrid w:val="0"/>
              <w:jc w:val="center"/>
              <w:rPr>
                <w:sz w:val="24"/>
              </w:rPr>
            </w:pPr>
            <w:r>
              <w:rPr>
                <w:sz w:val="24"/>
              </w:rPr>
              <w:t>6个月</w:t>
            </w:r>
          </w:p>
        </w:tc>
      </w:tr>
      <w:tr w14:paraId="54B97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67" w:type="pct"/>
            <w:tcMar>
              <w:top w:w="16" w:type="dxa"/>
              <w:left w:w="16" w:type="dxa"/>
              <w:right w:w="16" w:type="dxa"/>
            </w:tcMar>
            <w:vAlign w:val="center"/>
          </w:tcPr>
          <w:p w14:paraId="6086DFB8">
            <w:pPr>
              <w:adjustRightInd w:val="0"/>
              <w:snapToGrid w:val="0"/>
              <w:jc w:val="center"/>
              <w:rPr>
                <w:sz w:val="24"/>
              </w:rPr>
            </w:pPr>
            <w:r>
              <w:rPr>
                <w:sz w:val="24"/>
              </w:rPr>
              <w:t>是否开工建设</w:t>
            </w:r>
          </w:p>
        </w:tc>
        <w:tc>
          <w:tcPr>
            <w:tcW w:w="1273" w:type="pct"/>
            <w:vAlign w:val="center"/>
          </w:tcPr>
          <w:p w14:paraId="60847908">
            <w:pPr>
              <w:adjustRightInd w:val="0"/>
              <w:snapToGrid w:val="0"/>
              <w:rPr>
                <w:sz w:val="24"/>
              </w:rPr>
            </w:pPr>
            <w:r>
              <w:rPr>
                <w:sz w:val="24"/>
              </w:rPr>
              <w:sym w:font="Wingdings 2" w:char="0052"/>
            </w:r>
            <w:r>
              <w:rPr>
                <w:sz w:val="24"/>
              </w:rPr>
              <w:t>否</w:t>
            </w:r>
          </w:p>
          <w:p w14:paraId="41FE482F">
            <w:pPr>
              <w:adjustRightInd w:val="0"/>
              <w:snapToGrid w:val="0"/>
              <w:rPr>
                <w:sz w:val="24"/>
              </w:rPr>
            </w:pPr>
            <w:r>
              <w:rPr>
                <w:rFonts w:hint="eastAsia"/>
                <w:sz w:val="24"/>
                <w:lang w:eastAsia="zh-CN"/>
              </w:rPr>
              <w:t>□</w:t>
            </w:r>
            <w:r>
              <w:rPr>
                <w:sz w:val="24"/>
              </w:rPr>
              <w:t xml:space="preserve">是：        </w:t>
            </w:r>
          </w:p>
        </w:tc>
        <w:tc>
          <w:tcPr>
            <w:tcW w:w="983" w:type="pct"/>
            <w:tcMar>
              <w:top w:w="16" w:type="dxa"/>
              <w:left w:w="16" w:type="dxa"/>
              <w:right w:w="16" w:type="dxa"/>
            </w:tcMar>
            <w:vAlign w:val="center"/>
          </w:tcPr>
          <w:p w14:paraId="0C51B340">
            <w:pPr>
              <w:adjustRightInd w:val="0"/>
              <w:snapToGrid w:val="0"/>
              <w:jc w:val="center"/>
              <w:rPr>
                <w:spacing w:val="-6"/>
                <w:sz w:val="24"/>
              </w:rPr>
            </w:pPr>
            <w:r>
              <w:rPr>
                <w:spacing w:val="-6"/>
                <w:sz w:val="24"/>
              </w:rPr>
              <w:t>用地（用海）</w:t>
            </w:r>
          </w:p>
          <w:p w14:paraId="3A376A5C">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076" w:type="pct"/>
            <w:vAlign w:val="center"/>
          </w:tcPr>
          <w:p w14:paraId="51F4203C">
            <w:pPr>
              <w:adjustRightInd w:val="0"/>
              <w:snapToGrid w:val="0"/>
              <w:jc w:val="center"/>
              <w:rPr>
                <w:rFonts w:hint="default" w:eastAsia="宋体"/>
                <w:sz w:val="24"/>
                <w:lang w:val="en-US" w:eastAsia="zh-CN"/>
              </w:rPr>
            </w:pPr>
            <w:r>
              <w:rPr>
                <w:rFonts w:hint="eastAsia"/>
                <w:sz w:val="24"/>
                <w:lang w:val="en-US" w:eastAsia="zh-CN"/>
              </w:rPr>
              <w:t>2000.23</w:t>
            </w:r>
          </w:p>
        </w:tc>
      </w:tr>
      <w:tr w14:paraId="4E70D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pct"/>
            <w:vAlign w:val="center"/>
          </w:tcPr>
          <w:p w14:paraId="3A14ED6C">
            <w:pPr>
              <w:autoSpaceDE w:val="0"/>
              <w:autoSpaceDN w:val="0"/>
              <w:adjustRightInd w:val="0"/>
              <w:snapToGrid w:val="0"/>
              <w:jc w:val="center"/>
              <w:rPr>
                <w:kern w:val="0"/>
                <w:sz w:val="24"/>
              </w:rPr>
            </w:pPr>
            <w:r>
              <w:rPr>
                <w:kern w:val="0"/>
                <w:sz w:val="24"/>
              </w:rPr>
              <w:t>专项评价设置情况</w:t>
            </w:r>
          </w:p>
        </w:tc>
        <w:tc>
          <w:tcPr>
            <w:tcW w:w="4332" w:type="pct"/>
            <w:gridSpan w:val="3"/>
            <w:vAlign w:val="center"/>
          </w:tcPr>
          <w:p w14:paraId="638B9C65">
            <w:pPr>
              <w:autoSpaceDE w:val="0"/>
              <w:autoSpaceDN w:val="0"/>
              <w:adjustRightInd w:val="0"/>
              <w:snapToGrid w:val="0"/>
              <w:jc w:val="center"/>
              <w:rPr>
                <w:sz w:val="24"/>
                <w:szCs w:val="32"/>
              </w:rPr>
            </w:pPr>
            <w:r>
              <w:rPr>
                <w:sz w:val="24"/>
                <w:szCs w:val="32"/>
              </w:rPr>
              <w:t>无</w:t>
            </w:r>
          </w:p>
        </w:tc>
      </w:tr>
      <w:tr w14:paraId="48640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67" w:type="pct"/>
            <w:vAlign w:val="center"/>
          </w:tcPr>
          <w:p w14:paraId="59130A69">
            <w:pPr>
              <w:autoSpaceDE w:val="0"/>
              <w:autoSpaceDN w:val="0"/>
              <w:adjustRightInd w:val="0"/>
              <w:snapToGrid w:val="0"/>
              <w:jc w:val="center"/>
              <w:rPr>
                <w:kern w:val="0"/>
                <w:sz w:val="24"/>
              </w:rPr>
            </w:pPr>
            <w:r>
              <w:rPr>
                <w:sz w:val="24"/>
              </w:rPr>
              <w:t>规划情况</w:t>
            </w:r>
          </w:p>
        </w:tc>
        <w:tc>
          <w:tcPr>
            <w:tcW w:w="4332" w:type="pct"/>
            <w:gridSpan w:val="3"/>
            <w:vAlign w:val="center"/>
          </w:tcPr>
          <w:p w14:paraId="2CDE0F29">
            <w:pPr>
              <w:widowControl/>
              <w:autoSpaceDE w:val="0"/>
              <w:autoSpaceDN w:val="0"/>
              <w:adjustRightInd w:val="0"/>
              <w:snapToGrid w:val="0"/>
              <w:spacing w:line="360" w:lineRule="auto"/>
              <w:jc w:val="center"/>
              <w:rPr>
                <w:sz w:val="21"/>
                <w:szCs w:val="21"/>
              </w:rPr>
            </w:pPr>
            <w:r>
              <w:rPr>
                <w:sz w:val="24"/>
                <w:szCs w:val="32"/>
              </w:rPr>
              <w:t>无</w:t>
            </w:r>
          </w:p>
        </w:tc>
      </w:tr>
      <w:tr w14:paraId="1CB7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1F747659">
            <w:pPr>
              <w:adjustRightInd w:val="0"/>
              <w:snapToGrid w:val="0"/>
              <w:jc w:val="center"/>
              <w:rPr>
                <w:kern w:val="0"/>
                <w:sz w:val="24"/>
              </w:rPr>
            </w:pPr>
            <w:r>
              <w:rPr>
                <w:sz w:val="24"/>
              </w:rPr>
              <w:t>规划环境影响评价情况</w:t>
            </w:r>
          </w:p>
        </w:tc>
        <w:tc>
          <w:tcPr>
            <w:tcW w:w="4332" w:type="pct"/>
            <w:gridSpan w:val="3"/>
            <w:vAlign w:val="center"/>
          </w:tcPr>
          <w:p w14:paraId="3FF1D88B">
            <w:pPr>
              <w:widowControl/>
              <w:spacing w:line="360" w:lineRule="auto"/>
              <w:jc w:val="center"/>
              <w:rPr>
                <w:kern w:val="0"/>
                <w:sz w:val="24"/>
              </w:rPr>
            </w:pPr>
            <w:r>
              <w:rPr>
                <w:sz w:val="24"/>
              </w:rPr>
              <w:t>无</w:t>
            </w:r>
          </w:p>
        </w:tc>
      </w:tr>
      <w:tr w14:paraId="70508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pct"/>
            <w:vAlign w:val="center"/>
          </w:tcPr>
          <w:p w14:paraId="0F922975">
            <w:pPr>
              <w:autoSpaceDE w:val="0"/>
              <w:autoSpaceDN w:val="0"/>
              <w:adjustRightInd w:val="0"/>
              <w:snapToGrid w:val="0"/>
              <w:jc w:val="center"/>
              <w:rPr>
                <w:kern w:val="0"/>
                <w:sz w:val="24"/>
              </w:rPr>
            </w:pPr>
            <w:r>
              <w:rPr>
                <w:kern w:val="0"/>
                <w:sz w:val="24"/>
              </w:rPr>
              <w:t>规划及规划环境影响评价符合性分析</w:t>
            </w:r>
          </w:p>
        </w:tc>
        <w:tc>
          <w:tcPr>
            <w:tcW w:w="4332" w:type="pct"/>
            <w:gridSpan w:val="3"/>
            <w:vAlign w:val="center"/>
          </w:tcPr>
          <w:p w14:paraId="2097D3D1">
            <w:pPr>
              <w:autoSpaceDE w:val="0"/>
              <w:autoSpaceDN w:val="0"/>
              <w:adjustRightInd w:val="0"/>
              <w:snapToGrid w:val="0"/>
              <w:spacing w:line="360" w:lineRule="auto"/>
              <w:jc w:val="center"/>
              <w:rPr>
                <w:kern w:val="0"/>
                <w:sz w:val="24"/>
                <w:u w:val="single"/>
              </w:rPr>
            </w:pPr>
            <w:r>
              <w:rPr>
                <w:sz w:val="24"/>
              </w:rPr>
              <w:t>无</w:t>
            </w:r>
          </w:p>
        </w:tc>
      </w:tr>
      <w:tr w14:paraId="16935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7" w:type="pct"/>
            <w:vAlign w:val="center"/>
          </w:tcPr>
          <w:p w14:paraId="3442B140">
            <w:pPr>
              <w:autoSpaceDE w:val="0"/>
              <w:autoSpaceDN w:val="0"/>
              <w:adjustRightInd w:val="0"/>
              <w:snapToGrid w:val="0"/>
              <w:jc w:val="center"/>
              <w:rPr>
                <w:kern w:val="0"/>
                <w:sz w:val="24"/>
              </w:rPr>
            </w:pPr>
            <w:r>
              <w:rPr>
                <w:kern w:val="0"/>
                <w:sz w:val="24"/>
              </w:rPr>
              <w:t>其他符合性分析</w:t>
            </w:r>
          </w:p>
        </w:tc>
        <w:tc>
          <w:tcPr>
            <w:tcW w:w="4332" w:type="pct"/>
            <w:gridSpan w:val="3"/>
            <w:vAlign w:val="center"/>
          </w:tcPr>
          <w:p w14:paraId="072187B2">
            <w:pPr>
              <w:wordWrap w:val="0"/>
              <w:topLinePunct/>
              <w:adjustRightInd w:val="0"/>
              <w:snapToGrid w:val="0"/>
              <w:spacing w:before="120" w:beforeLines="50" w:line="360" w:lineRule="auto"/>
              <w:rPr>
                <w:sz w:val="24"/>
              </w:rPr>
            </w:pPr>
            <w:r>
              <w:rPr>
                <w:b/>
                <w:kern w:val="0"/>
                <w:sz w:val="24"/>
                <w:szCs w:val="32"/>
              </w:rPr>
              <w:t>1</w:t>
            </w:r>
            <w:r>
              <w:rPr>
                <w:rFonts w:hint="eastAsia"/>
                <w:b/>
                <w:kern w:val="0"/>
                <w:sz w:val="24"/>
                <w:szCs w:val="32"/>
                <w:lang w:val="en-US" w:eastAsia="zh-CN"/>
              </w:rPr>
              <w:t xml:space="preserve">.1 </w:t>
            </w:r>
            <w:r>
              <w:rPr>
                <w:b/>
                <w:kern w:val="0"/>
                <w:sz w:val="24"/>
                <w:szCs w:val="32"/>
              </w:rPr>
              <w:t>与</w:t>
            </w:r>
            <w:r>
              <w:rPr>
                <w:rFonts w:hint="eastAsia"/>
                <w:b/>
                <w:kern w:val="0"/>
                <w:sz w:val="24"/>
                <w:szCs w:val="32"/>
                <w:lang w:val="en-US" w:eastAsia="zh-CN"/>
              </w:rPr>
              <w:t>祁阳市“生态环境分区管控”</w:t>
            </w:r>
            <w:r>
              <w:rPr>
                <w:b/>
                <w:kern w:val="0"/>
                <w:sz w:val="24"/>
                <w:szCs w:val="32"/>
              </w:rPr>
              <w:t>符合性分析</w:t>
            </w:r>
          </w:p>
          <w:p w14:paraId="3FF21E66">
            <w:pPr>
              <w:pStyle w:val="71"/>
              <w:wordWrap w:val="0"/>
              <w:topLinePunct/>
              <w:autoSpaceDE/>
              <w:autoSpaceDN/>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1 \* GB3 </w:instrText>
            </w:r>
            <w:r>
              <w:rPr>
                <w:rFonts w:ascii="Times New Roman" w:hAnsi="Times New Roman" w:cs="Times New Roman"/>
                <w:color w:val="auto"/>
              </w:rPr>
              <w:fldChar w:fldCharType="separate"/>
            </w:r>
            <w:r>
              <w:rPr>
                <w:rFonts w:ascii="Times New Roman" w:hAnsi="Times New Roman" w:cs="Times New Roman"/>
                <w:color w:val="auto"/>
              </w:rPr>
              <w:t>①</w:t>
            </w:r>
            <w:r>
              <w:rPr>
                <w:rFonts w:ascii="Times New Roman" w:hAnsi="Times New Roman" w:cs="Times New Roman"/>
                <w:color w:val="auto"/>
              </w:rPr>
              <w:fldChar w:fldCharType="end"/>
            </w:r>
            <w:r>
              <w:rPr>
                <w:rFonts w:ascii="Times New Roman" w:hAnsi="Times New Roman" w:cs="Times New Roman"/>
                <w:color w:val="auto"/>
              </w:rPr>
              <w:t>生态红线</w:t>
            </w:r>
          </w:p>
          <w:p w14:paraId="359F01D2">
            <w:pPr>
              <w:pStyle w:val="71"/>
              <w:wordWrap w:val="0"/>
              <w:topLinePunct/>
              <w:autoSpaceDE/>
              <w:autoSpaceDN/>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val="en-US" w:eastAsia="zh-CN"/>
              </w:rPr>
              <w:t>本项目位于祁阳市祁阳大道铁路涵桥以北东侧，</w:t>
            </w:r>
            <w:r>
              <w:rPr>
                <w:rFonts w:ascii="Times New Roman" w:hAnsi="Times New Roman" w:cs="Times New Roman"/>
                <w:color w:val="auto"/>
              </w:rPr>
              <w:t>根据湖南省人民政府关于印发《湖南省生态保护红线》的通知湘政发〔2018〕20号(2018年7月25日)</w:t>
            </w:r>
            <w:r>
              <w:rPr>
                <w:rFonts w:hint="eastAsia" w:ascii="Times New Roman" w:hAnsi="Times New Roman" w:cs="Times New Roman"/>
                <w:color w:val="auto"/>
                <w:lang w:val="en-US" w:eastAsia="zh-CN"/>
              </w:rPr>
              <w:t>和《祁阳市国土空间总体规划（2021-2035年）》中的08 市域生态保护红线图</w:t>
            </w:r>
            <w:r>
              <w:rPr>
                <w:rFonts w:ascii="Times New Roman" w:hAnsi="Times New Roman" w:cs="Times New Roman"/>
                <w:color w:val="auto"/>
              </w:rPr>
              <w:t>，项目</w:t>
            </w:r>
            <w:r>
              <w:rPr>
                <w:rFonts w:hint="eastAsia" w:ascii="Times New Roman" w:hAnsi="Times New Roman" w:cs="Times New Roman"/>
                <w:color w:val="auto"/>
                <w:lang w:val="en-US" w:eastAsia="zh-CN"/>
              </w:rPr>
              <w:t>用</w:t>
            </w:r>
            <w:r>
              <w:rPr>
                <w:rFonts w:ascii="Times New Roman" w:hAnsi="Times New Roman" w:cs="Times New Roman"/>
                <w:color w:val="auto"/>
              </w:rPr>
              <w:t>地不属于生态红线区域。</w:t>
            </w:r>
          </w:p>
          <w:p w14:paraId="7F354935">
            <w:pPr>
              <w:pStyle w:val="71"/>
              <w:wordWrap w:val="0"/>
              <w:topLinePunct/>
              <w:autoSpaceDE/>
              <w:autoSpaceDN/>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 2 \* GB3 </w:instrText>
            </w:r>
            <w:r>
              <w:rPr>
                <w:rFonts w:ascii="Times New Roman" w:hAnsi="Times New Roman" w:cs="Times New Roman"/>
                <w:color w:val="auto"/>
              </w:rPr>
              <w:fldChar w:fldCharType="separate"/>
            </w:r>
            <w:r>
              <w:rPr>
                <w:rFonts w:ascii="Times New Roman" w:hAnsi="Times New Roman" w:cs="Times New Roman"/>
                <w:color w:val="auto"/>
              </w:rPr>
              <w:t>②</w:t>
            </w:r>
            <w:r>
              <w:rPr>
                <w:rFonts w:ascii="Times New Roman" w:hAnsi="Times New Roman" w:cs="Times New Roman"/>
                <w:color w:val="auto"/>
              </w:rPr>
              <w:fldChar w:fldCharType="end"/>
            </w:r>
            <w:r>
              <w:rPr>
                <w:rFonts w:ascii="Times New Roman" w:hAnsi="Times New Roman" w:cs="Times New Roman"/>
                <w:color w:val="auto"/>
              </w:rPr>
              <w:t>环境质量底线</w:t>
            </w:r>
          </w:p>
          <w:p w14:paraId="59437CB1">
            <w:pPr>
              <w:wordWrap w:val="0"/>
              <w:topLinePunct/>
              <w:adjustRightInd w:val="0"/>
              <w:snapToGrid w:val="0"/>
              <w:spacing w:line="360" w:lineRule="auto"/>
              <w:ind w:firstLine="454"/>
              <w:rPr>
                <w:snapToGrid w:val="0"/>
                <w:kern w:val="0"/>
                <w:sz w:val="24"/>
              </w:rPr>
            </w:pPr>
            <w:r>
              <w:rPr>
                <w:sz w:val="24"/>
              </w:rPr>
              <w:t>根据区域202</w:t>
            </w:r>
            <w:r>
              <w:rPr>
                <w:rFonts w:hint="eastAsia"/>
                <w:sz w:val="24"/>
                <w:lang w:val="en-US" w:eastAsia="zh-CN"/>
              </w:rPr>
              <w:t>4</w:t>
            </w:r>
            <w:r>
              <w:rPr>
                <w:sz w:val="24"/>
              </w:rPr>
              <w:t>年环境空气质量年报可知，项目地环境空气质量符合《环境空气质量标准》（GB3095-2012）中的二级标准，区域地表水符合《地表水环境质量标准》（GB3838-2002）III类标准，声环境执行《声环境质量标准》(GB3095-2008)的2类及4a类区标准。项目建设地符合环境质量底线要求。</w:t>
            </w:r>
          </w:p>
          <w:p w14:paraId="3CEE0DF1">
            <w:pPr>
              <w:wordWrap w:val="0"/>
              <w:topLinePunct/>
              <w:adjustRightInd w:val="0"/>
              <w:snapToGrid w:val="0"/>
              <w:spacing w:line="360" w:lineRule="auto"/>
              <w:ind w:firstLine="480" w:firstLineChars="200"/>
              <w:rPr>
                <w:kern w:val="0"/>
                <w:sz w:val="24"/>
              </w:rPr>
            </w:pPr>
            <w:r>
              <w:rPr>
                <w:sz w:val="24"/>
              </w:rPr>
              <w:t>本项目大气污染物主要包括油气废气、机动车尾气，各污染物均能实现达标排放，对周围环境质量影响较小；</w:t>
            </w:r>
            <w:r>
              <w:rPr>
                <w:kern w:val="21"/>
                <w:sz w:val="24"/>
              </w:rPr>
              <w:t>本项目产生的废水包括</w:t>
            </w:r>
            <w:r>
              <w:rPr>
                <w:rFonts w:hint="eastAsia"/>
                <w:sz w:val="24"/>
                <w:szCs w:val="32"/>
                <w:lang w:eastAsia="zh-CN"/>
              </w:rPr>
              <w:t>地面清洁废水、</w:t>
            </w:r>
            <w:r>
              <w:rPr>
                <w:rFonts w:hint="eastAsia"/>
                <w:sz w:val="24"/>
                <w:szCs w:val="32"/>
                <w:lang w:val="en-US" w:eastAsia="zh-CN"/>
              </w:rPr>
              <w:t>员工</w:t>
            </w:r>
            <w:r>
              <w:rPr>
                <w:sz w:val="24"/>
                <w:szCs w:val="32"/>
              </w:rPr>
              <w:t>生活污水、</w:t>
            </w:r>
            <w:r>
              <w:rPr>
                <w:rFonts w:hint="eastAsia"/>
                <w:sz w:val="24"/>
                <w:szCs w:val="32"/>
                <w:lang w:eastAsia="zh-CN"/>
              </w:rPr>
              <w:t>公共卫生间废水</w:t>
            </w:r>
            <w:r>
              <w:rPr>
                <w:sz w:val="24"/>
                <w:szCs w:val="32"/>
              </w:rPr>
              <w:t>及初期雨水，废水经预处理满足《污水综合排放标准》（GB8978-1996）中表4之三级标准</w:t>
            </w:r>
            <w:r>
              <w:rPr>
                <w:rFonts w:hint="eastAsia"/>
                <w:sz w:val="24"/>
                <w:szCs w:val="32"/>
                <w:lang w:val="en-US" w:eastAsia="zh-CN"/>
              </w:rPr>
              <w:t>排入市政管网进入</w:t>
            </w:r>
            <w:r>
              <w:rPr>
                <w:rFonts w:hint="eastAsia" w:ascii="宋体" w:hAnsi="宋体" w:cs="宋体"/>
                <w:i w:val="0"/>
                <w:iCs w:val="0"/>
                <w:caps w:val="0"/>
                <w:color w:val="404040"/>
                <w:spacing w:val="0"/>
                <w:sz w:val="24"/>
                <w:szCs w:val="24"/>
                <w:lang w:eastAsia="zh-CN"/>
              </w:rPr>
              <w:t>祁阳市城北污水处理厂</w:t>
            </w:r>
            <w:r>
              <w:rPr>
                <w:sz w:val="24"/>
              </w:rPr>
              <w:t>处理</w:t>
            </w:r>
            <w:r>
              <w:rPr>
                <w:kern w:val="0"/>
                <w:sz w:val="24"/>
              </w:rPr>
              <w:t>达</w:t>
            </w:r>
            <w:r>
              <w:rPr>
                <w:rFonts w:hint="eastAsia"/>
                <w:kern w:val="0"/>
                <w:sz w:val="24"/>
                <w:lang w:val="en-US" w:eastAsia="zh-CN"/>
              </w:rPr>
              <w:t>到</w:t>
            </w:r>
            <w:r>
              <w:rPr>
                <w:color w:val="auto"/>
                <w:sz w:val="24"/>
              </w:rPr>
              <w:t>《湖南省城镇污水处理厂主要水污染物排放标准》（DB43/T 1546-2018）二级标准和《城镇污水处理厂污染物排放标准》（GB18918-2002）一级A标准中较严标准</w:t>
            </w:r>
            <w:r>
              <w:rPr>
                <w:rFonts w:hint="eastAsia"/>
                <w:color w:val="auto"/>
                <w:sz w:val="24"/>
                <w:lang w:val="en-US" w:eastAsia="zh-CN"/>
              </w:rPr>
              <w:t>值后</w:t>
            </w:r>
            <w:r>
              <w:rPr>
                <w:sz w:val="24"/>
              </w:rPr>
              <w:t>排</w:t>
            </w:r>
            <w:r>
              <w:rPr>
                <w:rFonts w:hint="eastAsia"/>
                <w:sz w:val="24"/>
                <w:lang w:val="en-US" w:eastAsia="zh-CN"/>
              </w:rPr>
              <w:t>入祁水</w:t>
            </w:r>
            <w:r>
              <w:rPr>
                <w:sz w:val="24"/>
              </w:rPr>
              <w:t>。</w:t>
            </w:r>
            <w:r>
              <w:rPr>
                <w:sz w:val="24"/>
                <w:szCs w:val="32"/>
              </w:rPr>
              <w:t>项目厂界噪声昼夜间预测值满足《工业企业厂界环境噪声排放标准》(GB12348-2008)2类及4类标准要求，对周围声环境影响不明显，固废可做到</w:t>
            </w:r>
            <w:r>
              <w:rPr>
                <w:rFonts w:hint="eastAsia"/>
                <w:sz w:val="24"/>
                <w:szCs w:val="32"/>
                <w:lang w:val="en-US" w:eastAsia="zh-CN"/>
              </w:rPr>
              <w:t>妥善处置</w:t>
            </w:r>
            <w:r>
              <w:rPr>
                <w:rFonts w:hint="eastAsia"/>
                <w:sz w:val="24"/>
                <w:szCs w:val="32"/>
                <w:lang w:eastAsia="zh-CN"/>
              </w:rPr>
              <w:t>；</w:t>
            </w:r>
            <w:r>
              <w:rPr>
                <w:sz w:val="24"/>
              </w:rPr>
              <w:t>本项目各种污染物均得到合理有效处置，项目运营后，不改变区域环境功能。</w:t>
            </w:r>
          </w:p>
          <w:p w14:paraId="7C482A52">
            <w:pPr>
              <w:wordWrap w:val="0"/>
              <w:topLinePunct/>
              <w:adjustRightInd w:val="0"/>
              <w:snapToGrid w:val="0"/>
              <w:spacing w:line="360" w:lineRule="auto"/>
              <w:ind w:firstLine="480" w:firstLineChars="200"/>
              <w:rPr>
                <w:kern w:val="0"/>
                <w:sz w:val="24"/>
              </w:rPr>
            </w:pPr>
            <w:r>
              <w:rPr>
                <w:kern w:val="0"/>
                <w:sz w:val="24"/>
              </w:rPr>
              <w:fldChar w:fldCharType="begin"/>
            </w:r>
            <w:r>
              <w:rPr>
                <w:kern w:val="0"/>
                <w:sz w:val="24"/>
              </w:rPr>
              <w:instrText xml:space="preserve"> = 3 \* GB3 </w:instrText>
            </w:r>
            <w:r>
              <w:rPr>
                <w:kern w:val="0"/>
                <w:sz w:val="24"/>
              </w:rPr>
              <w:fldChar w:fldCharType="separate"/>
            </w:r>
            <w:r>
              <w:rPr>
                <w:kern w:val="0"/>
                <w:sz w:val="24"/>
              </w:rPr>
              <w:t>③</w:t>
            </w:r>
            <w:r>
              <w:rPr>
                <w:kern w:val="0"/>
                <w:sz w:val="24"/>
              </w:rPr>
              <w:fldChar w:fldCharType="end"/>
            </w:r>
            <w:r>
              <w:rPr>
                <w:kern w:val="0"/>
                <w:sz w:val="24"/>
              </w:rPr>
              <w:t>资源利用上线</w:t>
            </w:r>
          </w:p>
          <w:p w14:paraId="6194291C">
            <w:pPr>
              <w:wordWrap w:val="0"/>
              <w:topLinePunct/>
              <w:adjustRightInd w:val="0"/>
              <w:snapToGrid w:val="0"/>
              <w:spacing w:line="360" w:lineRule="auto"/>
              <w:ind w:firstLine="480" w:firstLineChars="200"/>
              <w:rPr>
                <w:kern w:val="0"/>
                <w:sz w:val="24"/>
              </w:rPr>
            </w:pPr>
            <w:r>
              <w:rPr>
                <w:kern w:val="0"/>
                <w:sz w:val="24"/>
              </w:rPr>
              <w:t>根据《关于加强资源环境生态红线管控的指导意见》(发改环资〔2016〕1162号)相关要求，“设定资源消耗上限。合理设定全国及各地区资源消耗“天花板”，对能源、水、土地等战略性资源消耗总量实施管控，强化资源消耗总量管控与消耗强度管理的协同。”</w:t>
            </w:r>
          </w:p>
          <w:p w14:paraId="4391FACE">
            <w:pPr>
              <w:wordWrap w:val="0"/>
              <w:topLinePunct/>
              <w:adjustRightInd w:val="0"/>
              <w:snapToGrid w:val="0"/>
              <w:spacing w:line="360" w:lineRule="auto"/>
              <w:ind w:firstLine="480" w:firstLineChars="200"/>
              <w:rPr>
                <w:kern w:val="0"/>
                <w:sz w:val="24"/>
              </w:rPr>
            </w:pPr>
            <w:r>
              <w:rPr>
                <w:kern w:val="0"/>
                <w:sz w:val="24"/>
                <w:szCs w:val="32"/>
              </w:rPr>
              <w:t>项目为加油站，</w:t>
            </w:r>
            <w:r>
              <w:rPr>
                <w:kern w:val="0"/>
                <w:sz w:val="24"/>
              </w:rPr>
              <w:t>不属于高耗能、高污染、资源型企业，通过内部管理、设备选择、原辅材料的选用和管理、污染治理等方面采取合理可行的防治措施，以“节能、降耗、减污”为目标，有效的控制污染。项目不涉及基本农田，不占用耕地等土地资源，不会突破环境资源利用上线，不会使环境容量接近或超过承载能力。本项目资源消耗相对区域资源利用总量较少，符合资源利用上限要求。</w:t>
            </w:r>
          </w:p>
          <w:p w14:paraId="5F1F5D0C">
            <w:pPr>
              <w:wordWrap w:val="0"/>
              <w:topLinePunct/>
              <w:adjustRightInd w:val="0"/>
              <w:snapToGrid w:val="0"/>
              <w:spacing w:line="360" w:lineRule="auto"/>
              <w:ind w:firstLine="480" w:firstLineChars="200"/>
              <w:rPr>
                <w:kern w:val="0"/>
                <w:sz w:val="24"/>
                <w:u w:val="single"/>
              </w:rPr>
            </w:pPr>
            <w:r>
              <w:rPr>
                <w:kern w:val="0"/>
                <w:sz w:val="24"/>
                <w:u w:val="single"/>
              </w:rPr>
              <w:fldChar w:fldCharType="begin"/>
            </w:r>
            <w:r>
              <w:rPr>
                <w:kern w:val="0"/>
                <w:sz w:val="24"/>
                <w:u w:val="single"/>
              </w:rPr>
              <w:instrText xml:space="preserve"> = 4 \* GB3 </w:instrText>
            </w:r>
            <w:r>
              <w:rPr>
                <w:kern w:val="0"/>
                <w:sz w:val="24"/>
                <w:u w:val="single"/>
              </w:rPr>
              <w:fldChar w:fldCharType="separate"/>
            </w:r>
            <w:r>
              <w:rPr>
                <w:kern w:val="0"/>
                <w:sz w:val="24"/>
                <w:u w:val="single"/>
              </w:rPr>
              <w:t>④</w:t>
            </w:r>
            <w:r>
              <w:rPr>
                <w:kern w:val="0"/>
                <w:sz w:val="24"/>
                <w:u w:val="single"/>
              </w:rPr>
              <w:fldChar w:fldCharType="end"/>
            </w:r>
            <w:r>
              <w:rPr>
                <w:kern w:val="0"/>
                <w:sz w:val="24"/>
                <w:u w:val="single"/>
              </w:rPr>
              <w:t>生态环境准入清单</w:t>
            </w:r>
          </w:p>
          <w:p w14:paraId="5E4ED377">
            <w:pPr>
              <w:keepNext w:val="0"/>
              <w:keepLines/>
              <w:pageBreakBefore w:val="0"/>
              <w:kinsoku/>
              <w:wordWrap/>
              <w:topLinePunct w:val="0"/>
              <w:autoSpaceDE w:val="0"/>
              <w:autoSpaceDN w:val="0"/>
              <w:bidi w:val="0"/>
              <w:adjustRightInd w:val="0"/>
              <w:snapToGrid w:val="0"/>
              <w:spacing w:line="360" w:lineRule="auto"/>
              <w:ind w:firstLine="480" w:firstLineChars="200"/>
              <w:rPr>
                <w:sz w:val="24"/>
                <w:szCs w:val="32"/>
                <w:u w:val="single"/>
                <w:shd w:val="clear" w:color="auto" w:fill="FFFFFF"/>
              </w:rPr>
            </w:pPr>
            <w:r>
              <w:rPr>
                <w:rFonts w:hint="eastAsia"/>
                <w:kern w:val="0"/>
                <w:sz w:val="24"/>
                <w:szCs w:val="24"/>
                <w:u w:val="single"/>
              </w:rPr>
              <w:t>本项目位于</w:t>
            </w:r>
            <w:r>
              <w:rPr>
                <w:rFonts w:hint="eastAsia" w:cs="Times New Roman"/>
                <w:sz w:val="24"/>
                <w:szCs w:val="24"/>
                <w:u w:val="single"/>
                <w:lang w:val="en-US" w:eastAsia="zh-CN"/>
              </w:rPr>
              <w:t>湖南省永州市祁阳市长虹街道长虹社区九组祁阳大道铁路涵桥以北东侧</w:t>
            </w:r>
            <w:r>
              <w:rPr>
                <w:rFonts w:hint="eastAsia"/>
                <w:sz w:val="24"/>
                <w:szCs w:val="24"/>
                <w:u w:val="single"/>
              </w:rPr>
              <w:t>，根据《永州市生态环境局关于发布</w:t>
            </w:r>
            <w:r>
              <w:rPr>
                <w:rFonts w:hint="eastAsia"/>
                <w:color w:val="auto"/>
                <w:sz w:val="24"/>
                <w:szCs w:val="24"/>
                <w:highlight w:val="none"/>
                <w:u w:val="single"/>
              </w:rPr>
              <w:t>永州市生态环境分区管控更新成果（2023版）的通知》</w:t>
            </w:r>
            <w:r>
              <w:rPr>
                <w:rFonts w:hint="eastAsia"/>
                <w:color w:val="auto"/>
                <w:kern w:val="0"/>
                <w:sz w:val="24"/>
                <w:szCs w:val="24"/>
                <w:highlight w:val="none"/>
                <w:u w:val="single"/>
                <w:lang w:eastAsia="zh-CN"/>
              </w:rPr>
              <w:t>，</w:t>
            </w:r>
            <w:r>
              <w:rPr>
                <w:rFonts w:hint="eastAsia"/>
                <w:color w:val="auto"/>
                <w:kern w:val="0"/>
                <w:sz w:val="24"/>
                <w:szCs w:val="24"/>
                <w:highlight w:val="none"/>
                <w:u w:val="single"/>
                <w:lang w:val="en-US" w:eastAsia="zh-CN"/>
              </w:rPr>
              <w:t>本项目所在地属于</w:t>
            </w:r>
            <w:r>
              <w:rPr>
                <w:rFonts w:hint="eastAsia" w:ascii="宋体" w:hAnsi="宋体" w:cs="宋体"/>
                <w:i w:val="0"/>
                <w:iCs w:val="0"/>
                <w:caps w:val="0"/>
                <w:color w:val="auto"/>
                <w:spacing w:val="0"/>
                <w:sz w:val="24"/>
                <w:szCs w:val="24"/>
                <w:highlight w:val="none"/>
                <w:u w:val="single"/>
                <w:lang w:val="en-US" w:eastAsia="zh-CN"/>
              </w:rPr>
              <w:t>长虹街道</w:t>
            </w:r>
            <w:r>
              <w:rPr>
                <w:rFonts w:hint="eastAsia" w:ascii="宋体" w:hAnsi="宋体" w:eastAsia="宋体" w:cs="宋体"/>
                <w:i w:val="0"/>
                <w:iCs w:val="0"/>
                <w:caps w:val="0"/>
                <w:color w:val="auto"/>
                <w:spacing w:val="0"/>
                <w:sz w:val="24"/>
                <w:szCs w:val="24"/>
                <w:highlight w:val="none"/>
                <w:u w:val="single"/>
                <w:lang w:val="en-US" w:eastAsia="zh-CN"/>
              </w:rPr>
              <w:t>，</w:t>
            </w:r>
            <w:r>
              <w:rPr>
                <w:rFonts w:hint="eastAsia"/>
                <w:color w:val="auto"/>
                <w:kern w:val="0"/>
                <w:sz w:val="24"/>
                <w:szCs w:val="24"/>
                <w:highlight w:val="none"/>
                <w:u w:val="single"/>
                <w:lang w:val="en-US" w:eastAsia="zh-CN"/>
              </w:rPr>
              <w:t>环境</w:t>
            </w:r>
            <w:r>
              <w:rPr>
                <w:rFonts w:hint="eastAsia"/>
                <w:kern w:val="0"/>
                <w:sz w:val="24"/>
                <w:szCs w:val="24"/>
                <w:u w:val="single"/>
                <w:lang w:val="en-US" w:eastAsia="zh-CN"/>
              </w:rPr>
              <w:t>管控单位编码为ZH43112120002，单元分类为重点管控单元。</w:t>
            </w:r>
            <w:r>
              <w:rPr>
                <w:rFonts w:hint="eastAsia"/>
                <w:kern w:val="0"/>
                <w:sz w:val="24"/>
                <w:szCs w:val="24"/>
                <w:u w:val="single"/>
              </w:rPr>
              <w:t>项目与生态环境准入清单符合性见下表：</w:t>
            </w:r>
          </w:p>
          <w:p w14:paraId="1F65B606">
            <w:pPr>
              <w:pStyle w:val="347"/>
              <w:keepNext w:val="0"/>
              <w:keepLines/>
              <w:pageBreakBefore w:val="0"/>
              <w:widowControl w:val="0"/>
              <w:kinsoku/>
              <w:wordWrap/>
              <w:topLinePunct w:val="0"/>
              <w:bidi w:val="0"/>
              <w:spacing w:line="240" w:lineRule="auto"/>
              <w:ind w:firstLine="0" w:firstLineChars="0"/>
              <w:rPr>
                <w:rFonts w:hint="default" w:ascii="Times New Roman" w:hAnsi="Times New Roman" w:eastAsia="宋体" w:cs="Times New Roman"/>
                <w:b/>
                <w:bCs/>
                <w:color w:val="auto"/>
                <w:sz w:val="24"/>
                <w:szCs w:val="24"/>
                <w:u w:val="single"/>
              </w:rPr>
            </w:pPr>
            <w:r>
              <w:rPr>
                <w:rFonts w:hint="eastAsia" w:ascii="Times New Roman" w:hAnsi="Times New Roman" w:eastAsia="宋体" w:cs="Times New Roman"/>
                <w:b/>
                <w:bCs/>
                <w:color w:val="auto"/>
                <w:sz w:val="24"/>
                <w:szCs w:val="24"/>
                <w:u w:val="single"/>
              </w:rPr>
              <w:t>表1-</w:t>
            </w:r>
            <w:r>
              <w:rPr>
                <w:rFonts w:hint="eastAsia" w:cs="Times New Roman"/>
                <w:b/>
                <w:bCs/>
                <w:color w:val="auto"/>
                <w:sz w:val="24"/>
                <w:szCs w:val="24"/>
                <w:u w:val="single"/>
                <w:lang w:val="en-US" w:eastAsia="zh-CN"/>
              </w:rPr>
              <w:t>1</w:t>
            </w:r>
            <w:r>
              <w:rPr>
                <w:rFonts w:hint="eastAsia" w:ascii="Times New Roman" w:hAnsi="Times New Roman" w:eastAsia="宋体" w:cs="Times New Roman"/>
                <w:b/>
                <w:bCs/>
                <w:color w:val="auto"/>
                <w:sz w:val="24"/>
                <w:szCs w:val="24"/>
                <w:u w:val="single"/>
              </w:rPr>
              <w:t xml:space="preserve"> </w:t>
            </w:r>
            <w:r>
              <w:rPr>
                <w:rFonts w:hint="eastAsia" w:cs="Times New Roman"/>
                <w:b/>
                <w:bCs/>
                <w:color w:val="auto"/>
                <w:sz w:val="24"/>
                <w:szCs w:val="24"/>
                <w:u w:val="single"/>
                <w:lang w:val="en-US" w:eastAsia="zh-CN"/>
              </w:rPr>
              <w:t>与</w:t>
            </w:r>
            <w:r>
              <w:rPr>
                <w:rFonts w:hint="eastAsia" w:ascii="Times New Roman" w:hAnsi="Times New Roman" w:eastAsia="宋体" w:cs="Times New Roman"/>
                <w:b/>
                <w:bCs/>
                <w:color w:val="auto"/>
                <w:sz w:val="24"/>
                <w:szCs w:val="24"/>
                <w:u w:val="single"/>
              </w:rPr>
              <w:t>生态环境分区管控要求符合性分析</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843"/>
              <w:gridCol w:w="2096"/>
              <w:gridCol w:w="1307"/>
              <w:gridCol w:w="900"/>
              <w:gridCol w:w="510"/>
            </w:tblGrid>
            <w:tr w14:paraId="4D30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gridSpan w:val="2"/>
                  <w:tcBorders>
                    <w:tl2br w:val="nil"/>
                    <w:tr2bl w:val="nil"/>
                  </w:tcBorders>
                  <w:noWrap w:val="0"/>
                  <w:vAlign w:val="center"/>
                </w:tcPr>
                <w:p w14:paraId="4AC114BE">
                  <w:pPr>
                    <w:pStyle w:val="124"/>
                    <w:keepNext w:val="0"/>
                    <w:keepLines/>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single"/>
                      <w:lang w:val="en-US" w:eastAsia="zh-CN"/>
                    </w:rPr>
                  </w:pPr>
                  <w:r>
                    <w:rPr>
                      <w:rFonts w:hint="default" w:ascii="Times New Roman" w:hAnsi="Times New Roman" w:cs="Times New Roman"/>
                      <w:b w:val="0"/>
                      <w:bCs w:val="0"/>
                      <w:sz w:val="21"/>
                      <w:szCs w:val="21"/>
                      <w:u w:val="single"/>
                      <w:lang w:val="en-US" w:eastAsia="zh-CN"/>
                    </w:rPr>
                    <w:t>单元名称</w:t>
                  </w:r>
                </w:p>
              </w:tc>
              <w:tc>
                <w:tcPr>
                  <w:tcW w:w="1408" w:type="pct"/>
                  <w:tcBorders>
                    <w:tl2br w:val="nil"/>
                    <w:tr2bl w:val="nil"/>
                  </w:tcBorders>
                  <w:noWrap w:val="0"/>
                  <w:vAlign w:val="center"/>
                </w:tcPr>
                <w:p w14:paraId="1FE6CA08">
                  <w:pPr>
                    <w:pStyle w:val="124"/>
                    <w:keepNext w:val="0"/>
                    <w:keepLines/>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环境管控单元编码</w:t>
                  </w:r>
                </w:p>
              </w:tc>
              <w:tc>
                <w:tcPr>
                  <w:tcW w:w="878" w:type="pct"/>
                  <w:tcBorders>
                    <w:tl2br w:val="nil"/>
                    <w:tr2bl w:val="nil"/>
                  </w:tcBorders>
                  <w:noWrap w:val="0"/>
                  <w:vAlign w:val="center"/>
                </w:tcPr>
                <w:p w14:paraId="4A8D6F7A">
                  <w:pPr>
                    <w:pStyle w:val="124"/>
                    <w:keepNext w:val="0"/>
                    <w:keepLines/>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单元分类</w:t>
                  </w:r>
                </w:p>
              </w:tc>
              <w:tc>
                <w:tcPr>
                  <w:tcW w:w="947" w:type="pct"/>
                  <w:gridSpan w:val="2"/>
                  <w:tcBorders>
                    <w:tl2br w:val="nil"/>
                    <w:tr2bl w:val="nil"/>
                  </w:tcBorders>
                  <w:noWrap w:val="0"/>
                  <w:vAlign w:val="center"/>
                </w:tcPr>
                <w:p w14:paraId="11958ADE">
                  <w:pPr>
                    <w:pStyle w:val="124"/>
                    <w:keepNext w:val="0"/>
                    <w:keepLines/>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主体功能定位</w:t>
                  </w:r>
                </w:p>
              </w:tc>
            </w:tr>
            <w:tr w14:paraId="723E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gridSpan w:val="2"/>
                  <w:tcBorders>
                    <w:tl2br w:val="nil"/>
                    <w:tr2bl w:val="nil"/>
                  </w:tcBorders>
                  <w:noWrap w:val="0"/>
                  <w:vAlign w:val="center"/>
                </w:tcPr>
                <w:p w14:paraId="2752EDAF">
                  <w:pPr>
                    <w:pStyle w:val="124"/>
                    <w:keepNext w:val="0"/>
                    <w:keepLines/>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left"/>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观音滩镇/龙山街道/茅竹镇/三口塘</w:t>
                  </w:r>
                  <w:r>
                    <w:rPr>
                      <w:rFonts w:hint="default" w:ascii="Times New Roman" w:hAnsi="Times New Roman" w:cs="Times New Roman"/>
                      <w:b w:val="0"/>
                      <w:bCs w:val="0"/>
                      <w:sz w:val="21"/>
                      <w:szCs w:val="21"/>
                      <w:highlight w:val="none"/>
                      <w:u w:val="single"/>
                    </w:rPr>
                    <w:t>镇/浯溪街道/下马渡镇/长虹街道</w:t>
                  </w:r>
                </w:p>
              </w:tc>
              <w:tc>
                <w:tcPr>
                  <w:tcW w:w="1408" w:type="pct"/>
                  <w:tcBorders>
                    <w:tl2br w:val="nil"/>
                    <w:tr2bl w:val="nil"/>
                  </w:tcBorders>
                  <w:noWrap w:val="0"/>
                  <w:vAlign w:val="center"/>
                </w:tcPr>
                <w:p w14:paraId="33EEA0FE">
                  <w:pPr>
                    <w:pStyle w:val="124"/>
                    <w:keepNext w:val="0"/>
                    <w:keepLines/>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ZH43112120002</w:t>
                  </w:r>
                </w:p>
              </w:tc>
              <w:tc>
                <w:tcPr>
                  <w:tcW w:w="878" w:type="pct"/>
                  <w:tcBorders>
                    <w:tl2br w:val="nil"/>
                    <w:tr2bl w:val="nil"/>
                  </w:tcBorders>
                  <w:noWrap w:val="0"/>
                  <w:vAlign w:val="center"/>
                </w:tcPr>
                <w:p w14:paraId="23C428D8">
                  <w:pPr>
                    <w:pStyle w:val="124"/>
                    <w:keepNext w:val="0"/>
                    <w:keepLines/>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single"/>
                      <w:lang w:val="en-US" w:eastAsia="zh-CN"/>
                    </w:rPr>
                  </w:pPr>
                  <w:r>
                    <w:rPr>
                      <w:rFonts w:hint="default" w:ascii="Times New Roman" w:hAnsi="Times New Roman" w:cs="Times New Roman"/>
                      <w:b w:val="0"/>
                      <w:bCs w:val="0"/>
                      <w:sz w:val="21"/>
                      <w:szCs w:val="21"/>
                      <w:u w:val="single"/>
                      <w:lang w:val="en-US" w:eastAsia="zh-CN"/>
                    </w:rPr>
                    <w:t>重点管控单元</w:t>
                  </w:r>
                </w:p>
              </w:tc>
              <w:tc>
                <w:tcPr>
                  <w:tcW w:w="947" w:type="pct"/>
                  <w:gridSpan w:val="2"/>
                  <w:tcBorders>
                    <w:tl2br w:val="nil"/>
                    <w:tr2bl w:val="nil"/>
                  </w:tcBorders>
                  <w:noWrap w:val="0"/>
                  <w:vAlign w:val="center"/>
                </w:tcPr>
                <w:p w14:paraId="4077B42A">
                  <w:pPr>
                    <w:keepNext w:val="0"/>
                    <w:keepLines/>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lang w:bidi="zh-CN"/>
                    </w:rPr>
                  </w:pPr>
                  <w:r>
                    <w:rPr>
                      <w:rFonts w:hint="default" w:ascii="Times New Roman" w:hAnsi="Times New Roman" w:cs="Times New Roman"/>
                      <w:b w:val="0"/>
                      <w:bCs w:val="0"/>
                      <w:sz w:val="21"/>
                      <w:szCs w:val="21"/>
                      <w:u w:val="single"/>
                      <w:lang w:bidi="zh-CN"/>
                    </w:rPr>
                    <w:t>城市化地区</w:t>
                  </w:r>
                </w:p>
              </w:tc>
            </w:tr>
            <w:tr w14:paraId="7B9F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l2br w:val="nil"/>
                    <w:tr2bl w:val="nil"/>
                  </w:tcBorders>
                  <w:noWrap w:val="0"/>
                  <w:vAlign w:val="center"/>
                </w:tcPr>
                <w:p w14:paraId="5C4C0A00">
                  <w:pPr>
                    <w:pStyle w:val="124"/>
                    <w:keepNext w:val="0"/>
                    <w:keepLines/>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z w:val="21"/>
                      <w:szCs w:val="21"/>
                      <w:u w:val="single"/>
                      <w:lang w:val="en-US" w:eastAsia="zh-CN"/>
                    </w:rPr>
                  </w:pPr>
                  <w:r>
                    <w:rPr>
                      <w:rFonts w:hint="default" w:ascii="Times New Roman" w:hAnsi="Times New Roman" w:cs="Times New Roman"/>
                      <w:b w:val="0"/>
                      <w:bCs w:val="0"/>
                      <w:sz w:val="21"/>
                      <w:szCs w:val="21"/>
                      <w:u w:val="single"/>
                      <w:lang w:val="en-US" w:eastAsia="zh-CN"/>
                    </w:rPr>
                    <w:t>管控维度</w:t>
                  </w:r>
                </w:p>
              </w:tc>
              <w:tc>
                <w:tcPr>
                  <w:tcW w:w="2646" w:type="pct"/>
                  <w:gridSpan w:val="2"/>
                  <w:tcBorders>
                    <w:tl2br w:val="nil"/>
                    <w:tr2bl w:val="nil"/>
                  </w:tcBorders>
                  <w:noWrap w:val="0"/>
                  <w:vAlign w:val="center"/>
                </w:tcPr>
                <w:p w14:paraId="3CF1A901">
                  <w:pPr>
                    <w:pStyle w:val="124"/>
                    <w:keepNext w:val="0"/>
                    <w:keepLines/>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管控要求</w:t>
                  </w:r>
                </w:p>
              </w:tc>
              <w:tc>
                <w:tcPr>
                  <w:tcW w:w="1482" w:type="pct"/>
                  <w:gridSpan w:val="2"/>
                  <w:tcBorders>
                    <w:tl2br w:val="nil"/>
                    <w:tr2bl w:val="nil"/>
                  </w:tcBorders>
                  <w:noWrap w:val="0"/>
                  <w:vAlign w:val="center"/>
                </w:tcPr>
                <w:p w14:paraId="084A55D4">
                  <w:pPr>
                    <w:pStyle w:val="124"/>
                    <w:keepNext w:val="0"/>
                    <w:keepLines/>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项目情况</w:t>
                  </w:r>
                </w:p>
              </w:tc>
              <w:tc>
                <w:tcPr>
                  <w:tcW w:w="342" w:type="pct"/>
                  <w:tcBorders>
                    <w:tl2br w:val="nil"/>
                    <w:tr2bl w:val="nil"/>
                  </w:tcBorders>
                  <w:noWrap w:val="0"/>
                  <w:vAlign w:val="center"/>
                </w:tcPr>
                <w:p w14:paraId="3B5848D2">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b w:val="0"/>
                      <w:bCs w:val="0"/>
                      <w:sz w:val="21"/>
                      <w:szCs w:val="21"/>
                      <w:u w:val="single"/>
                    </w:rPr>
                  </w:pPr>
                  <w:r>
                    <w:rPr>
                      <w:rFonts w:hint="default" w:ascii="Times New Roman" w:hAnsi="Times New Roman" w:cs="Times New Roman"/>
                      <w:b w:val="0"/>
                      <w:bCs w:val="0"/>
                      <w:kern w:val="0"/>
                      <w:sz w:val="21"/>
                      <w:szCs w:val="21"/>
                      <w:u w:val="single"/>
                      <w:lang w:val="en-US" w:eastAsia="zh-CN" w:bidi="ar-SA"/>
                    </w:rPr>
                    <w:t>是否</w:t>
                  </w:r>
                  <w:r>
                    <w:rPr>
                      <w:rFonts w:hint="default" w:ascii="Times New Roman" w:hAnsi="Times New Roman" w:eastAsia="宋体" w:cs="Times New Roman"/>
                      <w:b w:val="0"/>
                      <w:bCs w:val="0"/>
                      <w:kern w:val="0"/>
                      <w:sz w:val="21"/>
                      <w:szCs w:val="21"/>
                      <w:u w:val="single"/>
                      <w:lang w:val="en-US" w:eastAsia="zh-CN" w:bidi="ar-SA"/>
                    </w:rPr>
                    <w:t>符合</w:t>
                  </w:r>
                </w:p>
              </w:tc>
            </w:tr>
            <w:tr w14:paraId="53F1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l2br w:val="nil"/>
                    <w:tr2bl w:val="nil"/>
                  </w:tcBorders>
                  <w:noWrap w:val="0"/>
                  <w:vAlign w:val="center"/>
                </w:tcPr>
                <w:p w14:paraId="0A168B02">
                  <w:pPr>
                    <w:keepNext w:val="0"/>
                    <w:keepLines/>
                    <w:pageBreakBefore w:val="0"/>
                    <w:widowControl w:val="0"/>
                    <w:kinsoku/>
                    <w:wordWrap/>
                    <w:topLinePunct w:val="0"/>
                    <w:bidi w:val="0"/>
                    <w:ind w:left="-53" w:leftChars="-25" w:right="-53" w:rightChars="-25"/>
                    <w:jc w:val="left"/>
                    <w:rPr>
                      <w:rFonts w:hint="default" w:ascii="Times New Roman" w:hAnsi="Times New Roman" w:eastAsia="宋体" w:cs="Times New Roman"/>
                      <w:b w:val="0"/>
                      <w:bCs w:val="0"/>
                      <w:kern w:val="0"/>
                      <w:sz w:val="21"/>
                      <w:szCs w:val="21"/>
                      <w:u w:val="single"/>
                      <w:lang w:val="en-US" w:eastAsia="zh-CN" w:bidi="ar-SA"/>
                    </w:rPr>
                  </w:pPr>
                  <w:r>
                    <w:rPr>
                      <w:rFonts w:hint="default" w:ascii="Times New Roman" w:hAnsi="Times New Roman" w:eastAsia="宋体" w:cs="Times New Roman"/>
                      <w:b w:val="0"/>
                      <w:bCs w:val="0"/>
                      <w:kern w:val="0"/>
                      <w:sz w:val="21"/>
                      <w:szCs w:val="21"/>
                      <w:u w:val="single"/>
                      <w:lang w:val="en-US" w:eastAsia="zh-CN" w:bidi="ar-SA"/>
                    </w:rPr>
                    <w:t>经济产业布局</w:t>
                  </w:r>
                </w:p>
              </w:tc>
              <w:tc>
                <w:tcPr>
                  <w:tcW w:w="2646" w:type="pct"/>
                  <w:gridSpan w:val="2"/>
                  <w:tcBorders>
                    <w:tl2br w:val="nil"/>
                    <w:tr2bl w:val="nil"/>
                  </w:tcBorders>
                  <w:noWrap w:val="0"/>
                  <w:vAlign w:val="center"/>
                </w:tcPr>
                <w:p w14:paraId="6927621F">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eastAsiaTheme="minorEastAsia"/>
                      <w:b w:val="0"/>
                      <w:bCs w:val="0"/>
                      <w:kern w:val="0"/>
                      <w:sz w:val="21"/>
                      <w:szCs w:val="21"/>
                      <w:u w:val="single"/>
                      <w:lang w:val="en-US" w:eastAsia="zh-CN" w:bidi="ar-SA"/>
                    </w:rPr>
                  </w:pPr>
                  <w:r>
                    <w:rPr>
                      <w:rFonts w:hint="default" w:ascii="Times New Roman" w:hAnsi="Times New Roman" w:cs="Times New Roman" w:eastAsiaTheme="minorEastAsia"/>
                      <w:b w:val="0"/>
                      <w:bCs w:val="0"/>
                      <w:kern w:val="0"/>
                      <w:sz w:val="21"/>
                      <w:szCs w:val="21"/>
                      <w:u w:val="single"/>
                      <w:lang w:val="en-US" w:eastAsia="zh-CN" w:bidi="ar-SA"/>
                    </w:rPr>
                    <w:t>服务业</w:t>
                  </w:r>
                </w:p>
              </w:tc>
              <w:tc>
                <w:tcPr>
                  <w:tcW w:w="1482" w:type="pct"/>
                  <w:gridSpan w:val="2"/>
                  <w:tcBorders>
                    <w:tl2br w:val="nil"/>
                    <w:tr2bl w:val="nil"/>
                  </w:tcBorders>
                  <w:noWrap w:val="0"/>
                  <w:vAlign w:val="center"/>
                </w:tcPr>
                <w:p w14:paraId="454C6830">
                  <w:pPr>
                    <w:keepNext w:val="0"/>
                    <w:keepLines/>
                    <w:pageBreakBefore w:val="0"/>
                    <w:widowControl w:val="0"/>
                    <w:kinsoku/>
                    <w:wordWrap/>
                    <w:topLinePunct w:val="0"/>
                    <w:bidi w:val="0"/>
                    <w:ind w:left="-53" w:leftChars="-25" w:right="-53" w:rightChars="-25"/>
                    <w:jc w:val="left"/>
                    <w:rPr>
                      <w:rFonts w:hint="default" w:ascii="Times New Roman" w:hAnsi="Times New Roman" w:eastAsia="宋体" w:cs="Times New Roman"/>
                      <w:b w:val="0"/>
                      <w:bCs w:val="0"/>
                      <w:kern w:val="0"/>
                      <w:sz w:val="21"/>
                      <w:szCs w:val="21"/>
                      <w:u w:val="single"/>
                      <w:lang w:val="en-US" w:eastAsia="zh-CN" w:bidi="ar-SA"/>
                    </w:rPr>
                  </w:pPr>
                  <w:r>
                    <w:rPr>
                      <w:rFonts w:hint="default" w:ascii="Times New Roman" w:hAnsi="Times New Roman" w:eastAsia="宋体" w:cs="Times New Roman"/>
                      <w:sz w:val="21"/>
                      <w:szCs w:val="21"/>
                      <w:u w:val="single"/>
                    </w:rPr>
                    <w:t>本项目属《国民经济行业分类》</w:t>
                  </w:r>
                  <w:r>
                    <w:rPr>
                      <w:rFonts w:hint="default" w:ascii="Times New Roman" w:hAnsi="Times New Roman" w:cs="Times New Roman"/>
                      <w:sz w:val="21"/>
                      <w:szCs w:val="21"/>
                      <w:u w:val="single"/>
                      <w:lang w:eastAsia="zh-CN"/>
                    </w:rPr>
                    <w:t>（</w:t>
                  </w:r>
                  <w:r>
                    <w:rPr>
                      <w:rFonts w:hint="default" w:ascii="Times New Roman" w:hAnsi="Times New Roman" w:eastAsia="宋体" w:cs="Times New Roman"/>
                      <w:sz w:val="21"/>
                      <w:szCs w:val="21"/>
                      <w:u w:val="single"/>
                    </w:rPr>
                    <w:t>GB/</w:t>
                  </w:r>
                  <w:r>
                    <w:rPr>
                      <w:rFonts w:hint="default" w:ascii="Times New Roman" w:hAnsi="Times New Roman" w:eastAsia="宋体" w:cs="Times New Roman"/>
                      <w:b w:val="0"/>
                      <w:bCs w:val="0"/>
                      <w:sz w:val="21"/>
                      <w:szCs w:val="21"/>
                      <w:u w:val="single"/>
                    </w:rPr>
                    <w:t>T4754-2017</w:t>
                  </w:r>
                  <w:r>
                    <w:rPr>
                      <w:rFonts w:hint="default" w:ascii="Times New Roman" w:hAnsi="Times New Roman" w:cs="Times New Roman"/>
                      <w:b w:val="0"/>
                      <w:bCs w:val="0"/>
                      <w:sz w:val="21"/>
                      <w:szCs w:val="21"/>
                      <w:u w:val="single"/>
                      <w:lang w:eastAsia="zh-CN"/>
                    </w:rPr>
                    <w:t>）</w:t>
                  </w:r>
                  <w:r>
                    <w:rPr>
                      <w:rFonts w:hint="default" w:ascii="Times New Roman" w:hAnsi="Times New Roman" w:eastAsia="宋体" w:cs="Times New Roman"/>
                      <w:b w:val="0"/>
                      <w:bCs w:val="0"/>
                      <w:sz w:val="21"/>
                      <w:szCs w:val="21"/>
                      <w:u w:val="single"/>
                    </w:rPr>
                    <w:t>F5265机动车燃油零售</w:t>
                  </w:r>
                  <w:r>
                    <w:rPr>
                      <w:rFonts w:hint="default" w:ascii="Times New Roman" w:hAnsi="Times New Roman" w:eastAsia="宋体" w:cs="Times New Roman"/>
                      <w:b w:val="0"/>
                      <w:bCs w:val="0"/>
                      <w:kern w:val="0"/>
                      <w:sz w:val="21"/>
                      <w:szCs w:val="21"/>
                      <w:u w:val="single"/>
                      <w:lang w:val="en-US" w:eastAsia="zh-CN" w:bidi="ar-SA"/>
                    </w:rPr>
                    <w:t>。</w:t>
                  </w:r>
                </w:p>
              </w:tc>
              <w:tc>
                <w:tcPr>
                  <w:tcW w:w="342" w:type="pct"/>
                  <w:tcBorders>
                    <w:tl2br w:val="nil"/>
                    <w:tr2bl w:val="nil"/>
                  </w:tcBorders>
                  <w:noWrap w:val="0"/>
                  <w:vAlign w:val="center"/>
                </w:tcPr>
                <w:p w14:paraId="6207F956">
                  <w:pPr>
                    <w:keepNext w:val="0"/>
                    <w:keepLines/>
                    <w:pageBreakBefore w:val="0"/>
                    <w:widowControl w:val="0"/>
                    <w:kinsoku/>
                    <w:wordWrap/>
                    <w:topLinePunct w:val="0"/>
                    <w:bidi w:val="0"/>
                    <w:ind w:left="-53" w:leftChars="-25" w:right="-53" w:rightChars="-25"/>
                    <w:jc w:val="center"/>
                    <w:rPr>
                      <w:rFonts w:hint="default" w:ascii="Times New Roman" w:hAnsi="Times New Roman" w:eastAsia="宋体" w:cs="Times New Roman"/>
                      <w:b w:val="0"/>
                      <w:bCs w:val="0"/>
                      <w:kern w:val="0"/>
                      <w:sz w:val="21"/>
                      <w:szCs w:val="21"/>
                      <w:u w:val="single"/>
                      <w:lang w:val="en-US" w:eastAsia="zh-CN" w:bidi="ar-SA"/>
                    </w:rPr>
                  </w:pPr>
                  <w:r>
                    <w:rPr>
                      <w:rFonts w:hint="default" w:ascii="Times New Roman" w:hAnsi="Times New Roman" w:eastAsia="宋体" w:cs="Times New Roman"/>
                      <w:b w:val="0"/>
                      <w:bCs w:val="0"/>
                      <w:kern w:val="0"/>
                      <w:sz w:val="21"/>
                      <w:szCs w:val="21"/>
                      <w:u w:val="single"/>
                      <w:lang w:val="en-US" w:eastAsia="zh-CN" w:bidi="ar-SA"/>
                    </w:rPr>
                    <w:t>符合</w:t>
                  </w:r>
                </w:p>
              </w:tc>
            </w:tr>
            <w:tr w14:paraId="1E99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pct"/>
                  <w:tcBorders>
                    <w:tl2br w:val="nil"/>
                    <w:tr2bl w:val="nil"/>
                  </w:tcBorders>
                  <w:noWrap w:val="0"/>
                  <w:vAlign w:val="center"/>
                </w:tcPr>
                <w:p w14:paraId="534DB5B9">
                  <w:pPr>
                    <w:pStyle w:val="348"/>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空间布局约束</w:t>
                  </w:r>
                </w:p>
              </w:tc>
              <w:tc>
                <w:tcPr>
                  <w:tcW w:w="2646" w:type="pct"/>
                  <w:gridSpan w:val="2"/>
                  <w:tcBorders>
                    <w:tl2br w:val="nil"/>
                    <w:tr2bl w:val="nil"/>
                  </w:tcBorders>
                  <w:noWrap w:val="0"/>
                  <w:vAlign w:val="center"/>
                </w:tcPr>
                <w:p w14:paraId="3D4C5341">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（1.1）畜禽养殖产业布局应符合《祁阳县畜禽养殖禁养区限养区适养区划分方案》的规定。畜禽养殖产业布局应符合《祁阳县畜禽养殖布局规划》（2020-2024年）的要求。</w:t>
                  </w:r>
                </w:p>
                <w:p w14:paraId="6563ABFF">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（1.2）湖南祁阳浯溪国家湿地公园：执行《湖南祁阳浯溪国家湿地公园保护管理办法》相关规定。</w:t>
                  </w:r>
                </w:p>
                <w:p w14:paraId="66DB0F53">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（1.3）祁阳经济开发区调区扩区原则上不应超出省级主管部门确定的拓展空间；对园区外的现有企业加强环境监管，确保污染物达标排放。</w:t>
                  </w:r>
                </w:p>
                <w:p w14:paraId="482C8EED">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（1.4）开展沿江化工污染整治，落实湘江干流（祁阳段）及主要支流岸线1公里范围内不准新建、扩建化工园区和化工项目要求，依法淘汰取缔违法违规工业园区。</w:t>
                  </w:r>
                </w:p>
                <w:p w14:paraId="70A77ED1">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lang w:val="zh-CN"/>
                    </w:rPr>
                  </w:pPr>
                  <w:r>
                    <w:rPr>
                      <w:rFonts w:hint="default" w:ascii="Times New Roman" w:hAnsi="Times New Roman" w:cs="Times New Roman"/>
                      <w:b w:val="0"/>
                      <w:bCs w:val="0"/>
                      <w:sz w:val="21"/>
                      <w:szCs w:val="21"/>
                      <w:u w:val="single"/>
                    </w:rPr>
                    <w:t>（1.5）生态保护红线内自然保护区、风景名胜区、饮用水水源保护区等区域依照法律法规执行。</w:t>
                  </w:r>
                </w:p>
              </w:tc>
              <w:tc>
                <w:tcPr>
                  <w:tcW w:w="1482" w:type="pct"/>
                  <w:gridSpan w:val="2"/>
                  <w:tcBorders>
                    <w:tl2br w:val="nil"/>
                    <w:tr2bl w:val="nil"/>
                  </w:tcBorders>
                  <w:noWrap w:val="0"/>
                  <w:vAlign w:val="center"/>
                </w:tcPr>
                <w:p w14:paraId="5B9638E7">
                  <w:pPr>
                    <w:keepNext w:val="0"/>
                    <w:keepLines/>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sz w:val="21"/>
                      <w:szCs w:val="21"/>
                      <w:u w:val="single"/>
                      <w:lang w:eastAsia="zh-CN"/>
                    </w:rPr>
                  </w:pPr>
                  <w:r>
                    <w:rPr>
                      <w:rFonts w:hint="default" w:ascii="Times New Roman" w:hAnsi="Times New Roman" w:eastAsia="宋体" w:cs="Times New Roman"/>
                      <w:sz w:val="21"/>
                      <w:szCs w:val="21"/>
                      <w:u w:val="single"/>
                    </w:rPr>
                    <w:t>本项目属《国民经济行业分类》</w:t>
                  </w:r>
                  <w:r>
                    <w:rPr>
                      <w:rFonts w:hint="default" w:ascii="Times New Roman" w:hAnsi="Times New Roman" w:cs="Times New Roman"/>
                      <w:sz w:val="21"/>
                      <w:szCs w:val="21"/>
                      <w:u w:val="single"/>
                      <w:lang w:eastAsia="zh-CN"/>
                    </w:rPr>
                    <w:t>（</w:t>
                  </w:r>
                  <w:r>
                    <w:rPr>
                      <w:rFonts w:hint="default" w:ascii="Times New Roman" w:hAnsi="Times New Roman" w:eastAsia="宋体" w:cs="Times New Roman"/>
                      <w:sz w:val="21"/>
                      <w:szCs w:val="21"/>
                      <w:u w:val="single"/>
                    </w:rPr>
                    <w:t>GB/</w:t>
                  </w:r>
                  <w:r>
                    <w:rPr>
                      <w:rFonts w:hint="default" w:ascii="Times New Roman" w:hAnsi="Times New Roman" w:eastAsia="宋体" w:cs="Times New Roman"/>
                      <w:b w:val="0"/>
                      <w:bCs w:val="0"/>
                      <w:sz w:val="21"/>
                      <w:szCs w:val="21"/>
                      <w:u w:val="single"/>
                    </w:rPr>
                    <w:t>T4754-2017</w:t>
                  </w:r>
                  <w:r>
                    <w:rPr>
                      <w:rFonts w:hint="default" w:ascii="Times New Roman" w:hAnsi="Times New Roman" w:cs="Times New Roman"/>
                      <w:b w:val="0"/>
                      <w:bCs w:val="0"/>
                      <w:sz w:val="21"/>
                      <w:szCs w:val="21"/>
                      <w:u w:val="single"/>
                      <w:lang w:eastAsia="zh-CN"/>
                    </w:rPr>
                    <w:t>）</w:t>
                  </w:r>
                  <w:r>
                    <w:rPr>
                      <w:rFonts w:hint="default" w:ascii="Times New Roman" w:hAnsi="Times New Roman" w:eastAsia="宋体" w:cs="Times New Roman"/>
                      <w:b w:val="0"/>
                      <w:bCs w:val="0"/>
                      <w:sz w:val="21"/>
                      <w:szCs w:val="21"/>
                      <w:u w:val="single"/>
                    </w:rPr>
                    <w:t>F5265机动车燃油零售</w:t>
                  </w:r>
                  <w:r>
                    <w:rPr>
                      <w:rFonts w:hint="default" w:ascii="Times New Roman" w:hAnsi="Times New Roman" w:eastAsia="宋体" w:cs="Times New Roman"/>
                      <w:b w:val="0"/>
                      <w:bCs w:val="0"/>
                      <w:sz w:val="21"/>
                      <w:szCs w:val="21"/>
                      <w:u w:val="single"/>
                      <w:lang w:eastAsia="zh-CN"/>
                    </w:rPr>
                    <w:t>，</w:t>
                  </w:r>
                  <w:r>
                    <w:rPr>
                      <w:rFonts w:hint="default" w:ascii="Times New Roman" w:hAnsi="Times New Roman" w:cs="Times New Roman"/>
                      <w:b w:val="0"/>
                      <w:bCs w:val="0"/>
                      <w:sz w:val="21"/>
                      <w:szCs w:val="21"/>
                      <w:u w:val="single"/>
                      <w:lang w:val="en-US" w:eastAsia="zh-CN"/>
                    </w:rPr>
                    <w:t>不属于</w:t>
                  </w:r>
                  <w:r>
                    <w:rPr>
                      <w:rFonts w:hint="default" w:ascii="Times New Roman" w:hAnsi="Times New Roman" w:cs="Times New Roman"/>
                      <w:b w:val="0"/>
                      <w:bCs w:val="0"/>
                      <w:sz w:val="21"/>
                      <w:szCs w:val="21"/>
                      <w:u w:val="single"/>
                    </w:rPr>
                    <w:t>畜禽养殖产业</w:t>
                  </w:r>
                  <w:r>
                    <w:rPr>
                      <w:rFonts w:hint="default" w:ascii="Times New Roman" w:hAnsi="Times New Roman" w:cs="Times New Roman"/>
                      <w:b w:val="0"/>
                      <w:bCs w:val="0"/>
                      <w:sz w:val="21"/>
                      <w:szCs w:val="21"/>
                      <w:u w:val="single"/>
                      <w:lang w:eastAsia="zh-CN"/>
                    </w:rPr>
                    <w:t>、</w:t>
                  </w:r>
                  <w:r>
                    <w:rPr>
                      <w:rFonts w:hint="default" w:ascii="Times New Roman" w:hAnsi="Times New Roman" w:cs="Times New Roman"/>
                      <w:b w:val="0"/>
                      <w:bCs w:val="0"/>
                      <w:sz w:val="21"/>
                      <w:szCs w:val="21"/>
                      <w:u w:val="single"/>
                      <w:lang w:val="en-US" w:eastAsia="zh-CN"/>
                    </w:rPr>
                    <w:t>化工项目</w:t>
                  </w:r>
                  <w:r>
                    <w:rPr>
                      <w:rFonts w:hint="default" w:ascii="Times New Roman" w:hAnsi="Times New Roman" w:cs="Times New Roman"/>
                      <w:b w:val="0"/>
                      <w:bCs w:val="0"/>
                      <w:sz w:val="21"/>
                      <w:szCs w:val="21"/>
                      <w:u w:val="single"/>
                      <w:lang w:eastAsia="zh-CN"/>
                    </w:rPr>
                    <w:t>，</w:t>
                  </w:r>
                  <w:r>
                    <w:rPr>
                      <w:rFonts w:hint="default" w:ascii="Times New Roman" w:hAnsi="Times New Roman" w:cs="Times New Roman"/>
                      <w:b w:val="0"/>
                      <w:bCs w:val="0"/>
                      <w:sz w:val="21"/>
                      <w:szCs w:val="21"/>
                      <w:u w:val="single"/>
                      <w:lang w:val="en-US" w:eastAsia="zh-CN"/>
                    </w:rPr>
                    <w:t>本项目不在</w:t>
                  </w:r>
                  <w:r>
                    <w:rPr>
                      <w:rFonts w:hint="default" w:ascii="Times New Roman" w:hAnsi="Times New Roman" w:cs="Times New Roman"/>
                      <w:b w:val="0"/>
                      <w:bCs w:val="0"/>
                      <w:sz w:val="21"/>
                      <w:szCs w:val="21"/>
                      <w:u w:val="single"/>
                    </w:rPr>
                    <w:t>湖南祁阳浯溪国家湿地公园</w:t>
                  </w:r>
                  <w:r>
                    <w:rPr>
                      <w:rFonts w:hint="default" w:ascii="Times New Roman" w:hAnsi="Times New Roman" w:cs="Times New Roman"/>
                      <w:b w:val="0"/>
                      <w:bCs w:val="0"/>
                      <w:sz w:val="21"/>
                      <w:szCs w:val="21"/>
                      <w:u w:val="single"/>
                      <w:lang w:val="en-US" w:eastAsia="zh-CN"/>
                    </w:rPr>
                    <w:t>范围内，本项目不涉及生态红线</w:t>
                  </w:r>
                  <w:r>
                    <w:rPr>
                      <w:rFonts w:hint="default" w:ascii="Times New Roman" w:hAnsi="Times New Roman" w:cs="Times New Roman"/>
                      <w:b w:val="0"/>
                      <w:bCs w:val="0"/>
                      <w:sz w:val="21"/>
                      <w:szCs w:val="21"/>
                      <w:u w:val="single"/>
                      <w:lang w:eastAsia="zh-CN"/>
                    </w:rPr>
                    <w:t>。</w:t>
                  </w:r>
                </w:p>
              </w:tc>
              <w:tc>
                <w:tcPr>
                  <w:tcW w:w="342" w:type="pct"/>
                  <w:tcBorders>
                    <w:tl2br w:val="nil"/>
                    <w:tr2bl w:val="nil"/>
                  </w:tcBorders>
                  <w:noWrap w:val="0"/>
                  <w:vAlign w:val="center"/>
                </w:tcPr>
                <w:p w14:paraId="13D3A198">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b w:val="0"/>
                      <w:bCs w:val="0"/>
                      <w:sz w:val="21"/>
                      <w:szCs w:val="21"/>
                      <w:u w:val="single"/>
                    </w:rPr>
                  </w:pPr>
                  <w:r>
                    <w:rPr>
                      <w:rFonts w:hint="default" w:ascii="Times New Roman" w:hAnsi="Times New Roman" w:eastAsia="宋体" w:cs="Times New Roman"/>
                      <w:b w:val="0"/>
                      <w:bCs w:val="0"/>
                      <w:kern w:val="0"/>
                      <w:sz w:val="21"/>
                      <w:szCs w:val="21"/>
                      <w:u w:val="single"/>
                      <w:lang w:val="en-US" w:eastAsia="zh-CN" w:bidi="ar-SA"/>
                    </w:rPr>
                    <w:t>符合</w:t>
                  </w:r>
                </w:p>
              </w:tc>
            </w:tr>
            <w:tr w14:paraId="706A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l2br w:val="nil"/>
                    <w:tr2bl w:val="nil"/>
                  </w:tcBorders>
                  <w:noWrap w:val="0"/>
                  <w:vAlign w:val="center"/>
                </w:tcPr>
                <w:p w14:paraId="0DF655FC">
                  <w:pPr>
                    <w:pStyle w:val="348"/>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污染物排放管控</w:t>
                  </w:r>
                </w:p>
              </w:tc>
              <w:tc>
                <w:tcPr>
                  <w:tcW w:w="2646" w:type="pct"/>
                  <w:gridSpan w:val="2"/>
                  <w:tcBorders>
                    <w:tl2br w:val="nil"/>
                    <w:tr2bl w:val="nil"/>
                  </w:tcBorders>
                  <w:noWrap w:val="0"/>
                  <w:vAlign w:val="center"/>
                </w:tcPr>
                <w:p w14:paraId="53202740">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（2.1）全域禁止露天焚烧秸秆。城区建成区规模以上的餐饮服务单位全部安装高效油烟净化设施。严格控制烟花爆竹燃放，城区全面禁止燃放烟花爆竹。</w:t>
                  </w:r>
                </w:p>
                <w:p w14:paraId="45E4865D">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（2.2）严格禁养区管理，依法处理违规畜禽养殖行为。对全市限养区、适养区内传统畜禽养殖场全面进行提质改造，配套建设畜禽废弃物无害化处理和资源化利用设施设备，使畜禽养殖污水稳定达标排放。</w:t>
                  </w:r>
                </w:p>
              </w:tc>
              <w:tc>
                <w:tcPr>
                  <w:tcW w:w="1482" w:type="pct"/>
                  <w:gridSpan w:val="2"/>
                  <w:tcBorders>
                    <w:tl2br w:val="nil"/>
                    <w:tr2bl w:val="nil"/>
                  </w:tcBorders>
                  <w:noWrap w:val="0"/>
                  <w:vAlign w:val="center"/>
                </w:tcPr>
                <w:p w14:paraId="0CC16622">
                  <w:pPr>
                    <w:keepNext w:val="0"/>
                    <w:keepLines/>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sz w:val="21"/>
                      <w:szCs w:val="21"/>
                      <w:u w:val="single"/>
                      <w:lang w:val="en-US" w:eastAsia="zh-CN"/>
                    </w:rPr>
                  </w:pPr>
                  <w:r>
                    <w:rPr>
                      <w:rFonts w:hint="default" w:ascii="Times New Roman" w:hAnsi="Times New Roman" w:eastAsia="宋体" w:cs="Times New Roman"/>
                      <w:sz w:val="21"/>
                      <w:szCs w:val="21"/>
                      <w:u w:val="single"/>
                    </w:rPr>
                    <w:t>本项目属《国民经济行业分类》</w:t>
                  </w:r>
                  <w:r>
                    <w:rPr>
                      <w:rFonts w:hint="default" w:ascii="Times New Roman" w:hAnsi="Times New Roman" w:cs="Times New Roman"/>
                      <w:sz w:val="21"/>
                      <w:szCs w:val="21"/>
                      <w:u w:val="single"/>
                      <w:lang w:eastAsia="zh-CN"/>
                    </w:rPr>
                    <w:t>（</w:t>
                  </w:r>
                  <w:r>
                    <w:rPr>
                      <w:rFonts w:hint="default" w:ascii="Times New Roman" w:hAnsi="Times New Roman" w:eastAsia="宋体" w:cs="Times New Roman"/>
                      <w:sz w:val="21"/>
                      <w:szCs w:val="21"/>
                      <w:u w:val="single"/>
                    </w:rPr>
                    <w:t>GB/</w:t>
                  </w:r>
                  <w:r>
                    <w:rPr>
                      <w:rFonts w:hint="default" w:ascii="Times New Roman" w:hAnsi="Times New Roman" w:eastAsia="宋体" w:cs="Times New Roman"/>
                      <w:b w:val="0"/>
                      <w:bCs w:val="0"/>
                      <w:sz w:val="21"/>
                      <w:szCs w:val="21"/>
                      <w:u w:val="single"/>
                    </w:rPr>
                    <w:t>T4754-2017</w:t>
                  </w:r>
                  <w:r>
                    <w:rPr>
                      <w:rFonts w:hint="default" w:ascii="Times New Roman" w:hAnsi="Times New Roman" w:cs="Times New Roman"/>
                      <w:b w:val="0"/>
                      <w:bCs w:val="0"/>
                      <w:sz w:val="21"/>
                      <w:szCs w:val="21"/>
                      <w:u w:val="single"/>
                      <w:lang w:eastAsia="zh-CN"/>
                    </w:rPr>
                    <w:t>）</w:t>
                  </w:r>
                  <w:r>
                    <w:rPr>
                      <w:rFonts w:hint="default" w:ascii="Times New Roman" w:hAnsi="Times New Roman" w:cs="Times New Roman"/>
                      <w:b w:val="0"/>
                      <w:bCs w:val="0"/>
                      <w:sz w:val="21"/>
                      <w:szCs w:val="21"/>
                      <w:u w:val="single"/>
                      <w:lang w:val="en-US" w:eastAsia="zh-CN"/>
                    </w:rPr>
                    <w:t>中的</w:t>
                  </w:r>
                  <w:r>
                    <w:rPr>
                      <w:rFonts w:hint="default" w:ascii="Times New Roman" w:hAnsi="Times New Roman" w:eastAsia="宋体" w:cs="Times New Roman"/>
                      <w:b w:val="0"/>
                      <w:bCs w:val="0"/>
                      <w:sz w:val="21"/>
                      <w:szCs w:val="21"/>
                      <w:u w:val="single"/>
                    </w:rPr>
                    <w:t>F5265机动车燃油零售</w:t>
                  </w:r>
                  <w:r>
                    <w:rPr>
                      <w:rFonts w:hint="default" w:ascii="Times New Roman" w:hAnsi="Times New Roman" w:eastAsia="宋体" w:cs="Times New Roman"/>
                      <w:b w:val="0"/>
                      <w:bCs w:val="0"/>
                      <w:sz w:val="21"/>
                      <w:szCs w:val="21"/>
                      <w:u w:val="single"/>
                      <w:lang w:eastAsia="zh-CN"/>
                    </w:rPr>
                    <w:t>，</w:t>
                  </w:r>
                  <w:r>
                    <w:rPr>
                      <w:rFonts w:hint="default" w:ascii="Times New Roman" w:hAnsi="Times New Roman" w:cs="Times New Roman"/>
                      <w:b w:val="0"/>
                      <w:bCs w:val="0"/>
                      <w:sz w:val="21"/>
                      <w:szCs w:val="21"/>
                      <w:u w:val="single"/>
                      <w:lang w:val="en-US" w:eastAsia="zh-CN"/>
                    </w:rPr>
                    <w:t>不属于餐饮服务单位，不属于养殖业。</w:t>
                  </w:r>
                </w:p>
              </w:tc>
              <w:tc>
                <w:tcPr>
                  <w:tcW w:w="342" w:type="pct"/>
                  <w:tcBorders>
                    <w:tl2br w:val="nil"/>
                    <w:tr2bl w:val="nil"/>
                  </w:tcBorders>
                  <w:noWrap w:val="0"/>
                  <w:vAlign w:val="center"/>
                </w:tcPr>
                <w:p w14:paraId="7EF2EE60">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b w:val="0"/>
                      <w:bCs w:val="0"/>
                      <w:sz w:val="21"/>
                      <w:szCs w:val="21"/>
                      <w:u w:val="single"/>
                    </w:rPr>
                  </w:pPr>
                  <w:r>
                    <w:rPr>
                      <w:rFonts w:hint="default" w:ascii="Times New Roman" w:hAnsi="Times New Roman" w:eastAsia="宋体" w:cs="Times New Roman"/>
                      <w:b w:val="0"/>
                      <w:bCs w:val="0"/>
                      <w:kern w:val="0"/>
                      <w:sz w:val="21"/>
                      <w:szCs w:val="21"/>
                      <w:u w:val="single"/>
                      <w:lang w:val="en-US" w:eastAsia="zh-CN" w:bidi="ar-SA"/>
                    </w:rPr>
                    <w:t>符合</w:t>
                  </w:r>
                </w:p>
              </w:tc>
            </w:tr>
            <w:tr w14:paraId="1CF0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l2br w:val="nil"/>
                    <w:tr2bl w:val="nil"/>
                  </w:tcBorders>
                  <w:noWrap w:val="0"/>
                  <w:vAlign w:val="center"/>
                </w:tcPr>
                <w:p w14:paraId="0B94989D">
                  <w:pPr>
                    <w:pStyle w:val="348"/>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环境风险防控</w:t>
                  </w:r>
                </w:p>
              </w:tc>
              <w:tc>
                <w:tcPr>
                  <w:tcW w:w="2646" w:type="pct"/>
                  <w:gridSpan w:val="2"/>
                  <w:tcBorders>
                    <w:tl2br w:val="nil"/>
                    <w:tr2bl w:val="nil"/>
                  </w:tcBorders>
                  <w:noWrap w:val="0"/>
                  <w:vAlign w:val="center"/>
                </w:tcPr>
                <w:p w14:paraId="12FE1190">
                  <w:pPr>
                    <w:keepNext w:val="0"/>
                    <w:keepLines/>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（3.1）按照《永州市“十四五”生态环境保护规划》《祁阳市突发环境事件应急预案》强化环境风险管控，完善环境风险防控体系。</w:t>
                  </w:r>
                </w:p>
              </w:tc>
              <w:tc>
                <w:tcPr>
                  <w:tcW w:w="1482" w:type="pct"/>
                  <w:gridSpan w:val="2"/>
                  <w:tcBorders>
                    <w:tl2br w:val="nil"/>
                    <w:tr2bl w:val="nil"/>
                  </w:tcBorders>
                  <w:noWrap w:val="0"/>
                  <w:vAlign w:val="center"/>
                </w:tcPr>
                <w:p w14:paraId="1A6BE512">
                  <w:pPr>
                    <w:keepNext w:val="0"/>
                    <w:keepLines/>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sz w:val="21"/>
                      <w:szCs w:val="21"/>
                      <w:u w:val="single"/>
                      <w:lang w:eastAsia="zh-CN"/>
                    </w:rPr>
                  </w:pPr>
                  <w:r>
                    <w:rPr>
                      <w:rFonts w:hint="eastAsia" w:cs="Times New Roman"/>
                      <w:b w:val="0"/>
                      <w:bCs w:val="0"/>
                      <w:sz w:val="21"/>
                      <w:szCs w:val="21"/>
                      <w:u w:val="single"/>
                      <w:lang w:val="en-US" w:eastAsia="zh-CN"/>
                    </w:rPr>
                    <w:t>本次评价要求建设单位</w:t>
                  </w:r>
                  <w:r>
                    <w:rPr>
                      <w:rFonts w:hint="default" w:ascii="Times New Roman" w:hAnsi="Times New Roman" w:cs="Times New Roman"/>
                      <w:szCs w:val="21"/>
                      <w:u w:val="single"/>
                    </w:rPr>
                    <w:t>按照《湖南省突发环境事件应急预案管理办法（修订版）》（湘环发〔2024〕49号）</w:t>
                  </w:r>
                  <w:r>
                    <w:rPr>
                      <w:rFonts w:hint="default" w:ascii="Times New Roman" w:hAnsi="Times New Roman" w:cs="Times New Roman"/>
                      <w:b w:val="0"/>
                      <w:bCs w:val="0"/>
                      <w:sz w:val="21"/>
                      <w:szCs w:val="21"/>
                      <w:u w:val="single"/>
                      <w:lang w:eastAsia="zh-CN"/>
                    </w:rPr>
                    <w:t>，</w:t>
                  </w:r>
                  <w:r>
                    <w:rPr>
                      <w:rFonts w:hint="eastAsia" w:cs="Times New Roman"/>
                      <w:b w:val="0"/>
                      <w:bCs w:val="0"/>
                      <w:sz w:val="21"/>
                      <w:szCs w:val="21"/>
                      <w:u w:val="single"/>
                      <w:lang w:val="en-US" w:eastAsia="zh-CN"/>
                    </w:rPr>
                    <w:t>核实环境风险等级，并完善环境风险管控，</w:t>
                  </w:r>
                  <w:r>
                    <w:rPr>
                      <w:rFonts w:hint="default" w:ascii="Times New Roman" w:hAnsi="Times New Roman" w:cs="Times New Roman"/>
                      <w:b w:val="0"/>
                      <w:bCs w:val="0"/>
                      <w:sz w:val="21"/>
                      <w:szCs w:val="21"/>
                      <w:u w:val="single"/>
                      <w:lang w:val="en-US" w:eastAsia="zh-CN"/>
                    </w:rPr>
                    <w:t>对汽油和柴油建立</w:t>
                  </w:r>
                  <w:r>
                    <w:rPr>
                      <w:rFonts w:hint="default" w:ascii="Times New Roman" w:hAnsi="Times New Roman" w:cs="Times New Roman"/>
                      <w:b w:val="0"/>
                      <w:bCs w:val="0"/>
                      <w:sz w:val="21"/>
                      <w:szCs w:val="21"/>
                      <w:u w:val="single"/>
                    </w:rPr>
                    <w:t>安全风险数据库和信息管理系统</w:t>
                  </w:r>
                  <w:r>
                    <w:rPr>
                      <w:rFonts w:hint="default" w:ascii="Times New Roman" w:hAnsi="Times New Roman" w:cs="Times New Roman"/>
                      <w:b w:val="0"/>
                      <w:bCs w:val="0"/>
                      <w:sz w:val="21"/>
                      <w:szCs w:val="21"/>
                      <w:u w:val="single"/>
                      <w:lang w:eastAsia="zh-CN"/>
                    </w:rPr>
                    <w:t>，</w:t>
                  </w:r>
                  <w:r>
                    <w:rPr>
                      <w:rFonts w:hint="default" w:ascii="Times New Roman" w:hAnsi="Times New Roman" w:cs="Times New Roman"/>
                      <w:b w:val="0"/>
                      <w:bCs w:val="0"/>
                      <w:sz w:val="21"/>
                      <w:szCs w:val="21"/>
                      <w:u w:val="single"/>
                    </w:rPr>
                    <w:t>落实危险化学品“禁限控”目录。</w:t>
                  </w:r>
                </w:p>
              </w:tc>
              <w:tc>
                <w:tcPr>
                  <w:tcW w:w="342" w:type="pct"/>
                  <w:tcBorders>
                    <w:tl2br w:val="nil"/>
                    <w:tr2bl w:val="nil"/>
                  </w:tcBorders>
                  <w:noWrap w:val="0"/>
                  <w:vAlign w:val="center"/>
                </w:tcPr>
                <w:p w14:paraId="4AB99980">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b w:val="0"/>
                      <w:bCs w:val="0"/>
                      <w:sz w:val="21"/>
                      <w:szCs w:val="21"/>
                      <w:u w:val="single"/>
                    </w:rPr>
                  </w:pPr>
                  <w:r>
                    <w:rPr>
                      <w:rFonts w:hint="default" w:ascii="Times New Roman" w:hAnsi="Times New Roman" w:eastAsia="宋体" w:cs="Times New Roman"/>
                      <w:b w:val="0"/>
                      <w:bCs w:val="0"/>
                      <w:kern w:val="0"/>
                      <w:sz w:val="21"/>
                      <w:szCs w:val="21"/>
                      <w:u w:val="single"/>
                      <w:lang w:val="en-US" w:eastAsia="zh-CN" w:bidi="ar-SA"/>
                    </w:rPr>
                    <w:t>符合</w:t>
                  </w:r>
                </w:p>
              </w:tc>
            </w:tr>
            <w:tr w14:paraId="1537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tcBorders>
                    <w:tl2br w:val="nil"/>
                    <w:tr2bl w:val="nil"/>
                  </w:tcBorders>
                  <w:noWrap w:val="0"/>
                  <w:vAlign w:val="center"/>
                </w:tcPr>
                <w:p w14:paraId="2529EE14">
                  <w:pPr>
                    <w:pStyle w:val="348"/>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z w:val="21"/>
                      <w:szCs w:val="21"/>
                      <w:u w:val="single"/>
                    </w:rPr>
                  </w:pPr>
                  <w:r>
                    <w:rPr>
                      <w:rFonts w:hint="default" w:ascii="Times New Roman" w:hAnsi="Times New Roman" w:cs="Times New Roman"/>
                      <w:b w:val="0"/>
                      <w:bCs w:val="0"/>
                      <w:sz w:val="21"/>
                      <w:szCs w:val="21"/>
                      <w:u w:val="single"/>
                    </w:rPr>
                    <w:t>资源开发效率要求</w:t>
                  </w:r>
                </w:p>
              </w:tc>
              <w:tc>
                <w:tcPr>
                  <w:tcW w:w="2646" w:type="pct"/>
                  <w:gridSpan w:val="2"/>
                  <w:tcBorders>
                    <w:tl2br w:val="nil"/>
                    <w:tr2bl w:val="nil"/>
                  </w:tcBorders>
                  <w:noWrap w:val="0"/>
                  <w:vAlign w:val="center"/>
                </w:tcPr>
                <w:p w14:paraId="38C00156">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（4.1）能源：</w:t>
                  </w:r>
                </w:p>
                <w:p w14:paraId="6D65E0D3">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加快推进煤改气、煤改电、煤改清洁能源等工程实施，拓展天然气供应渠道，加快建设风能、太阳能、生物质能和地热等新能源应用示范项目，并逐步推广，减少煤炭使用量，到2025年煤炭占一次能源消费比重控制在50%以内。</w:t>
                  </w:r>
                </w:p>
                <w:p w14:paraId="6D9B6B24">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（4.2）水资源：</w:t>
                  </w:r>
                </w:p>
                <w:p w14:paraId="16469BE1">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4.2.1）到2025年，祁阳市用水总量控制在34567万立方米以内，农业用水总量控制在28071万立方米以内，万元地区生产总值用水量、万元工业增加值用水量分别比2020年降低18.06%、8.87%，农田灌溉水有效利用系数为0.545。</w:t>
                  </w:r>
                </w:p>
                <w:p w14:paraId="47A87F0A">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（4.2.2）加强生态流量保障。“十四五”期间通过明确闸坝、水库生态调度任务和推进农村水电站生态流量监管，对水资源进行优化调度，保障河流生态流量和最小水位要求。</w:t>
                  </w:r>
                </w:p>
                <w:p w14:paraId="0684E9A2">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（4.3）土地资源：</w:t>
                  </w:r>
                </w:p>
                <w:p w14:paraId="28C20A11">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规划到2035年，全市耕地保有量不低于70.11万亩（其中金洞管理区2.62万亩），永久基本农田保护面积不低于65万亩（其中金洞管理区2.38万亩），全市生态保护红线面积不低于523.30平方千米（其中金洞管理区104.38平方千米）；全市划定城镇开发边界54.96平方千米以内（其中金洞管理区控制在0.86平方千米以内），划定城镇发展区5561.36公顷，乡村发展区88006.56公顷，矿产能源发展区779.61公顷。</w:t>
                  </w:r>
                </w:p>
                <w:p w14:paraId="719D6240">
                  <w:pPr>
                    <w:pStyle w:val="348"/>
                    <w:keepNext w:val="0"/>
                    <w:keepLines/>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cs="Times New Roman"/>
                      <w:b w:val="0"/>
                      <w:bCs w:val="0"/>
                      <w:color w:val="auto"/>
                      <w:sz w:val="21"/>
                      <w:szCs w:val="21"/>
                      <w:highlight w:val="none"/>
                      <w:u w:val="single"/>
                    </w:rPr>
                    <w:t>（4.4）观音滩镇、浯溪街道：高污染燃料禁燃区执行《祁阳县人民政府关于调整高污染燃料禁燃区的通知》（祁政发〔2020〕23号）有关规定。</w:t>
                  </w:r>
                </w:p>
              </w:tc>
              <w:tc>
                <w:tcPr>
                  <w:tcW w:w="1482" w:type="pct"/>
                  <w:gridSpan w:val="2"/>
                  <w:tcBorders>
                    <w:tl2br w:val="nil"/>
                    <w:tr2bl w:val="nil"/>
                  </w:tcBorders>
                  <w:noWrap w:val="0"/>
                  <w:vAlign w:val="center"/>
                </w:tcPr>
                <w:p w14:paraId="53A0F01E">
                  <w:pPr>
                    <w:keepNext w:val="0"/>
                    <w:keepLines/>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kern w:val="0"/>
                      <w:sz w:val="21"/>
                      <w:szCs w:val="21"/>
                      <w:highlight w:val="none"/>
                      <w:u w:val="single"/>
                      <w:lang w:bidi="ar"/>
                    </w:rPr>
                    <w:t>本项目使用电作为能源</w:t>
                  </w:r>
                  <w:r>
                    <w:rPr>
                      <w:rFonts w:hint="eastAsia" w:cs="Times New Roman"/>
                      <w:b w:val="0"/>
                      <w:bCs w:val="0"/>
                      <w:color w:val="auto"/>
                      <w:kern w:val="0"/>
                      <w:sz w:val="21"/>
                      <w:szCs w:val="21"/>
                      <w:highlight w:val="none"/>
                      <w:u w:val="single"/>
                      <w:lang w:eastAsia="zh-CN" w:bidi="ar"/>
                    </w:rPr>
                    <w:t>；</w:t>
                  </w:r>
                  <w:r>
                    <w:rPr>
                      <w:rFonts w:hint="eastAsia" w:cs="Times New Roman"/>
                      <w:b w:val="0"/>
                      <w:bCs w:val="0"/>
                      <w:color w:val="auto"/>
                      <w:kern w:val="0"/>
                      <w:sz w:val="21"/>
                      <w:szCs w:val="21"/>
                      <w:highlight w:val="none"/>
                      <w:u w:val="single"/>
                      <w:lang w:val="en-US" w:eastAsia="zh-CN" w:bidi="ar"/>
                    </w:rPr>
                    <w:t>项目用水量较少，</w:t>
                  </w:r>
                  <w:r>
                    <w:rPr>
                      <w:rFonts w:hint="default" w:ascii="Times New Roman" w:hAnsi="Times New Roman" w:cs="Times New Roman"/>
                      <w:b w:val="0"/>
                      <w:bCs w:val="0"/>
                      <w:color w:val="auto"/>
                      <w:kern w:val="0"/>
                      <w:sz w:val="21"/>
                      <w:szCs w:val="21"/>
                      <w:highlight w:val="none"/>
                      <w:u w:val="single"/>
                      <w:lang w:bidi="ar"/>
                    </w:rPr>
                    <w:t>项目</w:t>
                  </w:r>
                  <w:r>
                    <w:rPr>
                      <w:rFonts w:hint="eastAsia" w:cs="Times New Roman"/>
                      <w:b w:val="0"/>
                      <w:bCs w:val="0"/>
                      <w:color w:val="auto"/>
                      <w:kern w:val="0"/>
                      <w:sz w:val="21"/>
                      <w:szCs w:val="21"/>
                      <w:highlight w:val="none"/>
                      <w:u w:val="single"/>
                      <w:lang w:val="en-US" w:eastAsia="zh-CN" w:bidi="ar"/>
                    </w:rPr>
                    <w:t>将</w:t>
                  </w:r>
                  <w:r>
                    <w:rPr>
                      <w:rFonts w:hint="default" w:ascii="Times New Roman" w:hAnsi="Times New Roman" w:cs="Times New Roman"/>
                      <w:b w:val="0"/>
                      <w:bCs w:val="0"/>
                      <w:color w:val="auto"/>
                      <w:kern w:val="0"/>
                      <w:sz w:val="21"/>
                      <w:szCs w:val="21"/>
                      <w:highlight w:val="none"/>
                      <w:u w:val="single"/>
                      <w:lang w:bidi="ar"/>
                    </w:rPr>
                    <w:t>合理利用水资源</w:t>
                  </w:r>
                  <w:r>
                    <w:rPr>
                      <w:rFonts w:hint="eastAsia" w:cs="Times New Roman"/>
                      <w:b w:val="0"/>
                      <w:bCs w:val="0"/>
                      <w:color w:val="auto"/>
                      <w:kern w:val="0"/>
                      <w:sz w:val="21"/>
                      <w:szCs w:val="21"/>
                      <w:highlight w:val="none"/>
                      <w:u w:val="single"/>
                      <w:lang w:eastAsia="zh-CN" w:bidi="ar"/>
                    </w:rPr>
                    <w:t>；</w:t>
                  </w:r>
                  <w:r>
                    <w:rPr>
                      <w:rFonts w:hint="default" w:ascii="Times New Roman" w:hAnsi="Times New Roman" w:cs="Times New Roman"/>
                      <w:b w:val="0"/>
                      <w:bCs w:val="0"/>
                      <w:color w:val="auto"/>
                      <w:kern w:val="0"/>
                      <w:sz w:val="21"/>
                      <w:szCs w:val="21"/>
                      <w:highlight w:val="none"/>
                      <w:u w:val="single"/>
                      <w:lang w:val="en-US" w:eastAsia="zh-CN" w:bidi="ar"/>
                    </w:rPr>
                    <w:t>本项目用地类型属于</w:t>
                  </w:r>
                  <w:r>
                    <w:rPr>
                      <w:rFonts w:hint="eastAsia" w:cs="Times New Roman"/>
                      <w:b w:val="0"/>
                      <w:bCs w:val="0"/>
                      <w:color w:val="auto"/>
                      <w:kern w:val="0"/>
                      <w:sz w:val="21"/>
                      <w:szCs w:val="21"/>
                      <w:highlight w:val="none"/>
                      <w:u w:val="single"/>
                      <w:lang w:val="en-US" w:eastAsia="zh-CN" w:bidi="ar"/>
                    </w:rPr>
                    <w:t>建设用地</w:t>
                  </w:r>
                  <w:r>
                    <w:rPr>
                      <w:rFonts w:hint="default" w:ascii="Times New Roman" w:hAnsi="Times New Roman" w:cs="Times New Roman"/>
                      <w:b w:val="0"/>
                      <w:bCs w:val="0"/>
                      <w:color w:val="auto"/>
                      <w:kern w:val="0"/>
                      <w:sz w:val="21"/>
                      <w:szCs w:val="21"/>
                      <w:highlight w:val="none"/>
                      <w:u w:val="single"/>
                      <w:lang w:val="en-US" w:eastAsia="zh-CN" w:bidi="ar"/>
                    </w:rPr>
                    <w:t>，位于划定城镇发展区内</w:t>
                  </w:r>
                  <w:r>
                    <w:rPr>
                      <w:rFonts w:hint="eastAsia" w:cs="Times New Roman"/>
                      <w:b w:val="0"/>
                      <w:bCs w:val="0"/>
                      <w:color w:val="auto"/>
                      <w:kern w:val="0"/>
                      <w:sz w:val="21"/>
                      <w:szCs w:val="21"/>
                      <w:highlight w:val="none"/>
                      <w:u w:val="single"/>
                      <w:lang w:val="en-US" w:eastAsia="zh-CN" w:bidi="ar"/>
                    </w:rPr>
                    <w:t>；</w:t>
                  </w:r>
                  <w:r>
                    <w:rPr>
                      <w:rFonts w:hint="default" w:ascii="Times New Roman" w:hAnsi="Times New Roman" w:cs="Times New Roman"/>
                      <w:b w:val="0"/>
                      <w:bCs w:val="0"/>
                      <w:color w:val="auto"/>
                      <w:kern w:val="0"/>
                      <w:sz w:val="21"/>
                      <w:szCs w:val="21"/>
                      <w:highlight w:val="none"/>
                      <w:u w:val="single"/>
                      <w:lang w:val="en-US" w:eastAsia="zh-CN" w:bidi="ar"/>
                    </w:rPr>
                    <w:t>本项目不涉及</w:t>
                  </w:r>
                  <w:r>
                    <w:rPr>
                      <w:rFonts w:hint="eastAsia" w:cs="Times New Roman"/>
                      <w:b w:val="0"/>
                      <w:bCs w:val="0"/>
                      <w:color w:val="auto"/>
                      <w:kern w:val="0"/>
                      <w:sz w:val="21"/>
                      <w:szCs w:val="21"/>
                      <w:highlight w:val="none"/>
                      <w:u w:val="single"/>
                      <w:lang w:val="en-US" w:eastAsia="zh-CN" w:bidi="ar"/>
                    </w:rPr>
                    <w:t>高</w:t>
                  </w:r>
                  <w:r>
                    <w:rPr>
                      <w:rFonts w:hint="default" w:ascii="Times New Roman" w:hAnsi="Times New Roman" w:cs="Times New Roman"/>
                      <w:b w:val="0"/>
                      <w:bCs w:val="0"/>
                      <w:color w:val="auto"/>
                      <w:kern w:val="0"/>
                      <w:sz w:val="21"/>
                      <w:szCs w:val="21"/>
                      <w:highlight w:val="none"/>
                      <w:u w:val="single"/>
                      <w:lang w:val="en-US" w:eastAsia="zh-CN" w:bidi="ar"/>
                    </w:rPr>
                    <w:t>污染燃料的使用</w:t>
                  </w:r>
                  <w:r>
                    <w:rPr>
                      <w:rFonts w:hint="eastAsia" w:cs="Times New Roman"/>
                      <w:b w:val="0"/>
                      <w:bCs w:val="0"/>
                      <w:color w:val="auto"/>
                      <w:kern w:val="0"/>
                      <w:sz w:val="21"/>
                      <w:szCs w:val="21"/>
                      <w:highlight w:val="none"/>
                      <w:u w:val="single"/>
                      <w:lang w:val="en-US" w:eastAsia="zh-CN" w:bidi="ar"/>
                    </w:rPr>
                    <w:t>，本项目不在禁燃区范围内</w:t>
                  </w:r>
                  <w:r>
                    <w:rPr>
                      <w:rFonts w:hint="default" w:ascii="Times New Roman" w:hAnsi="Times New Roman" w:cs="Times New Roman"/>
                      <w:b w:val="0"/>
                      <w:bCs w:val="0"/>
                      <w:color w:val="auto"/>
                      <w:kern w:val="0"/>
                      <w:sz w:val="21"/>
                      <w:szCs w:val="21"/>
                      <w:highlight w:val="none"/>
                      <w:u w:val="single"/>
                      <w:lang w:val="en-US" w:eastAsia="zh-CN" w:bidi="ar"/>
                    </w:rPr>
                    <w:t>。</w:t>
                  </w:r>
                </w:p>
              </w:tc>
              <w:tc>
                <w:tcPr>
                  <w:tcW w:w="342" w:type="pct"/>
                  <w:tcBorders>
                    <w:tl2br w:val="nil"/>
                    <w:tr2bl w:val="nil"/>
                  </w:tcBorders>
                  <w:noWrap w:val="0"/>
                  <w:vAlign w:val="center"/>
                </w:tcPr>
                <w:p w14:paraId="241D9219">
                  <w:pPr>
                    <w:keepNext w:val="0"/>
                    <w:keepLines/>
                    <w:pageBreakBefore w:val="0"/>
                    <w:widowControl w:val="0"/>
                    <w:kinsoku/>
                    <w:wordWrap/>
                    <w:topLinePunct w:val="0"/>
                    <w:bidi w:val="0"/>
                    <w:ind w:left="-53" w:leftChars="-25" w:right="-53" w:rightChars="-25"/>
                    <w:jc w:val="center"/>
                    <w:rPr>
                      <w:rFonts w:hint="default" w:ascii="Times New Roman" w:hAnsi="Times New Roman" w:cs="Times New Roman"/>
                      <w:b w:val="0"/>
                      <w:bCs w:val="0"/>
                      <w:sz w:val="21"/>
                      <w:szCs w:val="21"/>
                      <w:u w:val="single"/>
                    </w:rPr>
                  </w:pPr>
                  <w:r>
                    <w:rPr>
                      <w:rFonts w:hint="default" w:ascii="Times New Roman" w:hAnsi="Times New Roman" w:eastAsia="宋体" w:cs="Times New Roman"/>
                      <w:b w:val="0"/>
                      <w:bCs w:val="0"/>
                      <w:kern w:val="0"/>
                      <w:sz w:val="21"/>
                      <w:szCs w:val="21"/>
                      <w:u w:val="single"/>
                      <w:lang w:val="en-US" w:eastAsia="zh-CN" w:bidi="ar-SA"/>
                    </w:rPr>
                    <w:t>符合</w:t>
                  </w:r>
                </w:p>
              </w:tc>
            </w:tr>
          </w:tbl>
          <w:p w14:paraId="3BB7E6C3">
            <w:pPr>
              <w:pStyle w:val="50"/>
              <w:keepNext w:val="0"/>
              <w:keepLines/>
              <w:pageBreakBefore w:val="0"/>
              <w:widowControl w:val="0"/>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综合上表，本项目与《永州市生态环境局关于发布永州市生态环境分区管控更新成果（2023版）的通知》中相关要求相符。</w:t>
            </w:r>
          </w:p>
          <w:p w14:paraId="1337B7E5">
            <w:pPr>
              <w:widowControl/>
              <w:spacing w:line="360" w:lineRule="auto"/>
              <w:jc w:val="left"/>
              <w:rPr>
                <w:sz w:val="24"/>
              </w:rPr>
            </w:pPr>
            <w:r>
              <w:rPr>
                <w:rFonts w:hint="eastAsia"/>
                <w:b/>
                <w:sz w:val="24"/>
                <w:lang w:val="en-US" w:eastAsia="zh-CN"/>
              </w:rPr>
              <w:t>1.</w:t>
            </w:r>
            <w:r>
              <w:rPr>
                <w:rFonts w:hint="eastAsia"/>
                <w:b/>
                <w:sz w:val="24"/>
              </w:rPr>
              <w:t>2</w:t>
            </w:r>
            <w:r>
              <w:rPr>
                <w:rFonts w:hint="eastAsia"/>
                <w:b/>
                <w:sz w:val="24"/>
                <w:lang w:val="en-US" w:eastAsia="zh-CN"/>
              </w:rPr>
              <w:t xml:space="preserve"> </w:t>
            </w:r>
            <w:r>
              <w:rPr>
                <w:b/>
                <w:bCs/>
                <w:kern w:val="0"/>
                <w:sz w:val="24"/>
                <w:lang w:bidi="ar"/>
              </w:rPr>
              <w:t>与《</w:t>
            </w:r>
            <w:r>
              <w:rPr>
                <w:rFonts w:hint="eastAsia"/>
                <w:b/>
                <w:bCs/>
                <w:kern w:val="0"/>
                <w:sz w:val="24"/>
                <w:lang w:val="en-US" w:eastAsia="zh-CN" w:bidi="ar"/>
              </w:rPr>
              <w:t>永州市</w:t>
            </w:r>
            <w:r>
              <w:rPr>
                <w:b/>
                <w:bCs/>
                <w:kern w:val="0"/>
                <w:sz w:val="24"/>
                <w:lang w:bidi="ar"/>
              </w:rPr>
              <w:t>“十四五”生态环境保护规划》的符合性分析</w:t>
            </w:r>
          </w:p>
          <w:p w14:paraId="2C14A218">
            <w:pPr>
              <w:spacing w:line="360" w:lineRule="auto"/>
              <w:ind w:firstLine="480" w:firstLineChars="200"/>
              <w:rPr>
                <w:rFonts w:hint="eastAsia"/>
                <w:sz w:val="24"/>
              </w:rPr>
            </w:pPr>
            <w:r>
              <w:rPr>
                <w:rFonts w:hint="eastAsia"/>
                <w:sz w:val="24"/>
              </w:rPr>
              <w:t>根据《永州市“十四五”生态环境保护规划》中“（二）严格环境准入与管控”相关内容，分析如下：</w:t>
            </w:r>
          </w:p>
          <w:p w14:paraId="37913C28">
            <w:pPr>
              <w:bidi w:val="0"/>
              <w:spacing w:line="240" w:lineRule="auto"/>
              <w:ind w:left="0" w:leftChars="0" w:firstLine="0" w:firstLineChars="0"/>
              <w:jc w:val="center"/>
              <w:rPr>
                <w:rFonts w:hint="default" w:ascii="Times New Roman" w:hAnsi="Times New Roman" w:eastAsia="宋体" w:cs="Times New Roman"/>
                <w:b/>
                <w:bCs/>
                <w:color w:val="auto"/>
                <w:kern w:val="0"/>
                <w:sz w:val="24"/>
                <w:szCs w:val="24"/>
                <w:u w:val="none"/>
                <w:lang w:val="en-US" w:eastAsia="zh-CN" w:bidi="ar-SA"/>
              </w:rPr>
            </w:pPr>
            <w:r>
              <w:rPr>
                <w:rFonts w:hint="default" w:ascii="Times New Roman" w:hAnsi="Times New Roman" w:eastAsia="宋体" w:cs="Times New Roman"/>
                <w:b/>
                <w:bCs/>
                <w:color w:val="auto"/>
                <w:kern w:val="0"/>
                <w:sz w:val="24"/>
                <w:szCs w:val="24"/>
                <w:u w:val="none"/>
                <w:lang w:val="en-US" w:eastAsia="zh-CN" w:bidi="ar-SA"/>
              </w:rPr>
              <w:t>表1-</w:t>
            </w:r>
            <w:r>
              <w:rPr>
                <w:rFonts w:hint="eastAsia" w:ascii="Times New Roman" w:hAnsi="Times New Roman" w:eastAsia="宋体" w:cs="Times New Roman"/>
                <w:b/>
                <w:bCs/>
                <w:color w:val="auto"/>
                <w:kern w:val="0"/>
                <w:sz w:val="24"/>
                <w:szCs w:val="24"/>
                <w:u w:val="none"/>
                <w:lang w:val="en-US" w:eastAsia="zh-CN" w:bidi="ar-SA"/>
              </w:rPr>
              <w:t>2</w:t>
            </w:r>
            <w:r>
              <w:rPr>
                <w:rFonts w:hint="default" w:ascii="Times New Roman" w:hAnsi="Times New Roman" w:eastAsia="宋体" w:cs="Times New Roman"/>
                <w:b/>
                <w:bCs/>
                <w:color w:val="auto"/>
                <w:kern w:val="0"/>
                <w:sz w:val="24"/>
                <w:szCs w:val="24"/>
                <w:u w:val="none"/>
                <w:lang w:val="en-US" w:eastAsia="zh-CN" w:bidi="ar-SA"/>
              </w:rPr>
              <w:t xml:space="preserve"> 与永州市“十四五”生态环境保护规划符合性分析</w:t>
            </w:r>
          </w:p>
          <w:tbl>
            <w:tblPr>
              <w:tblStyle w:val="51"/>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8"/>
              <w:gridCol w:w="651"/>
              <w:gridCol w:w="4546"/>
              <w:gridCol w:w="1333"/>
              <w:gridCol w:w="466"/>
            </w:tblGrid>
            <w:tr w14:paraId="358B9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4" w:type="pct"/>
                  <w:noWrap w:val="0"/>
                  <w:vAlign w:val="center"/>
                </w:tcPr>
                <w:p w14:paraId="3F91C75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序号</w:t>
                  </w:r>
                </w:p>
              </w:tc>
              <w:tc>
                <w:tcPr>
                  <w:tcW w:w="438" w:type="pct"/>
                  <w:noWrap w:val="0"/>
                  <w:vAlign w:val="center"/>
                </w:tcPr>
                <w:p w14:paraId="7F5D180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规划内容</w:t>
                  </w:r>
                </w:p>
              </w:tc>
              <w:tc>
                <w:tcPr>
                  <w:tcW w:w="3057" w:type="pct"/>
                  <w:noWrap w:val="0"/>
                  <w:vAlign w:val="center"/>
                </w:tcPr>
                <w:p w14:paraId="47981D8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相关要求</w:t>
                  </w:r>
                </w:p>
              </w:tc>
              <w:tc>
                <w:tcPr>
                  <w:tcW w:w="896" w:type="pct"/>
                  <w:noWrap w:val="0"/>
                  <w:vAlign w:val="center"/>
                </w:tcPr>
                <w:p w14:paraId="79BBA9C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本项目情况</w:t>
                  </w:r>
                </w:p>
              </w:tc>
              <w:tc>
                <w:tcPr>
                  <w:tcW w:w="313" w:type="pct"/>
                  <w:noWrap w:val="0"/>
                  <w:vAlign w:val="center"/>
                </w:tcPr>
                <w:p w14:paraId="7447339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符合性</w:t>
                  </w:r>
                </w:p>
              </w:tc>
            </w:tr>
            <w:tr w14:paraId="3C901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294" w:type="pct"/>
                  <w:noWrap w:val="0"/>
                  <w:vAlign w:val="center"/>
                </w:tcPr>
                <w:p w14:paraId="187D5E24">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1</w:t>
                  </w:r>
                </w:p>
              </w:tc>
              <w:tc>
                <w:tcPr>
                  <w:tcW w:w="438" w:type="pct"/>
                  <w:noWrap w:val="0"/>
                  <w:vAlign w:val="center"/>
                </w:tcPr>
                <w:p w14:paraId="4256325B">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严格环境准入</w:t>
                  </w:r>
                </w:p>
              </w:tc>
              <w:tc>
                <w:tcPr>
                  <w:tcW w:w="3057" w:type="pct"/>
                  <w:noWrap w:val="0"/>
                  <w:vAlign w:val="center"/>
                </w:tcPr>
                <w:p w14:paraId="013E1B5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w:t>
                  </w:r>
                  <w:r>
                    <w:rPr>
                      <w:rFonts w:hint="default"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将建设项目污染物排放总量指标作为项目环评审批的前提条件，严控新增排放量。加强永州市11家省级工业园区生态环境准入管理。推进“三线一单”与排污许可、环评审批、环境监测、环境执法等数据系统共享。探索构建以“三线一单”为环境空间管控基础，以规划环评和项目环评为环境准入关口，以排污许可为企业运行守法依据，以执法、督察为环境监管闭环的全过程环境管理框架。</w:t>
                  </w:r>
                </w:p>
              </w:tc>
              <w:tc>
                <w:tcPr>
                  <w:tcW w:w="896" w:type="pct"/>
                  <w:noWrap w:val="0"/>
                  <w:vAlign w:val="center"/>
                </w:tcPr>
                <w:p w14:paraId="15D684DA">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本项目属《国民经济行业分类》（GB/T4754-2017）F5265机动车燃油零售，不属于落后产能和污染严重项目</w:t>
                  </w:r>
                </w:p>
              </w:tc>
              <w:tc>
                <w:tcPr>
                  <w:tcW w:w="313" w:type="pct"/>
                  <w:noWrap w:val="0"/>
                  <w:vAlign w:val="center"/>
                </w:tcPr>
                <w:p w14:paraId="6F19B23E">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2216A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294" w:type="pct"/>
                  <w:noWrap w:val="0"/>
                  <w:vAlign w:val="center"/>
                </w:tcPr>
                <w:p w14:paraId="270A1765">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w:t>
                  </w:r>
                </w:p>
              </w:tc>
              <w:tc>
                <w:tcPr>
                  <w:tcW w:w="438" w:type="pct"/>
                  <w:noWrap w:val="0"/>
                  <w:vAlign w:val="center"/>
                </w:tcPr>
                <w:p w14:paraId="251D9D36">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加强规划环境影响评价</w:t>
                  </w:r>
                </w:p>
              </w:tc>
              <w:tc>
                <w:tcPr>
                  <w:tcW w:w="3057" w:type="pct"/>
                  <w:noWrap w:val="0"/>
                  <w:vAlign w:val="center"/>
                </w:tcPr>
                <w:p w14:paraId="7EDE8D10">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两高”行业的有关综合性规划和工业、能源等专项规划，严格控制“两高”行业发展规模，优化规划布局与实施时序。推动在项目环评审批及事中事后监督管理中落实规划环评成果。</w:t>
                  </w:r>
                </w:p>
              </w:tc>
              <w:tc>
                <w:tcPr>
                  <w:tcW w:w="896" w:type="pct"/>
                  <w:noWrap w:val="0"/>
                  <w:vAlign w:val="center"/>
                </w:tcPr>
                <w:p w14:paraId="38660739">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本项目严格执行以环评制度为主体的生态环境源头预防制度</w:t>
                  </w:r>
                </w:p>
              </w:tc>
              <w:tc>
                <w:tcPr>
                  <w:tcW w:w="313" w:type="pct"/>
                  <w:noWrap w:val="0"/>
                  <w:vAlign w:val="center"/>
                </w:tcPr>
                <w:p w14:paraId="030D012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r w14:paraId="7351F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4" w:type="pct"/>
                  <w:noWrap w:val="0"/>
                  <w:vAlign w:val="center"/>
                </w:tcPr>
                <w:p w14:paraId="36FA7F11">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3</w:t>
                  </w:r>
                </w:p>
              </w:tc>
              <w:tc>
                <w:tcPr>
                  <w:tcW w:w="438" w:type="pct"/>
                  <w:noWrap w:val="0"/>
                  <w:vAlign w:val="center"/>
                </w:tcPr>
                <w:p w14:paraId="7FA96718">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全面实行排污许可制度</w:t>
                  </w:r>
                </w:p>
              </w:tc>
              <w:tc>
                <w:tcPr>
                  <w:tcW w:w="3057" w:type="pct"/>
                  <w:noWrap w:val="0"/>
                  <w:vAlign w:val="center"/>
                </w:tcPr>
                <w:p w14:paraId="05C3F75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推行以排污许可制为核心的固定污染源监管制度，推动工业固体废物、土壤环境要素全覆盖，实现固定污染源排污许可全覆盖。严格落实企业持证排污要求，按照“新老有别、平稳过渡”原则，推进排污口清理整治，规范排污口设置。依托排污许可证实施企事业单位污染物排放总量指标分配、监管和考核。加强对排污许可的事中事后监管管理，将排污许可执法检查纳入生态环境执法年度计划，落实排污许可“一证式”管理。持续做好排污许可证换证或登记延续动态更新。推进全市排污许可制度与环境影响评价制度有效融合，推动重点行业企业环境影响评价、排污许可、监管执法全闭环管理。</w:t>
                  </w:r>
                </w:p>
              </w:tc>
              <w:tc>
                <w:tcPr>
                  <w:tcW w:w="896" w:type="pct"/>
                  <w:noWrap w:val="0"/>
                  <w:vAlign w:val="center"/>
                </w:tcPr>
                <w:p w14:paraId="5A9EEB2F">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本项目严格执行排污许可</w:t>
                  </w:r>
                  <w:r>
                    <w:rPr>
                      <w:rFonts w:hint="eastAsia" w:cs="Times New Roman"/>
                      <w:color w:val="auto"/>
                      <w:sz w:val="21"/>
                      <w:szCs w:val="21"/>
                      <w:highlight w:val="none"/>
                      <w:u w:val="none"/>
                      <w:lang w:val="en-US" w:eastAsia="zh-CN"/>
                    </w:rPr>
                    <w:t>制度</w:t>
                  </w:r>
                  <w:r>
                    <w:rPr>
                      <w:rFonts w:hint="default" w:ascii="Times New Roman" w:hAnsi="Times New Roman" w:cs="Times New Roman"/>
                      <w:color w:val="auto"/>
                      <w:sz w:val="21"/>
                      <w:szCs w:val="21"/>
                      <w:highlight w:val="none"/>
                      <w:u w:val="none"/>
                    </w:rPr>
                    <w:t>为核心的固定污染源监管制度</w:t>
                  </w:r>
                </w:p>
              </w:tc>
              <w:tc>
                <w:tcPr>
                  <w:tcW w:w="313" w:type="pct"/>
                  <w:noWrap w:val="0"/>
                  <w:vAlign w:val="center"/>
                </w:tcPr>
                <w:p w14:paraId="56E95A42">
                  <w:pPr>
                    <w:spacing w:line="240" w:lineRule="auto"/>
                    <w:ind w:firstLine="0" w:firstLineChars="0"/>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符合</w:t>
                  </w:r>
                </w:p>
              </w:tc>
            </w:tr>
          </w:tbl>
          <w:p w14:paraId="700FD827">
            <w:pPr>
              <w:widowControl/>
              <w:spacing w:line="360" w:lineRule="auto"/>
              <w:ind w:firstLine="480" w:firstLineChars="200"/>
              <w:jc w:val="left"/>
              <w:rPr>
                <w:sz w:val="24"/>
              </w:rPr>
            </w:pPr>
            <w:r>
              <w:rPr>
                <w:rFonts w:hint="eastAsia"/>
                <w:sz w:val="24"/>
                <w:lang w:val="en-US" w:eastAsia="zh-CN"/>
              </w:rPr>
              <w:t>综上，本项目与《永州市“十四五”生态环境保护规划》相符合</w:t>
            </w:r>
            <w:r>
              <w:rPr>
                <w:sz w:val="24"/>
              </w:rPr>
              <w:t>。</w:t>
            </w:r>
          </w:p>
          <w:p w14:paraId="3DFEBE13">
            <w:pPr>
              <w:wordWrap w:val="0"/>
              <w:topLinePunct/>
              <w:adjustRightInd w:val="0"/>
              <w:snapToGrid w:val="0"/>
              <w:spacing w:line="360" w:lineRule="auto"/>
              <w:rPr>
                <w:b/>
                <w:kern w:val="0"/>
                <w:sz w:val="24"/>
              </w:rPr>
            </w:pPr>
            <w:r>
              <w:rPr>
                <w:rFonts w:hint="eastAsia"/>
                <w:b/>
                <w:kern w:val="0"/>
                <w:sz w:val="24"/>
                <w:lang w:val="en-US" w:eastAsia="zh-CN"/>
              </w:rPr>
              <w:t xml:space="preserve">1.3 </w:t>
            </w:r>
            <w:r>
              <w:rPr>
                <w:b/>
                <w:kern w:val="0"/>
                <w:sz w:val="24"/>
              </w:rPr>
              <w:t>产业政策相符性分析</w:t>
            </w:r>
          </w:p>
          <w:p w14:paraId="62144428">
            <w:pPr>
              <w:pStyle w:val="71"/>
              <w:wordWrap w:val="0"/>
              <w:topLinePunct/>
              <w:autoSpaceDE/>
              <w:autoSpaceDN/>
              <w:snapToGrid w:val="0"/>
              <w:spacing w:line="360" w:lineRule="auto"/>
              <w:ind w:firstLine="480" w:firstLineChars="200"/>
              <w:rPr>
                <w:rFonts w:ascii="Times New Roman" w:hAnsi="Times New Roman" w:cs="Times New Roman"/>
                <w:bCs/>
                <w:color w:val="auto"/>
              </w:rPr>
            </w:pPr>
            <w:r>
              <w:rPr>
                <w:rFonts w:ascii="Times New Roman" w:hAnsi="Times New Roman" w:cs="Times New Roman"/>
                <w:color w:val="auto"/>
              </w:rPr>
              <w:t>本项目属于机动车燃油销售，主要销售汽油及柴油</w:t>
            </w:r>
            <w:r>
              <w:rPr>
                <w:rFonts w:ascii="Times New Roman" w:hAnsi="Times New Roman" w:cs="Times New Roman"/>
                <w:color w:val="auto"/>
                <w:spacing w:val="7"/>
              </w:rPr>
              <w:t>。</w:t>
            </w:r>
            <w:r>
              <w:rPr>
                <w:rFonts w:ascii="Times New Roman" w:hAnsi="Times New Roman" w:cs="Times New Roman"/>
                <w:color w:val="auto"/>
              </w:rPr>
              <w:t>经查阅，本项目</w:t>
            </w:r>
            <w:r>
              <w:rPr>
                <w:rFonts w:ascii="Times New Roman" w:hAnsi="Times New Roman" w:cs="Times New Roman"/>
                <w:bCs/>
                <w:color w:val="auto"/>
              </w:rPr>
              <w:t>的生产工艺、设备、产品</w:t>
            </w:r>
            <w:r>
              <w:rPr>
                <w:rFonts w:ascii="Times New Roman" w:hAnsi="Times New Roman" w:cs="Times New Roman"/>
                <w:color w:val="auto"/>
              </w:rPr>
              <w:t>不属于《产业结构调整指导目录(20</w:t>
            </w:r>
            <w:r>
              <w:rPr>
                <w:rFonts w:hint="eastAsia" w:ascii="Times New Roman" w:hAnsi="Times New Roman" w:cs="Times New Roman"/>
                <w:color w:val="auto"/>
                <w:lang w:val="en-US" w:eastAsia="zh-CN"/>
              </w:rPr>
              <w:t>24</w:t>
            </w:r>
            <w:r>
              <w:rPr>
                <w:rFonts w:ascii="Times New Roman" w:hAnsi="Times New Roman" w:cs="Times New Roman"/>
                <w:color w:val="auto"/>
              </w:rPr>
              <w:t>年本)》中的</w:t>
            </w:r>
            <w:r>
              <w:rPr>
                <w:rFonts w:ascii="Times New Roman" w:hAnsi="Times New Roman" w:cs="Times New Roman"/>
                <w:bCs/>
                <w:color w:val="auto"/>
              </w:rPr>
              <w:t>鼓励、限制和淘汰类，属于允许类，因此，项目建设符合国家产业政策。</w:t>
            </w:r>
          </w:p>
          <w:p w14:paraId="3054F998">
            <w:pPr>
              <w:wordWrap w:val="0"/>
              <w:topLinePunct/>
              <w:adjustRightInd w:val="0"/>
              <w:snapToGrid w:val="0"/>
              <w:spacing w:line="360" w:lineRule="auto"/>
              <w:rPr>
                <w:b/>
                <w:bCs w:val="0"/>
                <w:sz w:val="24"/>
              </w:rPr>
            </w:pPr>
            <w:r>
              <w:rPr>
                <w:rFonts w:hint="eastAsia"/>
                <w:b/>
                <w:bCs/>
                <w:sz w:val="24"/>
                <w:lang w:val="en-US" w:eastAsia="zh-CN"/>
              </w:rPr>
              <w:t>1.4</w:t>
            </w:r>
            <w:r>
              <w:rPr>
                <w:rFonts w:hint="eastAsia" w:ascii="Times New Roman" w:hAnsi="Times New Roman" w:eastAsia="宋体" w:cs="Times New Roman"/>
                <w:b/>
                <w:kern w:val="0"/>
                <w:sz w:val="24"/>
                <w:lang w:val="en-US" w:eastAsia="zh-CN"/>
              </w:rPr>
              <w:t xml:space="preserve"> 与《重点行业挥发性有机物综合治理方案》（环大气〔2019〕53号）符合性分析</w:t>
            </w:r>
          </w:p>
          <w:p w14:paraId="1C247738">
            <w:pPr>
              <w:spacing w:line="360" w:lineRule="auto"/>
              <w:ind w:firstLine="472" w:firstLineChars="200"/>
              <w:rPr>
                <w:spacing w:val="-2"/>
                <w:sz w:val="24"/>
              </w:rPr>
            </w:pPr>
            <w:r>
              <w:rPr>
                <w:spacing w:val="-2"/>
                <w:sz w:val="24"/>
              </w:rPr>
              <w:t>生态环境部于2019年6月26日发布了《关于印发〈重点行业挥发性有机物综合治理方案〉的通知》（环大气【2019】53号），重点行业治理任务第五条对油品储运销VOCs综合治理提出了具体要求。本项目与治理方案相符性分析见下表。</w:t>
            </w:r>
          </w:p>
          <w:p w14:paraId="25D688E4">
            <w:pPr>
              <w:jc w:val="center"/>
              <w:rPr>
                <w:b/>
                <w:bCs/>
                <w:spacing w:val="-2"/>
                <w:sz w:val="24"/>
                <w:szCs w:val="24"/>
              </w:rPr>
            </w:pPr>
            <w:r>
              <w:rPr>
                <w:b/>
                <w:bCs/>
                <w:spacing w:val="-2"/>
                <w:sz w:val="24"/>
                <w:szCs w:val="24"/>
              </w:rPr>
              <w:t>表1-</w:t>
            </w:r>
            <w:r>
              <w:rPr>
                <w:rFonts w:hint="eastAsia"/>
                <w:b/>
                <w:bCs/>
                <w:spacing w:val="-2"/>
                <w:sz w:val="24"/>
                <w:szCs w:val="24"/>
                <w:lang w:val="en-US" w:eastAsia="zh-CN"/>
              </w:rPr>
              <w:t>3</w:t>
            </w:r>
            <w:r>
              <w:rPr>
                <w:b/>
                <w:bCs/>
                <w:spacing w:val="-2"/>
                <w:sz w:val="24"/>
                <w:szCs w:val="24"/>
              </w:rPr>
              <w:t xml:space="preserve"> 项目与</w:t>
            </w:r>
            <w:r>
              <w:rPr>
                <w:b/>
                <w:bCs/>
                <w:kern w:val="0"/>
                <w:sz w:val="24"/>
                <w:szCs w:val="24"/>
              </w:rPr>
              <w:t>《重点行业挥发性有机物综合治理方案》的符合性分析</w:t>
            </w:r>
          </w:p>
          <w:tbl>
            <w:tblPr>
              <w:tblStyle w:val="5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676"/>
              <w:gridCol w:w="2052"/>
              <w:gridCol w:w="1071"/>
            </w:tblGrid>
            <w:tr w14:paraId="41E6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vAlign w:val="center"/>
                </w:tcPr>
                <w:p w14:paraId="5C41E8A5">
                  <w:pPr>
                    <w:jc w:val="center"/>
                    <w:rPr>
                      <w:b/>
                      <w:bCs/>
                      <w:kern w:val="0"/>
                    </w:rPr>
                  </w:pPr>
                  <w:r>
                    <w:rPr>
                      <w:b/>
                      <w:bCs/>
                      <w:kern w:val="0"/>
                    </w:rPr>
                    <w:t>序号</w:t>
                  </w:r>
                </w:p>
              </w:tc>
              <w:tc>
                <w:tcPr>
                  <w:tcW w:w="2470" w:type="pct"/>
                  <w:tcBorders>
                    <w:tl2br w:val="nil"/>
                    <w:tr2bl w:val="nil"/>
                  </w:tcBorders>
                  <w:vAlign w:val="center"/>
                </w:tcPr>
                <w:p w14:paraId="50866660">
                  <w:pPr>
                    <w:jc w:val="center"/>
                    <w:rPr>
                      <w:b/>
                      <w:bCs/>
                      <w:kern w:val="0"/>
                    </w:rPr>
                  </w:pPr>
                  <w:r>
                    <w:rPr>
                      <w:b/>
                      <w:bCs/>
                      <w:kern w:val="0"/>
                    </w:rPr>
                    <w:t>重点行业挥发性有机物综合治理方案</w:t>
                  </w:r>
                </w:p>
              </w:tc>
              <w:tc>
                <w:tcPr>
                  <w:tcW w:w="1379" w:type="pct"/>
                  <w:tcBorders>
                    <w:tl2br w:val="nil"/>
                    <w:tr2bl w:val="nil"/>
                  </w:tcBorders>
                  <w:vAlign w:val="center"/>
                </w:tcPr>
                <w:p w14:paraId="7779E481">
                  <w:pPr>
                    <w:jc w:val="center"/>
                    <w:rPr>
                      <w:b/>
                      <w:bCs/>
                      <w:kern w:val="0"/>
                    </w:rPr>
                  </w:pPr>
                  <w:r>
                    <w:rPr>
                      <w:b/>
                      <w:bCs/>
                      <w:kern w:val="0"/>
                    </w:rPr>
                    <w:t>本项目情况</w:t>
                  </w:r>
                </w:p>
              </w:tc>
              <w:tc>
                <w:tcPr>
                  <w:tcW w:w="720" w:type="pct"/>
                  <w:tcBorders>
                    <w:tl2br w:val="nil"/>
                    <w:tr2bl w:val="nil"/>
                  </w:tcBorders>
                  <w:vAlign w:val="center"/>
                </w:tcPr>
                <w:p w14:paraId="1429BA23">
                  <w:pPr>
                    <w:jc w:val="center"/>
                    <w:rPr>
                      <w:b/>
                      <w:bCs/>
                      <w:kern w:val="0"/>
                    </w:rPr>
                  </w:pPr>
                  <w:r>
                    <w:rPr>
                      <w:b/>
                      <w:bCs/>
                      <w:kern w:val="0"/>
                    </w:rPr>
                    <w:t>符合情况</w:t>
                  </w:r>
                </w:p>
              </w:tc>
            </w:tr>
            <w:tr w14:paraId="01E2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vAlign w:val="center"/>
                </w:tcPr>
                <w:p w14:paraId="26535F31">
                  <w:pPr>
                    <w:jc w:val="center"/>
                    <w:rPr>
                      <w:kern w:val="0"/>
                    </w:rPr>
                  </w:pPr>
                  <w:r>
                    <w:rPr>
                      <w:kern w:val="0"/>
                    </w:rPr>
                    <w:t>1</w:t>
                  </w:r>
                </w:p>
              </w:tc>
              <w:tc>
                <w:tcPr>
                  <w:tcW w:w="2470" w:type="pct"/>
                  <w:tcBorders>
                    <w:tl2br w:val="nil"/>
                    <w:tr2bl w:val="nil"/>
                  </w:tcBorders>
                  <w:vAlign w:val="center"/>
                </w:tcPr>
                <w:p w14:paraId="33BC155A">
                  <w:pPr>
                    <w:jc w:val="center"/>
                    <w:rPr>
                      <w:kern w:val="0"/>
                    </w:rPr>
                  </w:pPr>
                  <w:r>
                    <w:rPr>
                      <w:kern w:val="0"/>
                    </w:rPr>
                    <w:t>埋地油罐全部采用电子液位仪进行汽油密闭测量</w:t>
                  </w:r>
                </w:p>
              </w:tc>
              <w:tc>
                <w:tcPr>
                  <w:tcW w:w="1379" w:type="pct"/>
                  <w:tcBorders>
                    <w:tl2br w:val="nil"/>
                    <w:tr2bl w:val="nil"/>
                  </w:tcBorders>
                  <w:vAlign w:val="center"/>
                </w:tcPr>
                <w:p w14:paraId="12B90DE7">
                  <w:pPr>
                    <w:jc w:val="center"/>
                    <w:rPr>
                      <w:kern w:val="0"/>
                    </w:rPr>
                  </w:pPr>
                  <w:r>
                    <w:rPr>
                      <w:kern w:val="0"/>
                    </w:rPr>
                    <w:t>本项目储罐全部采用电子液位仪测定液位</w:t>
                  </w:r>
                </w:p>
              </w:tc>
              <w:tc>
                <w:tcPr>
                  <w:tcW w:w="720" w:type="pct"/>
                  <w:tcBorders>
                    <w:tl2br w:val="nil"/>
                    <w:tr2bl w:val="nil"/>
                  </w:tcBorders>
                  <w:vAlign w:val="center"/>
                </w:tcPr>
                <w:p w14:paraId="085721F9">
                  <w:pPr>
                    <w:jc w:val="center"/>
                    <w:rPr>
                      <w:kern w:val="0"/>
                    </w:rPr>
                  </w:pPr>
                  <w:r>
                    <w:rPr>
                      <w:kern w:val="0"/>
                    </w:rPr>
                    <w:t>符合</w:t>
                  </w:r>
                </w:p>
              </w:tc>
            </w:tr>
            <w:tr w14:paraId="28AF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vAlign w:val="center"/>
                </w:tcPr>
                <w:p w14:paraId="1FDAD3E5">
                  <w:pPr>
                    <w:jc w:val="center"/>
                    <w:rPr>
                      <w:kern w:val="0"/>
                    </w:rPr>
                  </w:pPr>
                  <w:r>
                    <w:rPr>
                      <w:kern w:val="0"/>
                    </w:rPr>
                    <w:t>2</w:t>
                  </w:r>
                </w:p>
              </w:tc>
              <w:tc>
                <w:tcPr>
                  <w:tcW w:w="2470" w:type="pct"/>
                  <w:tcBorders>
                    <w:tl2br w:val="nil"/>
                    <w:tr2bl w:val="nil"/>
                  </w:tcBorders>
                  <w:vAlign w:val="center"/>
                </w:tcPr>
                <w:p w14:paraId="4794E3C9">
                  <w:pPr>
                    <w:jc w:val="center"/>
                    <w:rPr>
                      <w:kern w:val="0"/>
                    </w:rPr>
                  </w:pPr>
                  <w:r>
                    <w:rPr>
                      <w:kern w:val="0"/>
                    </w:rPr>
                    <w:t>规范油气回收设施运行，自行或聘请第三方加强加油枪气液比、系统密闭性及管线液阻等检查，提高检测频次</w:t>
                  </w:r>
                </w:p>
              </w:tc>
              <w:tc>
                <w:tcPr>
                  <w:tcW w:w="1379" w:type="pct"/>
                  <w:tcBorders>
                    <w:tl2br w:val="nil"/>
                    <w:tr2bl w:val="nil"/>
                  </w:tcBorders>
                  <w:vAlign w:val="center"/>
                </w:tcPr>
                <w:p w14:paraId="76FD1715">
                  <w:pPr>
                    <w:jc w:val="center"/>
                    <w:rPr>
                      <w:kern w:val="0"/>
                    </w:rPr>
                  </w:pPr>
                  <w:r>
                    <w:rPr>
                      <w:kern w:val="0"/>
                    </w:rPr>
                    <w:t>严格执行加油枪气液比、系统密闭性及管线液阻等检查，最低检测频次为1次/年</w:t>
                  </w:r>
                </w:p>
              </w:tc>
              <w:tc>
                <w:tcPr>
                  <w:tcW w:w="720" w:type="pct"/>
                  <w:tcBorders>
                    <w:tl2br w:val="nil"/>
                    <w:tr2bl w:val="nil"/>
                  </w:tcBorders>
                  <w:vAlign w:val="center"/>
                </w:tcPr>
                <w:p w14:paraId="63FA836B">
                  <w:pPr>
                    <w:jc w:val="center"/>
                    <w:rPr>
                      <w:kern w:val="0"/>
                    </w:rPr>
                  </w:pPr>
                  <w:r>
                    <w:rPr>
                      <w:kern w:val="0"/>
                    </w:rPr>
                    <w:t>符合</w:t>
                  </w:r>
                </w:p>
              </w:tc>
            </w:tr>
            <w:tr w14:paraId="1B27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vAlign w:val="center"/>
                </w:tcPr>
                <w:p w14:paraId="25451C30">
                  <w:pPr>
                    <w:jc w:val="center"/>
                    <w:rPr>
                      <w:kern w:val="0"/>
                    </w:rPr>
                  </w:pPr>
                  <w:r>
                    <w:rPr>
                      <w:kern w:val="0"/>
                    </w:rPr>
                    <w:t>3</w:t>
                  </w:r>
                </w:p>
              </w:tc>
              <w:tc>
                <w:tcPr>
                  <w:tcW w:w="2470" w:type="pct"/>
                  <w:tcBorders>
                    <w:tl2br w:val="nil"/>
                    <w:tr2bl w:val="nil"/>
                  </w:tcBorders>
                  <w:vAlign w:val="center"/>
                </w:tcPr>
                <w:p w14:paraId="65C4980E">
                  <w:pPr>
                    <w:jc w:val="center"/>
                    <w:rPr>
                      <w:kern w:val="0"/>
                    </w:rPr>
                  </w:pPr>
                  <w:r>
                    <w:rPr>
                      <w:kern w:val="0"/>
                    </w:rPr>
                    <w:t>重点区域加快推进年销售汽油量大于5000吨的加油站安装油气回收自动监控设备，并与生态环境部门联网</w:t>
                  </w:r>
                </w:p>
              </w:tc>
              <w:tc>
                <w:tcPr>
                  <w:tcW w:w="1379" w:type="pct"/>
                  <w:tcBorders>
                    <w:tl2br w:val="nil"/>
                    <w:tr2bl w:val="nil"/>
                  </w:tcBorders>
                  <w:vAlign w:val="center"/>
                </w:tcPr>
                <w:p w14:paraId="6ABE7AA2">
                  <w:pPr>
                    <w:jc w:val="center"/>
                    <w:rPr>
                      <w:kern w:val="0"/>
                    </w:rPr>
                  </w:pPr>
                  <w:r>
                    <w:rPr>
                      <w:kern w:val="0"/>
                    </w:rPr>
                    <w:t>本项目不属于重点区域，</w:t>
                  </w:r>
                  <w:r>
                    <w:rPr>
                      <w:rFonts w:hint="eastAsia"/>
                      <w:kern w:val="0"/>
                      <w:lang w:val="en-US" w:eastAsia="zh-CN"/>
                    </w:rPr>
                    <w:t>项目</w:t>
                  </w:r>
                  <w:r>
                    <w:rPr>
                      <w:rFonts w:hint="eastAsia"/>
                      <w:kern w:val="0"/>
                    </w:rPr>
                    <w:t>预计年销售92#汽油500吨，95#汽油220吨，0#柴油360吨</w:t>
                  </w:r>
                  <w:r>
                    <w:rPr>
                      <w:kern w:val="0"/>
                      <w:highlight w:val="none"/>
                    </w:rPr>
                    <w:t>，小于5000吨</w:t>
                  </w:r>
                </w:p>
              </w:tc>
              <w:tc>
                <w:tcPr>
                  <w:tcW w:w="720" w:type="pct"/>
                  <w:tcBorders>
                    <w:tl2br w:val="nil"/>
                    <w:tr2bl w:val="nil"/>
                  </w:tcBorders>
                  <w:vAlign w:val="center"/>
                </w:tcPr>
                <w:p w14:paraId="3B759DF9">
                  <w:pPr>
                    <w:jc w:val="center"/>
                    <w:rPr>
                      <w:kern w:val="0"/>
                    </w:rPr>
                  </w:pPr>
                  <w:r>
                    <w:rPr>
                      <w:kern w:val="0"/>
                    </w:rPr>
                    <w:t>符合</w:t>
                  </w:r>
                </w:p>
              </w:tc>
            </w:tr>
          </w:tbl>
          <w:p w14:paraId="527B4EC2">
            <w:pPr>
              <w:adjustRightInd w:val="0"/>
              <w:snapToGrid w:val="0"/>
              <w:spacing w:line="360" w:lineRule="auto"/>
              <w:ind w:firstLine="482"/>
              <w:rPr>
                <w:sz w:val="24"/>
                <w:szCs w:val="32"/>
              </w:rPr>
            </w:pPr>
            <w:r>
              <w:rPr>
                <w:bCs/>
                <w:sz w:val="24"/>
              </w:rPr>
              <w:t>综上所述，本项目符合《重点行业挥发性有机物综合治理方案》</w:t>
            </w:r>
            <w:r>
              <w:rPr>
                <w:rStyle w:val="59"/>
                <w:kern w:val="0"/>
                <w:sz w:val="24"/>
              </w:rPr>
              <w:t>（</w:t>
            </w:r>
            <w:r>
              <w:rPr>
                <w:sz w:val="24"/>
                <w:shd w:val="clear" w:color="auto" w:fill="FFFFFF"/>
              </w:rPr>
              <w:t>环大气〔2019〕53号</w:t>
            </w:r>
            <w:r>
              <w:rPr>
                <w:rStyle w:val="59"/>
                <w:kern w:val="0"/>
                <w:sz w:val="24"/>
              </w:rPr>
              <w:t>）要求</w:t>
            </w:r>
            <w:r>
              <w:rPr>
                <w:bCs/>
                <w:sz w:val="24"/>
              </w:rPr>
              <w:t>。</w:t>
            </w:r>
          </w:p>
          <w:p w14:paraId="1A4C6ECF">
            <w:pPr>
              <w:keepNext w:val="0"/>
              <w:keepLines w:val="0"/>
              <w:suppressLineNumbers w:val="0"/>
              <w:adjustRightInd w:val="0"/>
              <w:snapToGrid w:val="0"/>
              <w:spacing w:before="0" w:beforeAutospacing="0" w:after="0" w:afterAutospacing="0" w:line="360" w:lineRule="auto"/>
              <w:ind w:right="0"/>
              <w:outlineLvl w:val="9"/>
              <w:rPr>
                <w:rFonts w:hint="default" w:ascii="Times New Roman" w:hAnsi="Times New Roman" w:eastAsia="宋体" w:cs="Times New Roman"/>
                <w:b/>
                <w:bCs w:val="0"/>
                <w:color w:val="auto"/>
                <w:sz w:val="24"/>
                <w:szCs w:val="24"/>
                <w:highlight w:val="none"/>
                <w:u w:val="none"/>
              </w:rPr>
            </w:pPr>
            <w:r>
              <w:rPr>
                <w:rFonts w:hint="eastAsia" w:cs="Times New Roman"/>
                <w:b/>
                <w:bCs w:val="0"/>
                <w:color w:val="auto"/>
                <w:sz w:val="24"/>
                <w:szCs w:val="24"/>
                <w:highlight w:val="none"/>
                <w:u w:val="none"/>
                <w:lang w:val="en-US" w:eastAsia="zh-CN"/>
              </w:rPr>
              <w:t xml:space="preserve">1.5 </w:t>
            </w:r>
            <w:r>
              <w:rPr>
                <w:rFonts w:hint="default" w:ascii="Times New Roman" w:hAnsi="Times New Roman" w:eastAsia="宋体" w:cs="Times New Roman"/>
                <w:b/>
                <w:bCs w:val="0"/>
                <w:color w:val="auto"/>
                <w:sz w:val="24"/>
                <w:szCs w:val="24"/>
                <w:highlight w:val="none"/>
                <w:u w:val="none"/>
              </w:rPr>
              <w:t>与</w:t>
            </w:r>
            <w:r>
              <w:rPr>
                <w:rFonts w:hint="default" w:ascii="Times New Roman" w:hAnsi="Times New Roman" w:eastAsia="宋体" w:cs="Times New Roman"/>
                <w:b/>
                <w:bCs w:val="0"/>
                <w:color w:val="auto"/>
                <w:sz w:val="24"/>
                <w:szCs w:val="24"/>
                <w:highlight w:val="none"/>
                <w:u w:val="none"/>
                <w:lang w:eastAsia="zh-CN"/>
              </w:rPr>
              <w:t>《</w:t>
            </w:r>
            <w:r>
              <w:rPr>
                <w:rFonts w:hint="default" w:ascii="Times New Roman" w:hAnsi="Times New Roman" w:eastAsia="宋体" w:cs="Times New Roman"/>
                <w:b/>
                <w:bCs w:val="0"/>
                <w:color w:val="auto"/>
                <w:sz w:val="24"/>
                <w:szCs w:val="24"/>
                <w:highlight w:val="none"/>
                <w:u w:val="none"/>
              </w:rPr>
              <w:t>关于加快解决当前挥发性有机物治理突出问题的通知</w:t>
            </w:r>
            <w:r>
              <w:rPr>
                <w:rFonts w:hint="default" w:ascii="Times New Roman" w:hAnsi="Times New Roman" w:eastAsia="宋体" w:cs="Times New Roman"/>
                <w:b/>
                <w:bCs w:val="0"/>
                <w:color w:val="auto"/>
                <w:sz w:val="24"/>
                <w:szCs w:val="24"/>
                <w:highlight w:val="none"/>
                <w:u w:val="none"/>
                <w:lang w:eastAsia="zh-CN"/>
              </w:rPr>
              <w:t>》〔2021〕65号</w:t>
            </w:r>
            <w:r>
              <w:rPr>
                <w:rFonts w:hint="default" w:ascii="Times New Roman" w:hAnsi="Times New Roman" w:eastAsia="宋体" w:cs="Times New Roman"/>
                <w:b/>
                <w:bCs w:val="0"/>
                <w:color w:val="auto"/>
                <w:sz w:val="24"/>
                <w:szCs w:val="24"/>
                <w:highlight w:val="none"/>
                <w:u w:val="none"/>
              </w:rPr>
              <w:t>相符性分析</w:t>
            </w:r>
          </w:p>
          <w:p w14:paraId="0515FBF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根据《关于加快解决当前挥发性有机物治理突出问题的通知》〔2021〕65号中“挥发性有机物治理突出问题排查整治工作要求：“</w:t>
            </w:r>
            <w:r>
              <w:rPr>
                <w:rFonts w:hint="default" w:ascii="Times New Roman" w:hAnsi="Times New Roman" w:eastAsia="宋体" w:cs="Times New Roman"/>
                <w:color w:val="auto"/>
                <w:sz w:val="24"/>
                <w:szCs w:val="24"/>
                <w:highlight w:val="none"/>
                <w:u w:val="none"/>
              </w:rPr>
              <w:t>加油站应全面建立覆盖标准全部要求的油气回收系统日常运行管理制度，建立定期的油气回收系统相关零部件检查、维护台账记录。卸油接口、油气回收接口、卸油软管接头的管径以及操作应满足标准要求。地下油罐应采用电子液位仪密闭量油，除必要的仪器校准、巡查抽查、维修等需人工计量外，不得进行人工量油。未安装P/V阀的汽油排放管手动阀门应保持关闭，应急开启应及时报告当地生态环境部门并及时进行维护，期间不得进行卸油操作。油气处理装置应保持正常运行，不得随意设置为手动模式或关闭。油气泄漏浓度超标的油气回收系统密闭点位应通过更换密封圈、密封方式、设备零部件等实现达标排放。对气液比超标的加油枪应查找原因，通过更换集气罩、加油枪或真空泵零部件、调节回气阀等方式保持油气回收系统达标运行。鼓励汽油年销售量5000吨及以上的加油站、纳入地方重点排污单位名录的加油站建设油气回收在线监测系统。</w:t>
            </w:r>
            <w:r>
              <w:rPr>
                <w:rFonts w:hint="default" w:ascii="Times New Roman" w:hAnsi="Times New Roman" w:eastAsia="宋体" w:cs="Times New Roman"/>
                <w:color w:val="auto"/>
                <w:sz w:val="24"/>
                <w:szCs w:val="24"/>
                <w:highlight w:val="none"/>
                <w:u w:val="none"/>
                <w:lang w:val="en-US" w:eastAsia="zh-CN"/>
              </w:rPr>
              <w:t>”</w:t>
            </w:r>
          </w:p>
          <w:p w14:paraId="184F5191">
            <w:pPr>
              <w:adjustRightInd w:val="0"/>
              <w:snapToGrid w:val="0"/>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u w:val="none"/>
              </w:rPr>
              <w:t>本项目拟采用</w:t>
            </w:r>
            <w:r>
              <w:rPr>
                <w:rFonts w:hint="default" w:ascii="Times New Roman" w:hAnsi="Times New Roman" w:eastAsia="宋体" w:cs="Times New Roman"/>
                <w:color w:val="auto"/>
                <w:sz w:val="24"/>
                <w:szCs w:val="24"/>
                <w:highlight w:val="none"/>
                <w:u w:val="none"/>
                <w:lang w:val="en-US" w:eastAsia="zh-CN"/>
              </w:rPr>
              <w:t>三级</w:t>
            </w:r>
            <w:r>
              <w:rPr>
                <w:rFonts w:hint="default" w:ascii="Times New Roman" w:hAnsi="Times New Roman" w:eastAsia="宋体" w:cs="Times New Roman"/>
                <w:color w:val="auto"/>
                <w:sz w:val="24"/>
                <w:szCs w:val="24"/>
                <w:highlight w:val="none"/>
                <w:u w:val="none"/>
              </w:rPr>
              <w:t>油气回收系统</w:t>
            </w:r>
            <w:r>
              <w:rPr>
                <w:rFonts w:hint="default" w:ascii="Times New Roman" w:hAnsi="Times New Roman" w:eastAsia="宋体" w:cs="Times New Roman"/>
                <w:color w:val="auto"/>
                <w:sz w:val="24"/>
                <w:szCs w:val="24"/>
                <w:highlight w:val="none"/>
                <w:u w:val="none"/>
                <w:lang w:val="en-US" w:eastAsia="zh-CN"/>
              </w:rPr>
              <w:t>并建立油气回收系统日常运行管理制度</w:t>
            </w:r>
            <w:r>
              <w:rPr>
                <w:rFonts w:hint="default" w:ascii="Times New Roman" w:hAnsi="Times New Roman" w:eastAsia="宋体" w:cs="Times New Roman"/>
                <w:color w:val="auto"/>
                <w:sz w:val="24"/>
                <w:szCs w:val="24"/>
                <w:highlight w:val="none"/>
                <w:u w:val="none"/>
              </w:rPr>
              <w:t>，以减少有机废气外排，</w:t>
            </w:r>
            <w:r>
              <w:rPr>
                <w:rFonts w:hint="default" w:ascii="Times New Roman" w:hAnsi="Times New Roman" w:eastAsia="宋体" w:cs="Times New Roman"/>
                <w:color w:val="auto"/>
                <w:sz w:val="24"/>
                <w:szCs w:val="24"/>
                <w:highlight w:val="none"/>
                <w:u w:val="none"/>
                <w:lang w:val="en-US" w:eastAsia="zh-CN"/>
              </w:rPr>
              <w:t>项目已设置监测井及液位报警仪，有效应对环境突发事件的发生，项目汽油年销售量低于5000吨，无需纳入</w:t>
            </w:r>
            <w:r>
              <w:rPr>
                <w:rFonts w:hint="default" w:ascii="Times New Roman" w:hAnsi="Times New Roman" w:eastAsia="宋体" w:cs="Times New Roman"/>
                <w:color w:val="auto"/>
                <w:sz w:val="24"/>
                <w:szCs w:val="24"/>
                <w:highlight w:val="none"/>
                <w:u w:val="none"/>
              </w:rPr>
              <w:t>地方重点排污单位名录的加油站建设油气回收在线监测系统</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因此，项目符合《关于加快解决当前挥发性有机物治理突出问题的通知》〔2021〕65号中“挥发性有机物治理突出问题排查整治工作要求。</w:t>
            </w:r>
          </w:p>
          <w:p w14:paraId="1D452B9D">
            <w:pPr>
              <w:spacing w:line="360" w:lineRule="auto"/>
              <w:rPr>
                <w:b/>
                <w:bCs/>
                <w:kern w:val="0"/>
                <w:sz w:val="24"/>
              </w:rPr>
            </w:pPr>
            <w:r>
              <w:rPr>
                <w:rFonts w:hint="eastAsia"/>
                <w:b/>
                <w:bCs/>
                <w:kern w:val="0"/>
                <w:sz w:val="24"/>
                <w:lang w:val="en-US" w:eastAsia="zh-CN"/>
              </w:rPr>
              <w:t xml:space="preserve">1.6 </w:t>
            </w:r>
            <w:r>
              <w:rPr>
                <w:b/>
                <w:bCs/>
                <w:kern w:val="0"/>
                <w:sz w:val="24"/>
              </w:rPr>
              <w:t>与</w:t>
            </w:r>
            <w:r>
              <w:rPr>
                <w:b/>
                <w:bCs/>
              </w:rPr>
              <w:fldChar w:fldCharType="begin"/>
            </w:r>
            <w:r>
              <w:rPr>
                <w:b/>
                <w:bCs/>
              </w:rPr>
              <w:instrText xml:space="preserve"> HYPERLINK "http://www.baidu.com/link?url=jeslJXqk8LPvW7n2xSknWhho1pVJzZBUikVGH_wtjBscjgfacA0t7kBqmTRRmfexG84MYffjP7PmitNBvqz4RSQ2adIKKvOPXNtRhi8n61e" \t "_blank" </w:instrText>
            </w:r>
            <w:r>
              <w:rPr>
                <w:b/>
                <w:bCs/>
              </w:rPr>
              <w:fldChar w:fldCharType="separate"/>
            </w:r>
            <w:r>
              <w:rPr>
                <w:b/>
                <w:bCs/>
                <w:kern w:val="0"/>
                <w:sz w:val="24"/>
              </w:rPr>
              <w:t>关于印发《加油站地下水污染防治技术指南（试行）》</w:t>
            </w:r>
            <w:r>
              <w:rPr>
                <w:rFonts w:hint="eastAsia"/>
                <w:b/>
                <w:bCs/>
                <w:kern w:val="0"/>
                <w:sz w:val="24"/>
              </w:rPr>
              <w:t>（环办水体函〔2017〕323号）</w:t>
            </w:r>
            <w:r>
              <w:rPr>
                <w:b/>
                <w:bCs/>
                <w:kern w:val="0"/>
                <w:sz w:val="24"/>
              </w:rPr>
              <w:t>的通知</w:t>
            </w:r>
            <w:r>
              <w:rPr>
                <w:b/>
                <w:bCs/>
                <w:kern w:val="0"/>
                <w:sz w:val="24"/>
              </w:rPr>
              <w:fldChar w:fldCharType="end"/>
            </w:r>
            <w:r>
              <w:rPr>
                <w:b/>
                <w:bCs/>
                <w:kern w:val="0"/>
                <w:sz w:val="24"/>
              </w:rPr>
              <w:t>的协调性分析</w:t>
            </w:r>
          </w:p>
          <w:p w14:paraId="633E3C72">
            <w:pPr>
              <w:pStyle w:val="71"/>
              <w:spacing w:line="360" w:lineRule="auto"/>
              <w:ind w:firstLine="480" w:firstLineChars="200"/>
              <w:rPr>
                <w:rFonts w:ascii="Times New Roman" w:hAnsi="Times New Roman" w:cs="Times New Roman"/>
                <w:color w:val="auto"/>
                <w:kern w:val="0"/>
              </w:rPr>
            </w:pPr>
            <w:r>
              <w:rPr>
                <w:rFonts w:ascii="Times New Roman" w:hAnsi="Times New Roman" w:cs="Times New Roman"/>
                <w:color w:val="auto"/>
                <w:kern w:val="0"/>
              </w:rPr>
              <w:t>2017年3月国家环境保护部发布了《加油站地下水污染防治技术指南（试行）》，其中要求：“所有加油站的油罐需要更新为双层罐或者设置防渗池，加油站需要开展渗漏检测，设置常规地下水监测井，开展地下水常规监测。”本项目油罐为4座双层防渗漏油罐，并安装管道防渗测漏仪、油罐防渗测漏仪；项目拟在站内油罐与站房之间建设一座地下水监测井，并每年进行地下水常规监测。因此本项目加油站满足《加油站地下水污染防治技术指南（试行）》中的相关要求。</w:t>
            </w:r>
          </w:p>
          <w:p w14:paraId="058C71DF">
            <w:pPr>
              <w:keepNext w:val="0"/>
              <w:keepLines w:val="0"/>
              <w:suppressLineNumbers w:val="0"/>
              <w:autoSpaceDE w:val="0"/>
              <w:autoSpaceDN w:val="0"/>
              <w:adjustRightInd w:val="0"/>
              <w:snapToGrid w:val="0"/>
              <w:spacing w:before="0" w:beforeAutospacing="0" w:after="0" w:afterAutospacing="0" w:line="360" w:lineRule="auto"/>
              <w:ind w:right="0"/>
              <w:outlineLvl w:val="9"/>
              <w:rPr>
                <w:rFonts w:hint="default" w:ascii="Times New Roman" w:hAnsi="Times New Roman" w:eastAsia="宋体" w:cs="Times New Roman"/>
                <w:b/>
                <w:bCs w:val="0"/>
                <w:color w:val="auto"/>
                <w:spacing w:val="4"/>
                <w:sz w:val="24"/>
                <w:szCs w:val="24"/>
                <w:highlight w:val="none"/>
                <w:u w:val="none"/>
              </w:rPr>
            </w:pPr>
            <w:r>
              <w:rPr>
                <w:rFonts w:hint="eastAsia" w:cs="Times New Roman"/>
                <w:b/>
                <w:bCs w:val="0"/>
                <w:color w:val="auto"/>
                <w:sz w:val="24"/>
                <w:szCs w:val="24"/>
                <w:highlight w:val="none"/>
                <w:u w:val="none"/>
                <w:lang w:val="en-US" w:eastAsia="zh-CN"/>
              </w:rPr>
              <w:t xml:space="preserve">1.7 </w:t>
            </w:r>
            <w:r>
              <w:rPr>
                <w:rFonts w:hint="default" w:ascii="Times New Roman" w:hAnsi="Times New Roman" w:eastAsia="宋体" w:cs="Times New Roman"/>
                <w:b/>
                <w:bCs w:val="0"/>
                <w:color w:val="auto"/>
                <w:sz w:val="24"/>
                <w:szCs w:val="24"/>
                <w:highlight w:val="none"/>
                <w:u w:val="none"/>
              </w:rPr>
              <w:t>与《加油站大气污染物排放标准》（GB20952-2020）相符性分析</w:t>
            </w:r>
          </w:p>
          <w:p w14:paraId="03DD8C36">
            <w:pPr>
              <w:keepNext w:val="0"/>
              <w:keepLines w:val="0"/>
              <w:suppressLineNumbers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本加油站与《加油站大气污染物排放标准》（GB20952-2020）相符性分析如下表1-</w:t>
            </w:r>
            <w:r>
              <w:rPr>
                <w:rFonts w:hint="eastAsia"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w:t>
            </w:r>
          </w:p>
          <w:p w14:paraId="01B49666">
            <w:pPr>
              <w:pStyle w:val="289"/>
              <w:keepNext w:val="0"/>
              <w:keepLines w:val="0"/>
              <w:widowControl/>
              <w:suppressLineNumbers w:val="0"/>
              <w:bidi w:val="0"/>
              <w:spacing w:before="0" w:beforeAutospacing="0" w:after="0" w:afterAutospacing="0"/>
              <w:ind w:left="0" w:right="0"/>
              <w:outlineLvl w:val="9"/>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表1-</w:t>
            </w:r>
            <w:r>
              <w:rPr>
                <w:rFonts w:hint="eastAsia"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 xml:space="preserve"> 与《加油站大气污染物排放标准》相符性分析</w:t>
            </w:r>
          </w:p>
          <w:tbl>
            <w:tblPr>
              <w:tblStyle w:val="51"/>
              <w:tblW w:w="5000"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92"/>
              <w:gridCol w:w="3536"/>
              <w:gridCol w:w="2850"/>
              <w:gridCol w:w="664"/>
            </w:tblGrid>
            <w:tr w14:paraId="5E9D34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3" w:type="pct"/>
                  <w:noWrap w:val="0"/>
                  <w:vAlign w:val="center"/>
                </w:tcPr>
                <w:p w14:paraId="1DB3060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374" w:type="pct"/>
                  <w:noWrap w:val="0"/>
                  <w:vAlign w:val="center"/>
                </w:tcPr>
                <w:p w14:paraId="034C458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标准要求</w:t>
                  </w:r>
                </w:p>
              </w:tc>
              <w:tc>
                <w:tcPr>
                  <w:tcW w:w="1914" w:type="pct"/>
                  <w:noWrap w:val="0"/>
                  <w:vAlign w:val="center"/>
                </w:tcPr>
                <w:p w14:paraId="4B13A20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本加油站情况</w:t>
                  </w:r>
                </w:p>
              </w:tc>
              <w:tc>
                <w:tcPr>
                  <w:tcW w:w="446" w:type="pct"/>
                  <w:noWrap w:val="0"/>
                  <w:vAlign w:val="center"/>
                </w:tcPr>
                <w:p w14:paraId="2DFFCDB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是否相符</w:t>
                  </w:r>
                </w:p>
              </w:tc>
            </w:tr>
            <w:tr w14:paraId="366949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3" w:type="pct"/>
                  <w:noWrap w:val="0"/>
                  <w:vAlign w:val="center"/>
                </w:tcPr>
                <w:p w14:paraId="4EBECA1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74" w:type="pct"/>
                  <w:noWrap w:val="0"/>
                  <w:vAlign w:val="center"/>
                </w:tcPr>
                <w:p w14:paraId="5B10653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卸油油气排放控制：</w:t>
                  </w:r>
                </w:p>
                <w:p w14:paraId="795A4D9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1）应采用浸没式卸油方式，卸油管出油口距罐底高度应小于200mm。</w:t>
                  </w:r>
                </w:p>
                <w:p w14:paraId="1740D38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2）卸油和油气回收接口应安装公称直径为100mm的截流阀（或密封式快速接头）和帽盖，现有加油站已采取卸油油气排放控制措施但接口尺寸不符的可采用变径连接。</w:t>
                  </w:r>
                </w:p>
                <w:p w14:paraId="3F80CB2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3）连接软管应采用公称直径为100mm的密封式快速接头与卸油车连接。</w:t>
                  </w:r>
                </w:p>
                <w:p w14:paraId="1274A56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4）所有油气管线排放口应按GB 50156的要求设置压力/真空阀，如设有阀门，阀门应保持常开状态；未安装压力/真空阀的汽油排放管应保持常闭状态。</w:t>
                  </w:r>
                </w:p>
                <w:p w14:paraId="20ED83B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5）连接排气管的地下管线应坡向油罐，坡度不应小于1%，管线公称直径不小于50 mm。</w:t>
                  </w:r>
                </w:p>
                <w:p w14:paraId="207EFE5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6）卸油时应保证卸油油气回收系统密闭。卸油前卸油软管和油气回收软管应与油品运输汽车罐车和埋地油罐紧密连接，然后开启油气回收管路阀门，再开启卸油管路阀门进行卸油作业。</w:t>
                  </w:r>
                </w:p>
                <w:p w14:paraId="6C664F8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7）卸油后应先关闭与卸油软管及油气回收软管相关的阀门，再断开卸油软管和油气回收软管。</w:t>
                  </w:r>
                  <w:r>
                    <w:rPr>
                      <w:rFonts w:hint="default" w:ascii="Times New Roman" w:hAnsi="Times New Roman" w:eastAsia="宋体" w:cs="Times New Roman"/>
                      <w:color w:val="auto"/>
                      <w:sz w:val="21"/>
                      <w:szCs w:val="21"/>
                      <w:highlight w:val="none"/>
                    </w:rPr>
                    <w:cr/>
                  </w:r>
                </w:p>
              </w:tc>
              <w:tc>
                <w:tcPr>
                  <w:tcW w:w="1914" w:type="pct"/>
                  <w:noWrap w:val="0"/>
                  <w:vAlign w:val="center"/>
                </w:tcPr>
                <w:p w14:paraId="699ADF2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1）本加油站采用浸没式卸油方式，卸油管出油口距罐底高度约1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0mm。</w:t>
                  </w:r>
                </w:p>
                <w:p w14:paraId="57CCCCA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2）本加油站卸油和油气回收接口安装公称直径为100 mm的截流阀和帽盖。</w:t>
                  </w:r>
                </w:p>
                <w:p w14:paraId="52BB679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3）本加油站连接软管采用公称直径为100mm的密封式快速接头与卸油车连接</w:t>
                  </w:r>
                </w:p>
                <w:p w14:paraId="2EE5EA8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4）本加油站所有油气管线排放口会按GB50156的要求设置压力阀。</w:t>
                  </w:r>
                </w:p>
                <w:p w14:paraId="2DAAACC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5）本加油站连接排气管的地下管线均为坡向油罐，坡度不会小于1%，管线公称直径约</w:t>
                  </w: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mm。</w:t>
                  </w:r>
                </w:p>
                <w:p w14:paraId="48A2C69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6）本加油站卸油时保证卸油油气回收系统密闭。卸油前卸油软管和油气回收软管将与油品运输汽车罐车和埋地油罐紧密连接，然后开启油气回收管路阀门，再开启卸油管路阀门进行卸油作业。</w:t>
                  </w:r>
                </w:p>
                <w:p w14:paraId="3C1A115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7）本加油站卸油后会先关闭与卸油软管及油气回收软管相关的阀门，再断开卸油软管和油气回收软管。</w:t>
                  </w:r>
                  <w:r>
                    <w:rPr>
                      <w:rFonts w:hint="default" w:ascii="Times New Roman" w:hAnsi="Times New Roman" w:eastAsia="宋体" w:cs="Times New Roman"/>
                      <w:color w:val="auto"/>
                      <w:sz w:val="21"/>
                      <w:szCs w:val="21"/>
                      <w:highlight w:val="none"/>
                    </w:rPr>
                    <w:cr/>
                  </w:r>
                </w:p>
              </w:tc>
              <w:tc>
                <w:tcPr>
                  <w:tcW w:w="446" w:type="pct"/>
                  <w:noWrap w:val="0"/>
                  <w:vAlign w:val="center"/>
                </w:tcPr>
                <w:p w14:paraId="0026DB8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3F86B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3" w:type="pct"/>
                  <w:noWrap w:val="0"/>
                  <w:vAlign w:val="center"/>
                </w:tcPr>
                <w:p w14:paraId="078C4E7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74" w:type="pct"/>
                  <w:noWrap w:val="0"/>
                  <w:vAlign w:val="center"/>
                </w:tcPr>
                <w:p w14:paraId="33B1E4B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储油油气排放控制：</w:t>
                  </w:r>
                </w:p>
                <w:p w14:paraId="0D11887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1）所有影响储油油气密闭性的部件，包括油气管线和所连接的法兰、阀门、快接头以及其他相关部件在正常工作状况下应保持密闭，油气泄漏浓度满足本标准油气回收系统密闭点位限值要求。</w:t>
                  </w:r>
                </w:p>
                <w:p w14:paraId="763BFD6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2）采用红外摄像方式检测油气回收系统密闭点位时，不应有油气泄漏。</w:t>
                  </w:r>
                </w:p>
                <w:p w14:paraId="16AB90F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3）埋地油罐应采用电子式液位计进行汽油密闭测量。</w:t>
                  </w:r>
                </w:p>
                <w:p w14:paraId="1BE47B0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4）应采用符合 GB 50156 相关规定的溢油控制措施。</w:t>
                  </w:r>
                </w:p>
              </w:tc>
              <w:tc>
                <w:tcPr>
                  <w:tcW w:w="1914" w:type="pct"/>
                  <w:noWrap w:val="0"/>
                  <w:vAlign w:val="center"/>
                </w:tcPr>
                <w:p w14:paraId="1F2FFFC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加油站所有影响储油油气密闭性的部件，包括油气管线和所连接的法兰、阀门、快接头以及其他相关部件在正常工作状况下均会保持密闭，油气泄漏浓度满足（GB20952-2020）标准油气回收系统密闭点位限值要求。</w:t>
                  </w:r>
                </w:p>
                <w:p w14:paraId="0AF4E0C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2）本加油站采用红外摄像方式检测油气回收系统密闭点位时，不会有油气泄漏。</w:t>
                  </w:r>
                </w:p>
                <w:p w14:paraId="2F26FB0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3）本加油站埋地油罐采用电子式液位计进行汽油密闭测量。</w:t>
                  </w:r>
                </w:p>
                <w:p w14:paraId="7DBEA80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4）本加油站采用符合GB 50156 相关规定的溢油控制措施。</w:t>
                  </w:r>
                </w:p>
              </w:tc>
              <w:tc>
                <w:tcPr>
                  <w:tcW w:w="446" w:type="pct"/>
                  <w:noWrap w:val="0"/>
                  <w:vAlign w:val="center"/>
                </w:tcPr>
                <w:p w14:paraId="70E829D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F75AF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3" w:type="pct"/>
                  <w:noWrap w:val="0"/>
                  <w:vAlign w:val="center"/>
                </w:tcPr>
                <w:p w14:paraId="496F8D0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374" w:type="pct"/>
                  <w:noWrap w:val="0"/>
                  <w:vAlign w:val="center"/>
                </w:tcPr>
                <w:p w14:paraId="1CBDE26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加油油气排放控制：</w:t>
                  </w:r>
                </w:p>
                <w:p w14:paraId="14BCF0F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1）加油产生的油气应采用真空辅助方式密闭收集。</w:t>
                  </w:r>
                </w:p>
                <w:p w14:paraId="51E3D15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2）油气回收管线应坡向油罐，坡度不应小于1%，受地形限制无法满足坡度要求的可设置集液器，集液器的凝结液应能密闭回收至低标号的汽油罐中。</w:t>
                  </w:r>
                </w:p>
                <w:p w14:paraId="63345C5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3）加油软管应配备拉断截止阀，加油时应防止溢油和滴油。</w:t>
                  </w:r>
                </w:p>
                <w:p w14:paraId="0047DBB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4）新建、改建、扩建的加油站在油气管线覆土、地面硬化施工之前，应向管线内注入10L汽油并检测液阻。</w:t>
                  </w:r>
                </w:p>
              </w:tc>
              <w:tc>
                <w:tcPr>
                  <w:tcW w:w="1914" w:type="pct"/>
                  <w:noWrap w:val="0"/>
                  <w:vAlign w:val="center"/>
                </w:tcPr>
                <w:p w14:paraId="7ED3372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1）本加油站加油产生的油气会采用真空辅助方式密闭收集。</w:t>
                  </w:r>
                </w:p>
                <w:p w14:paraId="6F869FD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2）本加油站油气回收管线将会坡向油罐，坡度不会小于1%。</w:t>
                  </w:r>
                </w:p>
                <w:p w14:paraId="5BD594E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3）本加油站加油软管将会配备拉断截止阀，加油时可防止溢油和滴油。</w:t>
                  </w:r>
                </w:p>
                <w:p w14:paraId="5400E28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加油站</w:t>
                  </w:r>
                  <w:r>
                    <w:rPr>
                      <w:rFonts w:hint="default" w:ascii="Times New Roman" w:hAnsi="Times New Roman" w:eastAsia="宋体" w:cs="Times New Roman"/>
                      <w:color w:val="auto"/>
                      <w:sz w:val="21"/>
                      <w:szCs w:val="21"/>
                      <w:highlight w:val="none"/>
                    </w:rPr>
                    <w:t>其在油气管线覆土、地面硬化施工之前，会向管线内注入10L汽油并检测液阻。</w:t>
                  </w:r>
                </w:p>
              </w:tc>
              <w:tc>
                <w:tcPr>
                  <w:tcW w:w="446" w:type="pct"/>
                  <w:noWrap w:val="0"/>
                  <w:vAlign w:val="center"/>
                </w:tcPr>
                <w:p w14:paraId="1F62D48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DAFFDAA">
            <w:pPr>
              <w:keepNext w:val="0"/>
              <w:keepLines w:val="0"/>
              <w:suppressLineNumbers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对照上表分析可知本项目加油站建设与《加油站大气污染物排放标准》（GB20952-2020）相符。</w:t>
            </w:r>
          </w:p>
          <w:p w14:paraId="1A79841E">
            <w:pPr>
              <w:keepNext w:val="0"/>
              <w:keepLines w:val="0"/>
              <w:suppressLineNumbers w:val="0"/>
              <w:adjustRightInd w:val="0"/>
              <w:snapToGrid w:val="0"/>
              <w:spacing w:before="0" w:beforeAutospacing="0" w:after="0" w:afterAutospacing="0" w:line="360" w:lineRule="auto"/>
              <w:ind w:right="0"/>
              <w:outlineLvl w:val="9"/>
              <w:rPr>
                <w:rFonts w:hint="default" w:ascii="Times New Roman" w:hAnsi="Times New Roman" w:eastAsia="宋体" w:cs="Times New Roman"/>
                <w:b/>
                <w:bCs w:val="0"/>
                <w:color w:val="auto"/>
                <w:sz w:val="24"/>
                <w:highlight w:val="none"/>
                <w:u w:val="none"/>
              </w:rPr>
            </w:pPr>
            <w:r>
              <w:rPr>
                <w:rFonts w:hint="eastAsia" w:cs="Times New Roman"/>
                <w:b/>
                <w:bCs w:val="0"/>
                <w:color w:val="auto"/>
                <w:sz w:val="24"/>
                <w:highlight w:val="none"/>
                <w:u w:val="none"/>
                <w:lang w:val="en-US" w:eastAsia="zh-CN"/>
              </w:rPr>
              <w:t xml:space="preserve">1.8 </w:t>
            </w:r>
            <w:r>
              <w:rPr>
                <w:rFonts w:hint="default" w:ascii="Times New Roman" w:hAnsi="Times New Roman" w:eastAsia="宋体" w:cs="Times New Roman"/>
                <w:b/>
                <w:bCs w:val="0"/>
                <w:color w:val="auto"/>
                <w:sz w:val="24"/>
                <w:highlight w:val="none"/>
                <w:u w:val="none"/>
              </w:rPr>
              <w:t>与《挥发性有机物无组织排放控制标准》符合性分析</w:t>
            </w:r>
          </w:p>
          <w:p w14:paraId="47D3B904">
            <w:pPr>
              <w:keepNext w:val="0"/>
              <w:keepLines w:val="0"/>
              <w:suppressLineNumbers w:val="0"/>
              <w:adjustRightInd w:val="0"/>
              <w:snapToGrid w:val="0"/>
              <w:spacing w:before="0" w:beforeAutospacing="0" w:after="0" w:afterAutospacing="0" w:line="360" w:lineRule="auto"/>
              <w:ind w:left="0" w:right="0" w:firstLine="480" w:firstLineChars="200"/>
              <w:outlineLvl w:val="9"/>
              <w:rPr>
                <w:rFonts w:hint="eastAsia"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highlight w:val="none"/>
                <w:u w:val="none"/>
              </w:rPr>
              <w:t>本加油站</w:t>
            </w:r>
            <w:r>
              <w:rPr>
                <w:rFonts w:hint="default" w:ascii="Times New Roman" w:hAnsi="Times New Roman" w:eastAsia="宋体" w:cs="Times New Roman"/>
                <w:color w:val="auto"/>
                <w:sz w:val="24"/>
                <w:highlight w:val="none"/>
                <w:u w:val="none"/>
                <w:lang w:eastAsia="zh-CN"/>
              </w:rPr>
              <w:t>VOC</w:t>
            </w:r>
            <w:r>
              <w:rPr>
                <w:rFonts w:hint="default" w:ascii="Times New Roman" w:hAnsi="Times New Roman" w:eastAsia="宋体" w:cs="Times New Roman"/>
                <w:color w:val="auto"/>
                <w:sz w:val="24"/>
                <w:highlight w:val="none"/>
                <w:u w:val="none"/>
                <w:vertAlign w:val="subscript"/>
                <w:lang w:eastAsia="zh-CN"/>
              </w:rPr>
              <w:t>S</w:t>
            </w:r>
            <w:r>
              <w:rPr>
                <w:rFonts w:hint="default" w:ascii="Times New Roman" w:hAnsi="Times New Roman" w:eastAsia="宋体" w:cs="Times New Roman"/>
                <w:color w:val="auto"/>
                <w:sz w:val="24"/>
                <w:highlight w:val="none"/>
                <w:u w:val="none"/>
              </w:rPr>
              <w:t>物料管控与《挥发性有机物无组织排放控制标准》（GB37822-2019）中相关无组织排放管控要求相符性分析见下表</w:t>
            </w:r>
            <w:r>
              <w:rPr>
                <w:rFonts w:hint="eastAsia" w:cs="Times New Roman"/>
                <w:color w:val="auto"/>
                <w:sz w:val="24"/>
                <w:highlight w:val="none"/>
                <w:u w:val="none"/>
                <w:lang w:eastAsia="zh-CN"/>
              </w:rPr>
              <w:t>：</w:t>
            </w:r>
          </w:p>
          <w:p w14:paraId="29ADA036">
            <w:pPr>
              <w:pStyle w:val="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outlineLvl w:val="9"/>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表1-</w:t>
            </w:r>
            <w:r>
              <w:rPr>
                <w:rFonts w:hint="eastAsia" w:cs="Times New Roman"/>
                <w:color w:val="auto"/>
                <w:highlight w:val="none"/>
                <w:u w:val="none"/>
                <w:lang w:val="en-US" w:eastAsia="zh-CN"/>
              </w:rPr>
              <w:t>5</w:t>
            </w:r>
            <w:r>
              <w:rPr>
                <w:rFonts w:hint="default" w:ascii="Times New Roman" w:hAnsi="Times New Roman" w:eastAsia="宋体" w:cs="Times New Roman"/>
                <w:color w:val="auto"/>
                <w:highlight w:val="none"/>
                <w:u w:val="none"/>
              </w:rPr>
              <w:t xml:space="preserve"> 与《挥发性有机物无组织排放控制标准》相符性分析一览表</w:t>
            </w:r>
          </w:p>
          <w:tbl>
            <w:tblPr>
              <w:tblStyle w:val="5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68" w:type="dxa"/>
                <w:bottom w:w="0" w:type="dxa"/>
                <w:right w:w="68" w:type="dxa"/>
              </w:tblCellMar>
            </w:tblPr>
            <w:tblGrid>
              <w:gridCol w:w="466"/>
              <w:gridCol w:w="561"/>
              <w:gridCol w:w="3847"/>
              <w:gridCol w:w="1809"/>
              <w:gridCol w:w="754"/>
            </w:tblGrid>
            <w:tr w14:paraId="0F481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tcBorders>
                    <w:bottom w:val="single" w:color="auto" w:sz="6" w:space="0"/>
                    <w:right w:val="single" w:color="auto" w:sz="6" w:space="0"/>
                  </w:tcBorders>
                  <w:noWrap w:val="0"/>
                  <w:vAlign w:val="center"/>
                </w:tcPr>
                <w:p w14:paraId="0009FC2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963" w:type="pct"/>
                  <w:gridSpan w:val="2"/>
                  <w:tcBorders>
                    <w:left w:val="nil"/>
                    <w:bottom w:val="single" w:color="auto" w:sz="6" w:space="0"/>
                    <w:right w:val="single" w:color="auto" w:sz="6" w:space="0"/>
                  </w:tcBorders>
                  <w:noWrap w:val="0"/>
                  <w:vAlign w:val="center"/>
                </w:tcPr>
                <w:p w14:paraId="7BCF41A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无组织排放控制要求</w:t>
                  </w:r>
                </w:p>
              </w:tc>
              <w:tc>
                <w:tcPr>
                  <w:tcW w:w="1216" w:type="pct"/>
                  <w:tcBorders>
                    <w:left w:val="nil"/>
                    <w:bottom w:val="single" w:color="auto" w:sz="6" w:space="0"/>
                    <w:right w:val="single" w:color="auto" w:sz="6" w:space="0"/>
                  </w:tcBorders>
                  <w:noWrap w:val="0"/>
                  <w:vAlign w:val="center"/>
                </w:tcPr>
                <w:p w14:paraId="379D48E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506" w:type="pct"/>
                  <w:tcBorders>
                    <w:left w:val="nil"/>
                    <w:bottom w:val="single" w:color="auto" w:sz="6" w:space="0"/>
                  </w:tcBorders>
                  <w:noWrap w:val="0"/>
                  <w:vAlign w:val="center"/>
                </w:tcPr>
                <w:p w14:paraId="2743802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74F3AD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restart"/>
                  <w:tcBorders>
                    <w:top w:val="single" w:color="auto" w:sz="6" w:space="0"/>
                    <w:right w:val="single" w:color="auto" w:sz="6" w:space="0"/>
                  </w:tcBorders>
                  <w:noWrap w:val="0"/>
                  <w:vAlign w:val="center"/>
                </w:tcPr>
                <w:p w14:paraId="5E32E6F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77" w:type="pct"/>
                  <w:vMerge w:val="restart"/>
                  <w:tcBorders>
                    <w:top w:val="single" w:color="auto" w:sz="6" w:space="0"/>
                    <w:left w:val="nil"/>
                    <w:right w:val="single" w:color="auto" w:sz="6" w:space="0"/>
                  </w:tcBorders>
                  <w:noWrap w:val="0"/>
                  <w:vAlign w:val="center"/>
                </w:tcPr>
                <w:p w14:paraId="736AE89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运输过程</w:t>
                  </w:r>
                </w:p>
              </w:tc>
              <w:tc>
                <w:tcPr>
                  <w:tcW w:w="2585" w:type="pct"/>
                  <w:tcBorders>
                    <w:top w:val="single" w:color="auto" w:sz="6" w:space="0"/>
                    <w:left w:val="nil"/>
                    <w:bottom w:val="single" w:color="auto" w:sz="6" w:space="0"/>
                    <w:right w:val="single" w:color="auto" w:sz="6" w:space="0"/>
                  </w:tcBorders>
                  <w:noWrap w:val="0"/>
                  <w:vAlign w:val="center"/>
                </w:tcPr>
                <w:p w14:paraId="6AA33A2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物料应储存于密闭的容器、包装袋、储罐、储库、料仓中。</w:t>
                  </w:r>
                </w:p>
              </w:tc>
              <w:tc>
                <w:tcPr>
                  <w:tcW w:w="1216" w:type="pct"/>
                  <w:tcBorders>
                    <w:top w:val="single" w:color="auto" w:sz="6" w:space="0"/>
                    <w:left w:val="nil"/>
                    <w:bottom w:val="single" w:color="auto" w:sz="6" w:space="0"/>
                    <w:right w:val="single" w:color="auto" w:sz="6" w:space="0"/>
                  </w:tcBorders>
                  <w:noWrap w:val="0"/>
                  <w:vAlign w:val="center"/>
                </w:tcPr>
                <w:p w14:paraId="305FEC5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本项目汽油、柴油储存于密闭的油罐车内</w:t>
                  </w:r>
                </w:p>
              </w:tc>
              <w:tc>
                <w:tcPr>
                  <w:tcW w:w="506" w:type="pct"/>
                  <w:tcBorders>
                    <w:top w:val="single" w:color="auto" w:sz="6" w:space="0"/>
                    <w:left w:val="nil"/>
                    <w:bottom w:val="single" w:color="auto" w:sz="6" w:space="0"/>
                  </w:tcBorders>
                  <w:noWrap w:val="0"/>
                  <w:vAlign w:val="center"/>
                </w:tcPr>
                <w:p w14:paraId="72323BB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44BCB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continue"/>
                  <w:tcBorders>
                    <w:right w:val="single" w:color="auto" w:sz="6" w:space="0"/>
                  </w:tcBorders>
                  <w:noWrap w:val="0"/>
                  <w:vAlign w:val="center"/>
                </w:tcPr>
                <w:p w14:paraId="49FB114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377" w:type="pct"/>
                  <w:vMerge w:val="continue"/>
                  <w:tcBorders>
                    <w:left w:val="nil"/>
                    <w:right w:val="single" w:color="auto" w:sz="6" w:space="0"/>
                  </w:tcBorders>
                  <w:noWrap w:val="0"/>
                  <w:vAlign w:val="center"/>
                </w:tcPr>
                <w:p w14:paraId="7C426DC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585" w:type="pct"/>
                  <w:tcBorders>
                    <w:top w:val="single" w:color="auto" w:sz="6" w:space="0"/>
                    <w:left w:val="nil"/>
                    <w:bottom w:val="single" w:color="auto" w:sz="6" w:space="0"/>
                    <w:right w:val="single" w:color="auto" w:sz="6" w:space="0"/>
                  </w:tcBorders>
                  <w:noWrap w:val="0"/>
                  <w:vAlign w:val="center"/>
                </w:tcPr>
                <w:p w14:paraId="3C8DD1E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盛装</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物料的容器或包装袋应存放于室内，或存放于设置有雨棚、遮阳和防渗设施的专用场地。盛装</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物料的容器或包装袋在非取用状态时应加盖、封口，保持密闭。</w:t>
                  </w:r>
                </w:p>
              </w:tc>
              <w:tc>
                <w:tcPr>
                  <w:tcW w:w="1216" w:type="pct"/>
                  <w:tcBorders>
                    <w:top w:val="single" w:color="auto" w:sz="6" w:space="0"/>
                    <w:left w:val="nil"/>
                    <w:bottom w:val="single" w:color="auto" w:sz="6" w:space="0"/>
                    <w:right w:val="single" w:color="auto" w:sz="6" w:space="0"/>
                  </w:tcBorders>
                  <w:noWrap w:val="0"/>
                  <w:vAlign w:val="center"/>
                </w:tcPr>
                <w:p w14:paraId="740106D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本项目采用地埋式储油罐</w:t>
                  </w:r>
                </w:p>
              </w:tc>
              <w:tc>
                <w:tcPr>
                  <w:tcW w:w="506" w:type="pct"/>
                  <w:tcBorders>
                    <w:top w:val="single" w:color="auto" w:sz="6" w:space="0"/>
                    <w:left w:val="nil"/>
                    <w:bottom w:val="single" w:color="auto" w:sz="6" w:space="0"/>
                  </w:tcBorders>
                  <w:noWrap w:val="0"/>
                  <w:vAlign w:val="center"/>
                </w:tcPr>
                <w:p w14:paraId="0F24F14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C9D74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continue"/>
                  <w:tcBorders>
                    <w:right w:val="single" w:color="auto" w:sz="6" w:space="0"/>
                  </w:tcBorders>
                  <w:noWrap w:val="0"/>
                  <w:vAlign w:val="center"/>
                </w:tcPr>
                <w:p w14:paraId="041DCFA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377" w:type="pct"/>
                  <w:vMerge w:val="continue"/>
                  <w:tcBorders>
                    <w:left w:val="nil"/>
                    <w:right w:val="single" w:color="auto" w:sz="6" w:space="0"/>
                  </w:tcBorders>
                  <w:noWrap w:val="0"/>
                  <w:vAlign w:val="center"/>
                </w:tcPr>
                <w:p w14:paraId="739CA92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585" w:type="pct"/>
                  <w:tcBorders>
                    <w:top w:val="single" w:color="auto" w:sz="6" w:space="0"/>
                    <w:left w:val="nil"/>
                    <w:bottom w:val="single" w:color="auto" w:sz="6" w:space="0"/>
                    <w:right w:val="single" w:color="auto" w:sz="6" w:space="0"/>
                  </w:tcBorders>
                  <w:noWrap w:val="0"/>
                  <w:vAlign w:val="center"/>
                </w:tcPr>
                <w:p w14:paraId="61EB840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物料储罐应密封良好，其中挥发性有机液体储罐应符合5.2条规定</w:t>
                  </w:r>
                </w:p>
              </w:tc>
              <w:tc>
                <w:tcPr>
                  <w:tcW w:w="1216" w:type="pct"/>
                  <w:tcBorders>
                    <w:top w:val="single" w:color="auto" w:sz="6" w:space="0"/>
                    <w:left w:val="nil"/>
                    <w:bottom w:val="single" w:color="auto" w:sz="6" w:space="0"/>
                    <w:right w:val="single" w:color="auto" w:sz="6" w:space="0"/>
                  </w:tcBorders>
                  <w:noWrap w:val="0"/>
                  <w:vAlign w:val="center"/>
                </w:tcPr>
                <w:p w14:paraId="1DB6C94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本项目汽油、柴油使用</w:t>
                  </w:r>
                  <w:r>
                    <w:rPr>
                      <w:rFonts w:hint="default" w:ascii="Times New Roman" w:hAnsi="Times New Roman" w:eastAsia="宋体" w:cs="Times New Roman"/>
                      <w:color w:val="auto"/>
                      <w:sz w:val="21"/>
                      <w:szCs w:val="21"/>
                      <w:highlight w:val="none"/>
                      <w:lang w:eastAsia="zh-CN"/>
                    </w:rPr>
                    <w:t>密闭</w:t>
                  </w:r>
                  <w:r>
                    <w:rPr>
                      <w:rFonts w:hint="default" w:ascii="Times New Roman" w:hAnsi="Times New Roman" w:eastAsia="宋体" w:cs="Times New Roman"/>
                      <w:color w:val="auto"/>
                      <w:sz w:val="21"/>
                      <w:szCs w:val="21"/>
                      <w:highlight w:val="none"/>
                    </w:rPr>
                    <w:t>油罐车进行运输；</w:t>
                  </w:r>
                  <w:r>
                    <w:rPr>
                      <w:rFonts w:hint="default" w:ascii="Times New Roman" w:hAnsi="Times New Roman" w:eastAsia="宋体" w:cs="Times New Roman"/>
                      <w:color w:val="auto"/>
                      <w:sz w:val="21"/>
                      <w:szCs w:val="21"/>
                      <w:highlight w:val="none"/>
                      <w:lang w:eastAsia="zh-CN"/>
                    </w:rPr>
                    <w:t>储存</w:t>
                  </w:r>
                  <w:r>
                    <w:rPr>
                      <w:rFonts w:hint="default" w:ascii="Times New Roman" w:hAnsi="Times New Roman" w:eastAsia="宋体" w:cs="Times New Roman"/>
                      <w:color w:val="auto"/>
                      <w:sz w:val="21"/>
                      <w:szCs w:val="21"/>
                      <w:highlight w:val="none"/>
                    </w:rPr>
                    <w:t>采用地埋式密闭储油罐</w:t>
                  </w:r>
                </w:p>
              </w:tc>
              <w:tc>
                <w:tcPr>
                  <w:tcW w:w="506" w:type="pct"/>
                  <w:tcBorders>
                    <w:top w:val="single" w:color="auto" w:sz="6" w:space="0"/>
                    <w:left w:val="nil"/>
                    <w:bottom w:val="single" w:color="auto" w:sz="6" w:space="0"/>
                  </w:tcBorders>
                  <w:noWrap w:val="0"/>
                  <w:vAlign w:val="center"/>
                </w:tcPr>
                <w:p w14:paraId="204E02C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D546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continue"/>
                  <w:tcBorders>
                    <w:bottom w:val="single" w:color="auto" w:sz="6" w:space="0"/>
                    <w:right w:val="single" w:color="auto" w:sz="6" w:space="0"/>
                  </w:tcBorders>
                  <w:noWrap w:val="0"/>
                  <w:vAlign w:val="center"/>
                </w:tcPr>
                <w:p w14:paraId="6232318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377" w:type="pct"/>
                  <w:vMerge w:val="continue"/>
                  <w:tcBorders>
                    <w:left w:val="nil"/>
                    <w:bottom w:val="single" w:color="auto" w:sz="6" w:space="0"/>
                    <w:right w:val="single" w:color="auto" w:sz="6" w:space="0"/>
                  </w:tcBorders>
                  <w:noWrap w:val="0"/>
                  <w:vAlign w:val="center"/>
                </w:tcPr>
                <w:p w14:paraId="1917692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585" w:type="pct"/>
                  <w:tcBorders>
                    <w:top w:val="single" w:color="auto" w:sz="6" w:space="0"/>
                    <w:left w:val="nil"/>
                    <w:bottom w:val="single" w:color="auto" w:sz="6" w:space="0"/>
                    <w:right w:val="single" w:color="auto" w:sz="6" w:space="0"/>
                  </w:tcBorders>
                  <w:noWrap w:val="0"/>
                  <w:vAlign w:val="center"/>
                </w:tcPr>
                <w:p w14:paraId="3A7DB99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物料储库、料仓应满足3.6条对密闭空间的要求</w:t>
                  </w:r>
                </w:p>
              </w:tc>
              <w:tc>
                <w:tcPr>
                  <w:tcW w:w="1216" w:type="pct"/>
                  <w:tcBorders>
                    <w:top w:val="single" w:color="auto" w:sz="6" w:space="0"/>
                    <w:left w:val="nil"/>
                    <w:bottom w:val="single" w:color="auto" w:sz="6" w:space="0"/>
                    <w:right w:val="single" w:color="auto" w:sz="6" w:space="0"/>
                  </w:tcBorders>
                  <w:noWrap w:val="0"/>
                  <w:vAlign w:val="center"/>
                </w:tcPr>
                <w:p w14:paraId="5E0ADB6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本项目油罐车是密闭的；采用地埋式密闭储油罐</w:t>
                  </w:r>
                </w:p>
              </w:tc>
              <w:tc>
                <w:tcPr>
                  <w:tcW w:w="506" w:type="pct"/>
                  <w:tcBorders>
                    <w:top w:val="single" w:color="auto" w:sz="6" w:space="0"/>
                    <w:left w:val="nil"/>
                    <w:bottom w:val="single" w:color="auto" w:sz="6" w:space="0"/>
                  </w:tcBorders>
                  <w:noWrap w:val="0"/>
                  <w:vAlign w:val="center"/>
                </w:tcPr>
                <w:p w14:paraId="2270ED0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76E57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restart"/>
                  <w:tcBorders>
                    <w:top w:val="single" w:color="auto" w:sz="6" w:space="0"/>
                    <w:right w:val="single" w:color="auto" w:sz="6" w:space="0"/>
                  </w:tcBorders>
                  <w:noWrap w:val="0"/>
                  <w:vAlign w:val="center"/>
                </w:tcPr>
                <w:p w14:paraId="1225571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77" w:type="pct"/>
                  <w:vMerge w:val="restart"/>
                  <w:tcBorders>
                    <w:top w:val="single" w:color="auto" w:sz="6" w:space="0"/>
                    <w:left w:val="nil"/>
                    <w:right w:val="single" w:color="auto" w:sz="6" w:space="0"/>
                  </w:tcBorders>
                  <w:noWrap w:val="0"/>
                  <w:vAlign w:val="center"/>
                </w:tcPr>
                <w:p w14:paraId="46B8F80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装载过程</w:t>
                  </w:r>
                </w:p>
              </w:tc>
              <w:tc>
                <w:tcPr>
                  <w:tcW w:w="2585" w:type="pct"/>
                  <w:tcBorders>
                    <w:top w:val="single" w:color="auto" w:sz="6" w:space="0"/>
                    <w:left w:val="nil"/>
                    <w:bottom w:val="single" w:color="auto" w:sz="6" w:space="0"/>
                    <w:right w:val="single" w:color="auto" w:sz="6" w:space="0"/>
                  </w:tcBorders>
                  <w:noWrap w:val="0"/>
                  <w:vAlign w:val="center"/>
                </w:tcPr>
                <w:p w14:paraId="4F409A1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液态</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物料应采用密闭管道输送。采用非管道输送方式转移液态</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物料时，应采用密闭容器、罐车</w:t>
                  </w:r>
                </w:p>
              </w:tc>
              <w:tc>
                <w:tcPr>
                  <w:tcW w:w="1216" w:type="pct"/>
                  <w:tcBorders>
                    <w:top w:val="single" w:color="auto" w:sz="6" w:space="0"/>
                    <w:left w:val="nil"/>
                    <w:bottom w:val="single" w:color="auto" w:sz="6" w:space="0"/>
                    <w:right w:val="single" w:color="auto" w:sz="6" w:space="0"/>
                  </w:tcBorders>
                  <w:noWrap w:val="0"/>
                  <w:vAlign w:val="center"/>
                </w:tcPr>
                <w:p w14:paraId="02F1271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本项目汽油、柴油加油时采用自封式加油枪及密闭卸油等方式。</w:t>
                  </w:r>
                </w:p>
              </w:tc>
              <w:tc>
                <w:tcPr>
                  <w:tcW w:w="506" w:type="pct"/>
                  <w:tcBorders>
                    <w:top w:val="single" w:color="auto" w:sz="6" w:space="0"/>
                    <w:left w:val="nil"/>
                    <w:bottom w:val="single" w:color="auto" w:sz="6" w:space="0"/>
                  </w:tcBorders>
                  <w:noWrap w:val="0"/>
                  <w:vAlign w:val="center"/>
                </w:tcPr>
                <w:p w14:paraId="4961246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BCD56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vMerge w:val="continue"/>
                  <w:tcBorders>
                    <w:bottom w:val="single" w:color="auto" w:sz="6" w:space="0"/>
                    <w:right w:val="single" w:color="auto" w:sz="6" w:space="0"/>
                  </w:tcBorders>
                  <w:noWrap w:val="0"/>
                  <w:vAlign w:val="center"/>
                </w:tcPr>
                <w:p w14:paraId="42857D8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377" w:type="pct"/>
                  <w:vMerge w:val="continue"/>
                  <w:tcBorders>
                    <w:left w:val="nil"/>
                    <w:bottom w:val="single" w:color="auto" w:sz="6" w:space="0"/>
                    <w:right w:val="single" w:color="auto" w:sz="6" w:space="0"/>
                  </w:tcBorders>
                  <w:noWrap w:val="0"/>
                  <w:vAlign w:val="center"/>
                </w:tcPr>
                <w:p w14:paraId="28BE9FD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585" w:type="pct"/>
                  <w:tcBorders>
                    <w:top w:val="single" w:color="auto" w:sz="6" w:space="0"/>
                    <w:left w:val="nil"/>
                    <w:bottom w:val="single" w:color="auto" w:sz="6" w:space="0"/>
                    <w:right w:val="single" w:color="auto" w:sz="6" w:space="0"/>
                  </w:tcBorders>
                  <w:noWrap w:val="0"/>
                  <w:vAlign w:val="center"/>
                </w:tcPr>
                <w:p w14:paraId="6E9A7FF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对挥发性有机液体进行装载时，应符合6.2条规定</w:t>
                  </w:r>
                </w:p>
              </w:tc>
              <w:tc>
                <w:tcPr>
                  <w:tcW w:w="1216" w:type="pct"/>
                  <w:tcBorders>
                    <w:top w:val="single" w:color="auto" w:sz="6" w:space="0"/>
                    <w:left w:val="nil"/>
                    <w:bottom w:val="single" w:color="auto" w:sz="6" w:space="0"/>
                    <w:right w:val="single" w:color="auto" w:sz="6" w:space="0"/>
                  </w:tcBorders>
                  <w:noWrap w:val="0"/>
                  <w:vAlign w:val="center"/>
                </w:tcPr>
                <w:p w14:paraId="26D1C93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本项目汽油、柴油采用油罐车进行装载，装载方式符合左述6.2条要求</w:t>
                  </w:r>
                </w:p>
              </w:tc>
              <w:tc>
                <w:tcPr>
                  <w:tcW w:w="506" w:type="pct"/>
                  <w:tcBorders>
                    <w:top w:val="single" w:color="auto" w:sz="6" w:space="0"/>
                    <w:left w:val="nil"/>
                    <w:bottom w:val="single" w:color="auto" w:sz="6" w:space="0"/>
                  </w:tcBorders>
                  <w:noWrap w:val="0"/>
                  <w:vAlign w:val="center"/>
                </w:tcPr>
                <w:p w14:paraId="7194980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7BF6A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tcBorders>
                    <w:top w:val="single" w:color="auto" w:sz="6" w:space="0"/>
                    <w:bottom w:val="single" w:color="auto" w:sz="6" w:space="0"/>
                    <w:right w:val="single" w:color="auto" w:sz="6" w:space="0"/>
                  </w:tcBorders>
                  <w:noWrap w:val="0"/>
                  <w:vAlign w:val="center"/>
                </w:tcPr>
                <w:p w14:paraId="0AE1CA5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77" w:type="pct"/>
                  <w:tcBorders>
                    <w:top w:val="single" w:color="auto" w:sz="6" w:space="0"/>
                    <w:left w:val="nil"/>
                    <w:bottom w:val="single" w:color="auto" w:sz="6" w:space="0"/>
                    <w:right w:val="single" w:color="auto" w:sz="6" w:space="0"/>
                  </w:tcBorders>
                  <w:noWrap w:val="0"/>
                  <w:vAlign w:val="center"/>
                </w:tcPr>
                <w:p w14:paraId="563FC22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产品使用过程</w:t>
                  </w:r>
                </w:p>
              </w:tc>
              <w:tc>
                <w:tcPr>
                  <w:tcW w:w="2585" w:type="pct"/>
                  <w:tcBorders>
                    <w:top w:val="single" w:color="auto" w:sz="6" w:space="0"/>
                    <w:left w:val="nil"/>
                    <w:bottom w:val="single" w:color="auto" w:sz="6" w:space="0"/>
                    <w:right w:val="single" w:color="auto" w:sz="6" w:space="0"/>
                  </w:tcBorders>
                  <w:noWrap w:val="0"/>
                  <w:vAlign w:val="center"/>
                </w:tcPr>
                <w:p w14:paraId="0D1820D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质量占比大于等于10%的含</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产品，其使用过程应采用密闭设备或在密闭空间内操作，废气应排至</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废气收集处理系统；无法密闭的，应采取局部气体收集措施，废气应排至</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废气收集处理系统。无法密闭的，应采取局部气体收集措施，废气应排至</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废气收集处理系统。含</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产品的使用过程包括但不限于以下作业：a）调配（混合搅拌等）；b）涂装（喷涂、浸涂、淋涂、辊涂、刷涂、涂布等）；c）印刷（平版、凸版凹版、孔版等）；d）粘结（涂胶、热压、复合、贴合等）；e）印染（染色、印花、定型等）；f）干燥（烘干、风干、晾干等）；g）清洗（浸洗、喷洗、淋洗、冲洗、擦洗等）</w:t>
                  </w:r>
                </w:p>
              </w:tc>
              <w:tc>
                <w:tcPr>
                  <w:tcW w:w="1216" w:type="pct"/>
                  <w:tcBorders>
                    <w:top w:val="single" w:color="auto" w:sz="6" w:space="0"/>
                    <w:left w:val="nil"/>
                    <w:bottom w:val="single" w:color="auto" w:sz="6" w:space="0"/>
                    <w:right w:val="single" w:color="auto" w:sz="6" w:space="0"/>
                  </w:tcBorders>
                  <w:noWrap w:val="0"/>
                  <w:vAlign w:val="center"/>
                </w:tcPr>
                <w:p w14:paraId="0778389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本项目使用密闭设备，废气经油气回收系统处理后达标排放。</w:t>
                  </w:r>
                </w:p>
              </w:tc>
              <w:tc>
                <w:tcPr>
                  <w:tcW w:w="506" w:type="pct"/>
                  <w:tcBorders>
                    <w:top w:val="single" w:color="auto" w:sz="6" w:space="0"/>
                    <w:left w:val="nil"/>
                    <w:bottom w:val="single" w:color="auto" w:sz="6" w:space="0"/>
                  </w:tcBorders>
                  <w:noWrap w:val="0"/>
                  <w:vAlign w:val="center"/>
                </w:tcPr>
                <w:p w14:paraId="5513D50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74E74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tcBorders>
                    <w:top w:val="single" w:color="auto" w:sz="6" w:space="0"/>
                    <w:bottom w:val="single" w:color="auto" w:sz="6" w:space="0"/>
                    <w:right w:val="single" w:color="auto" w:sz="6" w:space="0"/>
                  </w:tcBorders>
                  <w:noWrap w:val="0"/>
                  <w:vAlign w:val="center"/>
                </w:tcPr>
                <w:p w14:paraId="1C500D4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77" w:type="pct"/>
                  <w:tcBorders>
                    <w:top w:val="single" w:color="auto" w:sz="6" w:space="0"/>
                    <w:left w:val="nil"/>
                    <w:bottom w:val="single" w:color="auto" w:sz="6" w:space="0"/>
                    <w:right w:val="single" w:color="auto" w:sz="6" w:space="0"/>
                  </w:tcBorders>
                  <w:noWrap w:val="0"/>
                  <w:vAlign w:val="center"/>
                </w:tcPr>
                <w:p w14:paraId="6ACBD55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废气收集系统要求</w:t>
                  </w:r>
                </w:p>
              </w:tc>
              <w:tc>
                <w:tcPr>
                  <w:tcW w:w="2585" w:type="pct"/>
                  <w:tcBorders>
                    <w:top w:val="single" w:color="auto" w:sz="6" w:space="0"/>
                    <w:left w:val="nil"/>
                    <w:bottom w:val="single" w:color="auto" w:sz="6" w:space="0"/>
                    <w:right w:val="single" w:color="auto" w:sz="6" w:space="0"/>
                  </w:tcBorders>
                  <w:noWrap w:val="0"/>
                  <w:vAlign w:val="center"/>
                </w:tcPr>
                <w:p w14:paraId="4ECF67B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企业应考虑生产工艺、操作方式、废气性质、处理方法等因素，对</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废气进行分类收集。废气收集系统排风罩（集气罩）的设置应符合GB/T16758的规定。采用外部排风罩的，应按GB/T16758、AQ/T4274—2016规定的方法测量控制风速，测量点应选取在距排风罩开口面最远处的</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无组织排放位置，控制风速不应低于0.3m/s（行业相关规范有具体规定的，按相关规定执行）。废气收集系统的输送管道应密闭。废气收集系统应在负压下运行，若处于正压状态，应对输送管道组件的密封点进行泄漏检测，泄漏检测值不应超过500pumo/mol，亦不应有感官可察觉泄漏</w:t>
                  </w:r>
                </w:p>
              </w:tc>
              <w:tc>
                <w:tcPr>
                  <w:tcW w:w="1216" w:type="pct"/>
                  <w:tcBorders>
                    <w:top w:val="single" w:color="auto" w:sz="6" w:space="0"/>
                    <w:left w:val="nil"/>
                    <w:bottom w:val="single" w:color="auto" w:sz="6" w:space="0"/>
                    <w:right w:val="single" w:color="auto" w:sz="6" w:space="0"/>
                  </w:tcBorders>
                  <w:noWrap w:val="0"/>
                  <w:vAlign w:val="center"/>
                </w:tcPr>
                <w:p w14:paraId="618CD39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本项目废气收集输送管道密闭，收集系统均为负压下运行</w:t>
                  </w:r>
                </w:p>
              </w:tc>
              <w:tc>
                <w:tcPr>
                  <w:tcW w:w="506" w:type="pct"/>
                  <w:tcBorders>
                    <w:top w:val="single" w:color="auto" w:sz="6" w:space="0"/>
                    <w:left w:val="nil"/>
                    <w:bottom w:val="single" w:color="auto" w:sz="6" w:space="0"/>
                  </w:tcBorders>
                  <w:noWrap w:val="0"/>
                  <w:vAlign w:val="center"/>
                </w:tcPr>
                <w:p w14:paraId="06F0AB9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B963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8" w:type="dxa"/>
                  <w:bottom w:w="0" w:type="dxa"/>
                  <w:right w:w="68" w:type="dxa"/>
                </w:tblCellMar>
              </w:tblPrEx>
              <w:trPr>
                <w:trHeight w:val="113" w:hRule="atLeast"/>
                <w:jc w:val="center"/>
              </w:trPr>
              <w:tc>
                <w:tcPr>
                  <w:tcW w:w="313" w:type="pct"/>
                  <w:tcBorders>
                    <w:top w:val="single" w:color="auto" w:sz="6" w:space="0"/>
                    <w:right w:val="single" w:color="auto" w:sz="6" w:space="0"/>
                  </w:tcBorders>
                  <w:noWrap w:val="0"/>
                  <w:vAlign w:val="center"/>
                </w:tcPr>
                <w:p w14:paraId="0A9FB1C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77" w:type="pct"/>
                  <w:tcBorders>
                    <w:top w:val="single" w:color="auto" w:sz="6" w:space="0"/>
                    <w:left w:val="nil"/>
                    <w:right w:val="single" w:color="auto" w:sz="6" w:space="0"/>
                  </w:tcBorders>
                  <w:noWrap w:val="0"/>
                  <w:vAlign w:val="center"/>
                </w:tcPr>
                <w:p w14:paraId="257A85F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废气排放控制要求</w:t>
                  </w:r>
                </w:p>
              </w:tc>
              <w:tc>
                <w:tcPr>
                  <w:tcW w:w="2585" w:type="pct"/>
                  <w:tcBorders>
                    <w:top w:val="single" w:color="auto" w:sz="6" w:space="0"/>
                    <w:left w:val="nil"/>
                    <w:right w:val="single" w:color="auto" w:sz="6" w:space="0"/>
                  </w:tcBorders>
                  <w:noWrap w:val="0"/>
                  <w:vAlign w:val="center"/>
                </w:tcPr>
                <w:p w14:paraId="579A8C8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收集的废气中NMHC初始排放速率≥3kg/h时，应配置</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处理设施，处理效率不应低于80%；对于重点地区，收集的废气中NMHC初始排放速率≥2kg/h时应配置</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处理设施，处理效率不应低于80%；采用的原辅材料符合国家有关低</w:t>
                  </w:r>
                  <w:r>
                    <w:rPr>
                      <w:rFonts w:hint="default" w:ascii="Times New Roman" w:hAnsi="Times New Roman" w:eastAsia="宋体" w:cs="Times New Roman"/>
                      <w:color w:val="auto"/>
                      <w:sz w:val="21"/>
                      <w:szCs w:val="21"/>
                      <w:highlight w:val="none"/>
                      <w:lang w:eastAsia="zh-CN"/>
                    </w:rPr>
                    <w:t>VOCS</w:t>
                  </w:r>
                  <w:r>
                    <w:rPr>
                      <w:rFonts w:hint="default" w:ascii="Times New Roman" w:hAnsi="Times New Roman" w:eastAsia="宋体" w:cs="Times New Roman"/>
                      <w:color w:val="auto"/>
                      <w:sz w:val="21"/>
                      <w:szCs w:val="21"/>
                      <w:highlight w:val="none"/>
                    </w:rPr>
                    <w:t>含量产品规定的除外</w:t>
                  </w:r>
                </w:p>
              </w:tc>
              <w:tc>
                <w:tcPr>
                  <w:tcW w:w="1216" w:type="pct"/>
                  <w:tcBorders>
                    <w:top w:val="single" w:color="auto" w:sz="6" w:space="0"/>
                    <w:left w:val="nil"/>
                    <w:right w:val="single" w:color="auto" w:sz="6" w:space="0"/>
                  </w:tcBorders>
                  <w:noWrap w:val="0"/>
                  <w:vAlign w:val="center"/>
                </w:tcPr>
                <w:p w14:paraId="7A07EB2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本项目采用了油气回收系统，油气回收效率确保可达90%</w:t>
                  </w:r>
                </w:p>
              </w:tc>
              <w:tc>
                <w:tcPr>
                  <w:tcW w:w="506" w:type="pct"/>
                  <w:tcBorders>
                    <w:top w:val="single" w:color="auto" w:sz="6" w:space="0"/>
                    <w:left w:val="nil"/>
                  </w:tcBorders>
                  <w:noWrap w:val="0"/>
                  <w:vAlign w:val="center"/>
                </w:tcPr>
                <w:p w14:paraId="633A003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EDF9920">
            <w:pPr>
              <w:keepNext w:val="0"/>
              <w:keepLines w:val="0"/>
              <w:suppressLineNumbers w:val="0"/>
              <w:adjustRightInd w:val="0"/>
              <w:snapToGrid w:val="0"/>
              <w:spacing w:before="0" w:beforeAutospacing="0" w:after="0" w:afterAutospacing="0" w:line="360" w:lineRule="auto"/>
              <w:ind w:left="0" w:right="0" w:firstLine="480"/>
              <w:outlineLvl w:val="9"/>
              <w:rPr>
                <w:rFonts w:hint="default" w:ascii="Times New Roman" w:hAnsi="Times New Roman" w:eastAsia="仿宋" w:cs="Times New Roman"/>
                <w:color w:val="auto"/>
                <w:sz w:val="24"/>
                <w:highlight w:val="none"/>
                <w:u w:val="none"/>
              </w:rPr>
            </w:pPr>
            <w:r>
              <w:rPr>
                <w:rFonts w:hint="default" w:ascii="Times New Roman" w:hAnsi="Times New Roman" w:eastAsia="宋体" w:cs="Times New Roman"/>
                <w:color w:val="auto"/>
                <w:sz w:val="24"/>
                <w:highlight w:val="none"/>
                <w:u w:val="none"/>
              </w:rPr>
              <w:t>根据上表可知，本项目的建设符合《挥发性有机物无组织排放控制标准》(GB 37822-2019)相关要求。</w:t>
            </w:r>
          </w:p>
          <w:p w14:paraId="1FB4E041">
            <w:pPr>
              <w:keepNext w:val="0"/>
              <w:keepLines w:val="0"/>
              <w:pageBreakBefore w:val="0"/>
              <w:widowControl w:val="0"/>
              <w:kinsoku/>
              <w:overflowPunct/>
              <w:topLinePunct/>
              <w:autoSpaceDE/>
              <w:autoSpaceDN/>
              <w:bidi w:val="0"/>
              <w:adjustRightInd w:val="0"/>
              <w:snapToGrid w:val="0"/>
              <w:spacing w:line="360" w:lineRule="auto"/>
              <w:ind w:left="0" w:leftChars="0"/>
              <w:jc w:val="left"/>
              <w:textAlignment w:val="auto"/>
              <w:rPr>
                <w:b/>
                <w:bCs/>
                <w:sz w:val="24"/>
              </w:rPr>
            </w:pPr>
            <w:r>
              <w:rPr>
                <w:rFonts w:hint="eastAsia"/>
                <w:b/>
                <w:bCs/>
                <w:sz w:val="24"/>
                <w:lang w:val="en-US" w:eastAsia="zh-CN"/>
              </w:rPr>
              <w:t xml:space="preserve">1.9 </w:t>
            </w:r>
            <w:r>
              <w:rPr>
                <w:b/>
                <w:bCs/>
                <w:sz w:val="24"/>
              </w:rPr>
              <w:t>与《汽车加油加气加氢站技术标准》（GB50156-2021）的符合性分析</w:t>
            </w:r>
          </w:p>
          <w:p w14:paraId="21E8BF54">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82" w:firstLineChars="200"/>
              <w:textAlignment w:val="auto"/>
              <w:rPr>
                <w:color w:val="auto"/>
                <w:sz w:val="24"/>
              </w:rPr>
            </w:pPr>
            <w:r>
              <w:rPr>
                <w:rFonts w:hint="eastAsia"/>
                <w:b/>
                <w:color w:val="auto"/>
                <w:sz w:val="24"/>
                <w:lang w:val="en-US" w:eastAsia="zh-CN"/>
              </w:rPr>
              <w:t>①</w:t>
            </w:r>
            <w:r>
              <w:rPr>
                <w:b/>
                <w:color w:val="auto"/>
                <w:sz w:val="24"/>
              </w:rPr>
              <w:t>选址符合性分析</w:t>
            </w:r>
          </w:p>
          <w:p w14:paraId="086C1248">
            <w:pPr>
              <w:pStyle w:val="71"/>
              <w:keepNext w:val="0"/>
              <w:keepLines w:val="0"/>
              <w:pageBreakBefore w:val="0"/>
              <w:widowControl w:val="0"/>
              <w:kinsoku/>
              <w:wordWrap w:val="0"/>
              <w:overflowPunct/>
              <w:topLinePunct/>
              <w:autoSpaceDE/>
              <w:autoSpaceDN/>
              <w:bidi w:val="0"/>
              <w:adjustRightInd w:val="0"/>
              <w:snapToGrid w:val="0"/>
              <w:spacing w:line="360" w:lineRule="auto"/>
              <w:ind w:left="0" w:leftChars="0" w:firstLine="480" w:firstLineChars="200"/>
              <w:textAlignment w:val="auto"/>
              <w:rPr>
                <w:rFonts w:ascii="Times New Roman" w:hAnsi="Times New Roman" w:cs="Times New Roman"/>
                <w:bCs/>
                <w:color w:val="auto"/>
              </w:rPr>
            </w:pPr>
            <w:r>
              <w:rPr>
                <w:rFonts w:ascii="Times New Roman" w:hAnsi="Times New Roman" w:cs="Times New Roman"/>
                <w:color w:val="auto"/>
              </w:rPr>
              <w:t>本项目建设地点位于</w:t>
            </w:r>
            <w:r>
              <w:rPr>
                <w:rFonts w:hint="eastAsia" w:hAnsi="宋体" w:cs="宋体"/>
                <w:color w:val="auto"/>
                <w:sz w:val="24"/>
                <w:szCs w:val="24"/>
                <w:lang w:eastAsia="zh-CN"/>
              </w:rPr>
              <w:t>湖南省永州市祁阳市长虹街道长虹社区九组祁阳大道铁路涵桥以北东侧</w:t>
            </w:r>
            <w:r>
              <w:rPr>
                <w:rFonts w:ascii="Times New Roman" w:hAnsi="Times New Roman" w:cs="Times New Roman"/>
                <w:bCs/>
                <w:color w:val="auto"/>
              </w:rPr>
              <w:t>。本项目新建加油站（点）申报表已取得</w:t>
            </w:r>
            <w:r>
              <w:rPr>
                <w:rFonts w:hint="eastAsia" w:ascii="Times New Roman" w:hAnsi="Times New Roman" w:cs="Times New Roman"/>
                <w:bCs/>
                <w:color w:val="auto"/>
              </w:rPr>
              <w:t>永州市商务局</w:t>
            </w:r>
            <w:r>
              <w:rPr>
                <w:rFonts w:hint="eastAsia" w:cs="Times New Roman"/>
                <w:bCs/>
                <w:color w:val="auto"/>
                <w:lang w:eastAsia="zh-CN"/>
              </w:rPr>
              <w:t>的</w:t>
            </w:r>
            <w:r>
              <w:rPr>
                <w:rFonts w:hint="eastAsia" w:cs="Times New Roman"/>
                <w:bCs/>
                <w:color w:val="auto"/>
                <w:lang w:val="en-US" w:eastAsia="zh-CN"/>
              </w:rPr>
              <w:t>审批核发</w:t>
            </w:r>
            <w:r>
              <w:rPr>
                <w:rFonts w:ascii="Times New Roman" w:hAnsi="Times New Roman" w:cs="Times New Roman"/>
                <w:bCs/>
                <w:color w:val="auto"/>
              </w:rPr>
              <w:t>（详见附件</w:t>
            </w:r>
            <w:r>
              <w:rPr>
                <w:rFonts w:hint="eastAsia" w:cs="Times New Roman"/>
                <w:bCs/>
                <w:color w:val="auto"/>
                <w:lang w:val="en-US" w:eastAsia="zh-CN"/>
              </w:rPr>
              <w:t>4</w:t>
            </w:r>
            <w:r>
              <w:rPr>
                <w:rFonts w:ascii="Times New Roman" w:hAnsi="Times New Roman" w:cs="Times New Roman"/>
                <w:bCs/>
                <w:color w:val="auto"/>
              </w:rPr>
              <w:t>）。根据《汽车加油加气加氢站技术标准》（GB50156-2021）关于站址选择要求：</w:t>
            </w:r>
            <w:r>
              <w:rPr>
                <w:rFonts w:hint="eastAsia" w:ascii="Times New Roman" w:hAnsi="Times New Roman" w:cs="Times New Roman"/>
                <w:bCs/>
                <w:color w:val="auto"/>
                <w:lang w:val="en-US" w:eastAsia="zh-CN"/>
              </w:rPr>
              <w:t>1、</w:t>
            </w:r>
            <w:r>
              <w:rPr>
                <w:rFonts w:ascii="Times New Roman" w:hAnsi="Times New Roman" w:cs="Times New Roman"/>
                <w:bCs/>
                <w:color w:val="auto"/>
              </w:rPr>
              <w:t>汽车加油加气加氢站的站址选择应符合有关规划、环境保护和防火安全的要求，并应选在交通便利、用户使用方便的地点。</w:t>
            </w:r>
            <w:r>
              <w:rPr>
                <w:rFonts w:hint="eastAsia" w:ascii="Times New Roman" w:hAnsi="Times New Roman" w:cs="Times New Roman"/>
                <w:bCs/>
                <w:color w:val="auto"/>
                <w:lang w:val="en-US" w:eastAsia="zh-CN"/>
              </w:rPr>
              <w:t>2、</w:t>
            </w:r>
            <w:r>
              <w:rPr>
                <w:rFonts w:ascii="Times New Roman" w:hAnsi="Times New Roman" w:cs="Times New Roman"/>
                <w:bCs/>
                <w:color w:val="auto"/>
              </w:rPr>
              <w:t>在城市中心区不应建一级汽车加油加气加氢站、CNG加气母站。</w:t>
            </w:r>
            <w:r>
              <w:rPr>
                <w:rFonts w:hint="eastAsia" w:ascii="Times New Roman" w:hAnsi="Times New Roman" w:cs="Times New Roman"/>
                <w:bCs/>
                <w:color w:val="auto"/>
                <w:lang w:val="en-US" w:eastAsia="zh-CN"/>
              </w:rPr>
              <w:t>3、</w:t>
            </w:r>
            <w:r>
              <w:rPr>
                <w:rFonts w:ascii="Times New Roman" w:hAnsi="Times New Roman" w:cs="Times New Roman"/>
                <w:bCs/>
                <w:color w:val="auto"/>
              </w:rPr>
              <w:t>城市建成区内的汽车加油加气加氢站宜靠近城市道路，但不宜选在城市干道的交叉路口附近。</w:t>
            </w:r>
          </w:p>
          <w:p w14:paraId="2F1015D1">
            <w:pPr>
              <w:keepNext w:val="0"/>
              <w:keepLines w:val="0"/>
              <w:pageBreakBefore w:val="0"/>
              <w:widowControl w:val="0"/>
              <w:kinsoku/>
              <w:overflowPunct/>
              <w:autoSpaceDE/>
              <w:autoSpaceDN/>
              <w:bidi w:val="0"/>
              <w:adjustRightInd w:val="0"/>
              <w:snapToGrid w:val="0"/>
              <w:spacing w:line="360" w:lineRule="auto"/>
              <w:ind w:firstLine="480" w:firstLineChars="200"/>
              <w:textAlignment w:val="auto"/>
              <w:rPr>
                <w:b/>
                <w:bCs/>
                <w:color w:val="auto"/>
                <w:szCs w:val="21"/>
              </w:rPr>
            </w:pPr>
            <w:r>
              <w:rPr>
                <w:bCs/>
                <w:color w:val="auto"/>
                <w:sz w:val="24"/>
              </w:rPr>
              <w:t>根据《汽车加油加气加氢站技术标准》（GB50156-2021）加油站等级划分见表1-</w:t>
            </w:r>
            <w:r>
              <w:rPr>
                <w:rFonts w:hint="eastAsia"/>
                <w:bCs/>
                <w:color w:val="auto"/>
                <w:sz w:val="24"/>
                <w:lang w:val="en-US" w:eastAsia="zh-CN"/>
              </w:rPr>
              <w:t>6</w:t>
            </w:r>
            <w:r>
              <w:rPr>
                <w:color w:val="auto"/>
                <w:sz w:val="24"/>
              </w:rPr>
              <w:t>。</w:t>
            </w:r>
          </w:p>
          <w:p w14:paraId="3D89F29A">
            <w:pPr>
              <w:jc w:val="center"/>
              <w:rPr>
                <w:b/>
                <w:bCs/>
                <w:color w:val="auto"/>
                <w:sz w:val="24"/>
                <w:szCs w:val="24"/>
              </w:rPr>
            </w:pPr>
            <w:r>
              <w:rPr>
                <w:b/>
                <w:bCs/>
                <w:color w:val="auto"/>
                <w:sz w:val="24"/>
                <w:szCs w:val="24"/>
              </w:rPr>
              <w:t>表1-</w:t>
            </w:r>
            <w:r>
              <w:rPr>
                <w:rFonts w:hint="eastAsia"/>
                <w:b/>
                <w:bCs/>
                <w:color w:val="auto"/>
                <w:sz w:val="24"/>
                <w:szCs w:val="24"/>
                <w:lang w:val="en-US" w:eastAsia="zh-CN"/>
              </w:rPr>
              <w:t>6</w:t>
            </w:r>
            <w:r>
              <w:rPr>
                <w:b/>
                <w:bCs/>
                <w:color w:val="auto"/>
                <w:sz w:val="24"/>
                <w:szCs w:val="24"/>
              </w:rPr>
              <w:t xml:space="preserve"> </w:t>
            </w:r>
            <w:r>
              <w:rPr>
                <w:b/>
                <w:color w:val="auto"/>
                <w:kern w:val="0"/>
                <w:sz w:val="24"/>
                <w:szCs w:val="24"/>
              </w:rPr>
              <w:t>加油站的等级划分</w:t>
            </w:r>
          </w:p>
          <w:tbl>
            <w:tblPr>
              <w:tblStyle w:val="51"/>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2813"/>
              <w:gridCol w:w="2484"/>
            </w:tblGrid>
            <w:tr w14:paraId="2AEF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40" w:type="pct"/>
                  <w:vMerge w:val="restart"/>
                  <w:vAlign w:val="center"/>
                </w:tcPr>
                <w:p w14:paraId="14EBFB3E">
                  <w:pPr>
                    <w:adjustRightInd w:val="0"/>
                    <w:snapToGrid w:val="0"/>
                    <w:spacing w:line="240" w:lineRule="auto"/>
                    <w:jc w:val="center"/>
                    <w:rPr>
                      <w:b/>
                      <w:color w:val="auto"/>
                    </w:rPr>
                  </w:pPr>
                  <w:r>
                    <w:rPr>
                      <w:b/>
                      <w:color w:val="auto"/>
                    </w:rPr>
                    <w:t>级别</w:t>
                  </w:r>
                </w:p>
              </w:tc>
              <w:tc>
                <w:tcPr>
                  <w:tcW w:w="3559" w:type="pct"/>
                  <w:gridSpan w:val="2"/>
                  <w:vAlign w:val="center"/>
                </w:tcPr>
                <w:p w14:paraId="675BBB11">
                  <w:pPr>
                    <w:adjustRightInd w:val="0"/>
                    <w:snapToGrid w:val="0"/>
                    <w:spacing w:line="240" w:lineRule="auto"/>
                    <w:ind w:firstLine="422" w:firstLineChars="200"/>
                    <w:jc w:val="center"/>
                    <w:rPr>
                      <w:b/>
                      <w:color w:val="auto"/>
                    </w:rPr>
                  </w:pPr>
                  <w:r>
                    <w:rPr>
                      <w:b/>
                      <w:color w:val="auto"/>
                    </w:rPr>
                    <w:t>油罐容积（m</w:t>
                  </w:r>
                  <w:r>
                    <w:rPr>
                      <w:b/>
                      <w:color w:val="auto"/>
                      <w:vertAlign w:val="superscript"/>
                    </w:rPr>
                    <w:t>3</w:t>
                  </w:r>
                  <w:r>
                    <w:rPr>
                      <w:b/>
                      <w:color w:val="auto"/>
                    </w:rPr>
                    <w:t>）</w:t>
                  </w:r>
                </w:p>
              </w:tc>
            </w:tr>
            <w:tr w14:paraId="6246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40" w:type="pct"/>
                  <w:vMerge w:val="continue"/>
                  <w:vAlign w:val="center"/>
                </w:tcPr>
                <w:p w14:paraId="4F685FE2">
                  <w:pPr>
                    <w:adjustRightInd w:val="0"/>
                    <w:snapToGrid w:val="0"/>
                    <w:spacing w:line="240" w:lineRule="auto"/>
                    <w:ind w:firstLine="422" w:firstLineChars="200"/>
                    <w:jc w:val="center"/>
                    <w:rPr>
                      <w:b/>
                      <w:color w:val="auto"/>
                    </w:rPr>
                  </w:pPr>
                </w:p>
              </w:tc>
              <w:tc>
                <w:tcPr>
                  <w:tcW w:w="1891" w:type="pct"/>
                  <w:vAlign w:val="center"/>
                </w:tcPr>
                <w:p w14:paraId="48392E98">
                  <w:pPr>
                    <w:adjustRightInd w:val="0"/>
                    <w:snapToGrid w:val="0"/>
                    <w:spacing w:line="240" w:lineRule="auto"/>
                    <w:jc w:val="center"/>
                    <w:rPr>
                      <w:b/>
                      <w:color w:val="auto"/>
                    </w:rPr>
                  </w:pPr>
                  <w:r>
                    <w:rPr>
                      <w:b/>
                      <w:color w:val="auto"/>
                    </w:rPr>
                    <w:t>总容积</w:t>
                  </w:r>
                </w:p>
              </w:tc>
              <w:tc>
                <w:tcPr>
                  <w:tcW w:w="1667" w:type="pct"/>
                  <w:vAlign w:val="center"/>
                </w:tcPr>
                <w:p w14:paraId="07ED9427">
                  <w:pPr>
                    <w:adjustRightInd w:val="0"/>
                    <w:snapToGrid w:val="0"/>
                    <w:spacing w:line="240" w:lineRule="auto"/>
                    <w:jc w:val="center"/>
                    <w:rPr>
                      <w:b/>
                      <w:color w:val="auto"/>
                    </w:rPr>
                  </w:pPr>
                  <w:r>
                    <w:rPr>
                      <w:b/>
                      <w:color w:val="auto"/>
                    </w:rPr>
                    <w:t>单罐容积</w:t>
                  </w:r>
                </w:p>
              </w:tc>
            </w:tr>
            <w:tr w14:paraId="2846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40" w:type="pct"/>
                  <w:vAlign w:val="center"/>
                </w:tcPr>
                <w:p w14:paraId="33F9DDA3">
                  <w:pPr>
                    <w:adjustRightInd w:val="0"/>
                    <w:snapToGrid w:val="0"/>
                    <w:spacing w:line="240" w:lineRule="auto"/>
                    <w:jc w:val="center"/>
                    <w:rPr>
                      <w:bCs/>
                      <w:color w:val="auto"/>
                    </w:rPr>
                  </w:pPr>
                  <w:r>
                    <w:rPr>
                      <w:bCs/>
                      <w:color w:val="auto"/>
                    </w:rPr>
                    <w:t>一级</w:t>
                  </w:r>
                </w:p>
              </w:tc>
              <w:tc>
                <w:tcPr>
                  <w:tcW w:w="1891" w:type="pct"/>
                  <w:vAlign w:val="center"/>
                </w:tcPr>
                <w:p w14:paraId="1CC0858B">
                  <w:pPr>
                    <w:adjustRightInd w:val="0"/>
                    <w:snapToGrid w:val="0"/>
                    <w:spacing w:line="240" w:lineRule="auto"/>
                    <w:jc w:val="center"/>
                    <w:rPr>
                      <w:bCs/>
                      <w:color w:val="auto"/>
                    </w:rPr>
                  </w:pPr>
                  <w:r>
                    <w:rPr>
                      <w:bCs/>
                      <w:color w:val="auto"/>
                    </w:rPr>
                    <w:t>150＜V≤210</w:t>
                  </w:r>
                </w:p>
              </w:tc>
              <w:tc>
                <w:tcPr>
                  <w:tcW w:w="1667" w:type="pct"/>
                  <w:vAlign w:val="center"/>
                </w:tcPr>
                <w:p w14:paraId="138771AC">
                  <w:pPr>
                    <w:adjustRightInd w:val="0"/>
                    <w:snapToGrid w:val="0"/>
                    <w:spacing w:line="240" w:lineRule="auto"/>
                    <w:jc w:val="center"/>
                    <w:rPr>
                      <w:bCs/>
                      <w:color w:val="auto"/>
                    </w:rPr>
                  </w:pPr>
                  <w:r>
                    <w:rPr>
                      <w:bCs/>
                      <w:color w:val="auto"/>
                    </w:rPr>
                    <w:t>≤50</w:t>
                  </w:r>
                </w:p>
              </w:tc>
            </w:tr>
            <w:tr w14:paraId="4622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40" w:type="pct"/>
                  <w:vAlign w:val="center"/>
                </w:tcPr>
                <w:p w14:paraId="0D7D1102">
                  <w:pPr>
                    <w:adjustRightInd w:val="0"/>
                    <w:snapToGrid w:val="0"/>
                    <w:spacing w:line="240" w:lineRule="auto"/>
                    <w:jc w:val="center"/>
                    <w:rPr>
                      <w:bCs/>
                      <w:color w:val="auto"/>
                    </w:rPr>
                  </w:pPr>
                  <w:r>
                    <w:rPr>
                      <w:bCs/>
                      <w:color w:val="auto"/>
                    </w:rPr>
                    <w:t>二级</w:t>
                  </w:r>
                </w:p>
              </w:tc>
              <w:tc>
                <w:tcPr>
                  <w:tcW w:w="1891" w:type="pct"/>
                  <w:vAlign w:val="center"/>
                </w:tcPr>
                <w:p w14:paraId="550F5D36">
                  <w:pPr>
                    <w:adjustRightInd w:val="0"/>
                    <w:snapToGrid w:val="0"/>
                    <w:spacing w:line="240" w:lineRule="auto"/>
                    <w:jc w:val="center"/>
                    <w:rPr>
                      <w:bCs/>
                      <w:color w:val="auto"/>
                    </w:rPr>
                  </w:pPr>
                  <w:r>
                    <w:rPr>
                      <w:bCs/>
                      <w:color w:val="auto"/>
                    </w:rPr>
                    <w:t>90＜V≤150</w:t>
                  </w:r>
                </w:p>
              </w:tc>
              <w:tc>
                <w:tcPr>
                  <w:tcW w:w="1667" w:type="pct"/>
                  <w:vAlign w:val="center"/>
                </w:tcPr>
                <w:p w14:paraId="4DF1D6A8">
                  <w:pPr>
                    <w:adjustRightInd w:val="0"/>
                    <w:snapToGrid w:val="0"/>
                    <w:spacing w:line="240" w:lineRule="auto"/>
                    <w:jc w:val="center"/>
                    <w:rPr>
                      <w:bCs/>
                      <w:color w:val="auto"/>
                    </w:rPr>
                  </w:pPr>
                  <w:r>
                    <w:rPr>
                      <w:bCs/>
                      <w:color w:val="auto"/>
                    </w:rPr>
                    <w:t>≤50</w:t>
                  </w:r>
                </w:p>
              </w:tc>
            </w:tr>
            <w:tr w14:paraId="6299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40" w:type="pct"/>
                  <w:vAlign w:val="center"/>
                </w:tcPr>
                <w:p w14:paraId="2FECD982">
                  <w:pPr>
                    <w:adjustRightInd w:val="0"/>
                    <w:snapToGrid w:val="0"/>
                    <w:spacing w:line="240" w:lineRule="auto"/>
                    <w:jc w:val="center"/>
                    <w:rPr>
                      <w:bCs/>
                      <w:color w:val="auto"/>
                    </w:rPr>
                  </w:pPr>
                  <w:r>
                    <w:rPr>
                      <w:bCs/>
                      <w:color w:val="auto"/>
                    </w:rPr>
                    <w:t>三级</w:t>
                  </w:r>
                </w:p>
              </w:tc>
              <w:tc>
                <w:tcPr>
                  <w:tcW w:w="1891" w:type="pct"/>
                  <w:vAlign w:val="center"/>
                </w:tcPr>
                <w:p w14:paraId="29820540">
                  <w:pPr>
                    <w:adjustRightInd w:val="0"/>
                    <w:snapToGrid w:val="0"/>
                    <w:spacing w:line="240" w:lineRule="auto"/>
                    <w:jc w:val="center"/>
                    <w:rPr>
                      <w:bCs/>
                      <w:color w:val="auto"/>
                    </w:rPr>
                  </w:pPr>
                  <w:r>
                    <w:rPr>
                      <w:bCs/>
                      <w:color w:val="auto"/>
                    </w:rPr>
                    <w:t>V≤90</w:t>
                  </w:r>
                </w:p>
              </w:tc>
              <w:tc>
                <w:tcPr>
                  <w:tcW w:w="1667" w:type="pct"/>
                  <w:vAlign w:val="center"/>
                </w:tcPr>
                <w:p w14:paraId="21F321B2">
                  <w:pPr>
                    <w:adjustRightInd w:val="0"/>
                    <w:snapToGrid w:val="0"/>
                    <w:spacing w:line="240" w:lineRule="auto"/>
                    <w:jc w:val="center"/>
                    <w:rPr>
                      <w:bCs/>
                      <w:color w:val="auto"/>
                    </w:rPr>
                  </w:pPr>
                  <w:r>
                    <w:rPr>
                      <w:bCs/>
                      <w:color w:val="auto"/>
                    </w:rPr>
                    <w:t>汽油罐≤30，柴油罐≤50</w:t>
                  </w:r>
                </w:p>
              </w:tc>
            </w:tr>
            <w:tr w14:paraId="03ED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000" w:type="pct"/>
                  <w:gridSpan w:val="3"/>
                  <w:vAlign w:val="center"/>
                </w:tcPr>
                <w:p w14:paraId="691A1E7B">
                  <w:pPr>
                    <w:adjustRightInd w:val="0"/>
                    <w:snapToGrid w:val="0"/>
                    <w:spacing w:line="240" w:lineRule="auto"/>
                    <w:rPr>
                      <w:bCs/>
                      <w:color w:val="auto"/>
                    </w:rPr>
                  </w:pPr>
                  <w:r>
                    <w:rPr>
                      <w:bCs/>
                      <w:color w:val="auto"/>
                    </w:rPr>
                    <w:t>注：柴油罐容积可折半计入油罐总容积</w:t>
                  </w:r>
                </w:p>
              </w:tc>
            </w:tr>
          </w:tbl>
          <w:p w14:paraId="56CC609D">
            <w:pPr>
              <w:pStyle w:val="118"/>
              <w:spacing w:line="360" w:lineRule="auto"/>
              <w:rPr>
                <w:bCs/>
                <w:color w:val="FF0000"/>
              </w:rPr>
            </w:pPr>
            <w:r>
              <w:rPr>
                <w:color w:val="auto"/>
              </w:rPr>
              <w:t>本加油站油罐总容积为</w:t>
            </w:r>
            <w:r>
              <w:rPr>
                <w:rFonts w:hint="eastAsia"/>
                <w:color w:val="auto"/>
                <w:lang w:val="en-US" w:eastAsia="zh-CN"/>
              </w:rPr>
              <w:t>140</w:t>
            </w:r>
            <w:r>
              <w:rPr>
                <w:color w:val="auto"/>
              </w:rPr>
              <w:t>m</w:t>
            </w:r>
            <w:r>
              <w:rPr>
                <w:color w:val="auto"/>
                <w:vertAlign w:val="superscript"/>
              </w:rPr>
              <w:t>3</w:t>
            </w:r>
            <w:r>
              <w:rPr>
                <w:color w:val="auto"/>
              </w:rPr>
              <w:t>，其中</w:t>
            </w:r>
            <w:r>
              <w:rPr>
                <w:rFonts w:hint="eastAsia"/>
                <w:color w:val="auto"/>
              </w:rPr>
              <w:t>30</w:t>
            </w:r>
            <w:r>
              <w:rPr>
                <w:color w:val="auto"/>
              </w:rPr>
              <w:t>m</w:t>
            </w:r>
            <w:r>
              <w:rPr>
                <w:color w:val="auto"/>
                <w:vertAlign w:val="superscript"/>
              </w:rPr>
              <w:t>3</w:t>
            </w:r>
            <w:r>
              <w:rPr>
                <w:rFonts w:hint="eastAsia"/>
                <w:color w:val="auto"/>
                <w:vertAlign w:val="superscript"/>
              </w:rPr>
              <w:t xml:space="preserve"> </w:t>
            </w:r>
            <w:r>
              <w:rPr>
                <w:rFonts w:hint="eastAsia"/>
                <w:color w:val="auto"/>
              </w:rPr>
              <w:t>92#汽油罐</w:t>
            </w:r>
            <w:r>
              <w:rPr>
                <w:rFonts w:hint="eastAsia"/>
                <w:color w:val="auto"/>
                <w:lang w:val="en-US" w:eastAsia="zh-CN"/>
              </w:rPr>
              <w:t>2</w:t>
            </w:r>
            <w:r>
              <w:rPr>
                <w:rFonts w:hint="eastAsia"/>
                <w:color w:val="auto"/>
              </w:rPr>
              <w:t>个，30</w:t>
            </w:r>
            <w:r>
              <w:rPr>
                <w:color w:val="auto"/>
              </w:rPr>
              <w:t>m</w:t>
            </w:r>
            <w:r>
              <w:rPr>
                <w:color w:val="auto"/>
                <w:vertAlign w:val="superscript"/>
              </w:rPr>
              <w:t>3</w:t>
            </w:r>
            <w:r>
              <w:rPr>
                <w:rFonts w:hint="eastAsia"/>
                <w:color w:val="auto"/>
                <w:vertAlign w:val="superscript"/>
              </w:rPr>
              <w:t xml:space="preserve"> </w:t>
            </w:r>
            <w:r>
              <w:rPr>
                <w:rFonts w:hint="eastAsia"/>
                <w:color w:val="auto"/>
              </w:rPr>
              <w:t>95#汽油罐1个，</w:t>
            </w:r>
            <w:r>
              <w:rPr>
                <w:rFonts w:hint="eastAsia"/>
                <w:color w:val="auto"/>
                <w:lang w:val="en-US" w:eastAsia="zh-CN"/>
              </w:rPr>
              <w:t>50</w:t>
            </w:r>
            <w:r>
              <w:rPr>
                <w:color w:val="auto"/>
              </w:rPr>
              <w:t>m</w:t>
            </w:r>
            <w:r>
              <w:rPr>
                <w:color w:val="auto"/>
                <w:vertAlign w:val="superscript"/>
              </w:rPr>
              <w:t>3</w:t>
            </w:r>
            <w:r>
              <w:rPr>
                <w:rFonts w:hint="eastAsia"/>
                <w:color w:val="auto"/>
                <w:vertAlign w:val="superscript"/>
              </w:rPr>
              <w:t xml:space="preserve"> </w:t>
            </w:r>
            <w:r>
              <w:rPr>
                <w:rFonts w:hint="eastAsia"/>
                <w:color w:val="auto"/>
                <w:lang w:val="en-US" w:eastAsia="zh-CN"/>
              </w:rPr>
              <w:t>0</w:t>
            </w:r>
            <w:r>
              <w:rPr>
                <w:rFonts w:hint="eastAsia"/>
                <w:color w:val="auto"/>
              </w:rPr>
              <w:t>#</w:t>
            </w:r>
            <w:r>
              <w:rPr>
                <w:rFonts w:hint="eastAsia"/>
                <w:color w:val="auto"/>
                <w:lang w:val="en-US" w:eastAsia="zh-CN"/>
              </w:rPr>
              <w:t>柴油</w:t>
            </w:r>
            <w:r>
              <w:rPr>
                <w:rFonts w:hint="eastAsia"/>
                <w:color w:val="auto"/>
              </w:rPr>
              <w:t>罐</w:t>
            </w:r>
            <w:r>
              <w:rPr>
                <w:rFonts w:hint="eastAsia"/>
                <w:color w:val="auto"/>
                <w:lang w:val="en-US" w:eastAsia="zh-CN"/>
              </w:rPr>
              <w:t>1</w:t>
            </w:r>
            <w:r>
              <w:rPr>
                <w:rFonts w:hint="eastAsia"/>
                <w:color w:val="auto"/>
              </w:rPr>
              <w:t>个</w:t>
            </w:r>
            <w:r>
              <w:rPr>
                <w:rFonts w:hint="eastAsia"/>
                <w:color w:val="auto"/>
                <w:lang w:eastAsia="zh-CN"/>
              </w:rPr>
              <w:t>，</w:t>
            </w:r>
            <w:r>
              <w:rPr>
                <w:color w:val="auto"/>
              </w:rPr>
              <w:t>柴油容积折半计入油罐总容积，项目油罐当量容积合计为</w:t>
            </w:r>
            <w:r>
              <w:rPr>
                <w:rFonts w:hint="eastAsia"/>
                <w:color w:val="auto"/>
                <w:lang w:val="en-US" w:eastAsia="zh-CN"/>
              </w:rPr>
              <w:t>115</w:t>
            </w:r>
            <w:r>
              <w:rPr>
                <w:color w:val="auto"/>
              </w:rPr>
              <w:t>m</w:t>
            </w:r>
            <w:r>
              <w:rPr>
                <w:color w:val="auto"/>
                <w:vertAlign w:val="superscript"/>
              </w:rPr>
              <w:t>3</w:t>
            </w:r>
            <w:r>
              <w:rPr>
                <w:color w:val="auto"/>
              </w:rPr>
              <w:t>，属于</w:t>
            </w:r>
            <w:r>
              <w:rPr>
                <w:rFonts w:hint="eastAsia"/>
                <w:color w:val="auto"/>
                <w:lang w:val="en-US" w:eastAsia="zh-CN"/>
              </w:rPr>
              <w:t>二</w:t>
            </w:r>
            <w:r>
              <w:rPr>
                <w:color w:val="auto"/>
              </w:rPr>
              <w:t>级加油站。</w:t>
            </w:r>
          </w:p>
          <w:p w14:paraId="6E80B3F0">
            <w:pPr>
              <w:pStyle w:val="118"/>
              <w:spacing w:line="360" w:lineRule="auto"/>
              <w:rPr>
                <w:bCs/>
                <w:color w:val="auto"/>
              </w:rPr>
            </w:pPr>
            <w:r>
              <w:rPr>
                <w:bCs/>
                <w:color w:val="auto"/>
              </w:rPr>
              <w:t>经本次评价分析，本项目产生的废气、废水、噪声及固体废物在采取相应环保措施后可实现达标排放，对周围居民的影响不大，本</w:t>
            </w:r>
            <w:r>
              <w:rPr>
                <w:rFonts w:hint="eastAsia"/>
                <w:bCs/>
                <w:color w:val="auto"/>
                <w:lang w:val="en-US" w:eastAsia="zh-CN"/>
              </w:rPr>
              <w:t>加油站</w:t>
            </w:r>
            <w:r>
              <w:rPr>
                <w:bCs/>
                <w:color w:val="auto"/>
              </w:rPr>
              <w:t>与周边环境相容，为</w:t>
            </w:r>
            <w:r>
              <w:rPr>
                <w:rFonts w:hint="eastAsia"/>
                <w:bCs/>
                <w:color w:val="auto"/>
                <w:lang w:val="en-US" w:eastAsia="zh-CN"/>
              </w:rPr>
              <w:t>二</w:t>
            </w:r>
            <w:r>
              <w:rPr>
                <w:bCs/>
                <w:color w:val="auto"/>
              </w:rPr>
              <w:t>级加油站，</w:t>
            </w:r>
            <w:r>
              <w:rPr>
                <w:rFonts w:hint="eastAsia"/>
                <w:bCs/>
                <w:color w:val="auto"/>
                <w:lang w:val="en-US" w:eastAsia="zh-CN"/>
              </w:rPr>
              <w:t>西侧紧邻祁阳大道</w:t>
            </w:r>
            <w:r>
              <w:rPr>
                <w:bCs/>
                <w:color w:val="auto"/>
              </w:rPr>
              <w:t>，站址选择符合有关规划、环境保护和防火安全的要求，并选在了交通便利、用户使用方便的地点，选址合理，</w:t>
            </w:r>
            <w:r>
              <w:rPr>
                <w:rFonts w:hint="eastAsia"/>
                <w:bCs/>
                <w:color w:val="auto"/>
                <w:lang w:val="en-US" w:eastAsia="zh-CN"/>
              </w:rPr>
              <w:t>因此</w:t>
            </w:r>
            <w:r>
              <w:rPr>
                <w:bCs/>
                <w:color w:val="auto"/>
              </w:rPr>
              <w:t>符合《汽车加油加气加氢站技术标准》（GB50156-2021）。</w:t>
            </w:r>
          </w:p>
          <w:p w14:paraId="6AF1D467">
            <w:pPr>
              <w:pStyle w:val="202"/>
              <w:rPr>
                <w:rFonts w:ascii="Times New Roman" w:hAnsi="Times New Roman"/>
                <w:bCs w:val="0"/>
                <w:color w:val="auto"/>
                <w:sz w:val="24"/>
              </w:rPr>
            </w:pPr>
            <w:r>
              <w:rPr>
                <w:rFonts w:ascii="Times New Roman" w:hAnsi="Times New Roman"/>
                <w:bCs w:val="0"/>
                <w:color w:val="auto"/>
                <w:sz w:val="24"/>
              </w:rPr>
              <w:t>根据《汽车加油加气加氢站技术标准》（GB50156-2021）规定，加油站的汽油（柴油）设备与站外建(构)筑物需要保持的安全间距详见下表。</w:t>
            </w:r>
          </w:p>
          <w:p w14:paraId="2E1A990F">
            <w:pPr>
              <w:pStyle w:val="163"/>
              <w:spacing w:line="240" w:lineRule="auto"/>
              <w:rPr>
                <w:rFonts w:hint="eastAsia" w:ascii="Times New Roman" w:eastAsia="宋体"/>
                <w:color w:val="auto"/>
                <w:sz w:val="24"/>
                <w:szCs w:val="24"/>
                <w:lang w:val="en-US" w:eastAsia="zh-CN"/>
              </w:rPr>
            </w:pPr>
            <w:r>
              <w:rPr>
                <w:rFonts w:ascii="Times New Roman" w:eastAsia="宋体"/>
                <w:color w:val="auto"/>
                <w:sz w:val="24"/>
                <w:szCs w:val="24"/>
              </w:rPr>
              <w:t>表1-</w:t>
            </w:r>
            <w:r>
              <w:rPr>
                <w:rFonts w:hint="eastAsia" w:ascii="Times New Roman" w:eastAsia="宋体"/>
                <w:color w:val="auto"/>
                <w:sz w:val="24"/>
                <w:szCs w:val="24"/>
                <w:lang w:val="en-US" w:eastAsia="zh-CN"/>
              </w:rPr>
              <w:t>7</w:t>
            </w:r>
            <w:r>
              <w:rPr>
                <w:rFonts w:ascii="Times New Roman" w:eastAsia="宋体"/>
                <w:color w:val="auto"/>
                <w:sz w:val="24"/>
                <w:szCs w:val="24"/>
              </w:rPr>
              <w:t xml:space="preserve"> </w:t>
            </w:r>
            <w:r>
              <w:rPr>
                <w:rFonts w:hint="eastAsia" w:ascii="Times New Roman" w:eastAsia="宋体"/>
                <w:color w:val="auto"/>
                <w:sz w:val="24"/>
                <w:szCs w:val="24"/>
                <w:lang w:val="en-US" w:eastAsia="zh-CN"/>
              </w:rPr>
              <w:t>加油站主要设备与站外设施的间距、标准符合性检查表</w:t>
            </w:r>
          </w:p>
          <w:p w14:paraId="4DDF8354">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eastAsia="宋体"/>
                <w:color w:val="auto"/>
                <w:sz w:val="24"/>
                <w:szCs w:val="24"/>
                <w:lang w:val="en-US" w:eastAsia="zh-CN"/>
              </w:rPr>
            </w:pPr>
            <w:r>
              <w:drawing>
                <wp:inline distT="0" distB="0" distL="114300" distR="114300">
                  <wp:extent cx="4770120" cy="398780"/>
                  <wp:effectExtent l="9525" t="9525" r="2095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rcRect t="10541"/>
                          <a:stretch>
                            <a:fillRect/>
                          </a:stretch>
                        </pic:blipFill>
                        <pic:spPr>
                          <a:xfrm>
                            <a:off x="0" y="0"/>
                            <a:ext cx="4770120" cy="398780"/>
                          </a:xfrm>
                          <a:prstGeom prst="rect">
                            <a:avLst/>
                          </a:prstGeom>
                          <a:noFill/>
                          <a:ln>
                            <a:solidFill>
                              <a:schemeClr val="tx1"/>
                            </a:solidFill>
                          </a:ln>
                        </pic:spPr>
                      </pic:pic>
                    </a:graphicData>
                  </a:graphic>
                </wp:inline>
              </w:drawing>
            </w:r>
          </w:p>
          <w:p w14:paraId="7A7B0009">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eastAsia="宋体"/>
                <w:color w:val="auto"/>
                <w:sz w:val="24"/>
                <w:szCs w:val="24"/>
                <w:lang w:val="en-US" w:eastAsia="zh-CN"/>
              </w:rPr>
            </w:pPr>
            <w:r>
              <w:drawing>
                <wp:inline distT="0" distB="0" distL="114300" distR="114300">
                  <wp:extent cx="4770755" cy="5080635"/>
                  <wp:effectExtent l="9525" t="9525" r="2032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tretch>
                            <a:fillRect/>
                          </a:stretch>
                        </pic:blipFill>
                        <pic:spPr>
                          <a:xfrm>
                            <a:off x="0" y="0"/>
                            <a:ext cx="4770755" cy="5080635"/>
                          </a:xfrm>
                          <a:prstGeom prst="rect">
                            <a:avLst/>
                          </a:prstGeom>
                          <a:noFill/>
                          <a:ln>
                            <a:solidFill>
                              <a:schemeClr val="tx1"/>
                            </a:solidFill>
                          </a:ln>
                        </pic:spPr>
                      </pic:pic>
                    </a:graphicData>
                  </a:graphic>
                </wp:inline>
              </w:drawing>
            </w:r>
          </w:p>
          <w:p w14:paraId="5CF24AB9">
            <w:pPr>
              <w:pStyle w:val="118"/>
              <w:spacing w:line="360" w:lineRule="auto"/>
              <w:rPr>
                <w:b/>
              </w:rPr>
            </w:pPr>
            <w:r>
              <w:rPr>
                <w:rFonts w:hint="eastAsia"/>
                <w:b/>
                <w:lang w:val="en-US" w:eastAsia="zh-CN"/>
              </w:rPr>
              <w:t>②</w:t>
            </w:r>
            <w:r>
              <w:rPr>
                <w:b/>
              </w:rPr>
              <w:t>平面布置符合性分析</w:t>
            </w:r>
          </w:p>
          <w:p w14:paraId="246DD419">
            <w:pPr>
              <w:spacing w:line="360" w:lineRule="auto"/>
              <w:ind w:firstLine="516" w:firstLineChars="200"/>
              <w:rPr>
                <w:rFonts w:hint="eastAsia"/>
                <w:color w:val="auto"/>
                <w:spacing w:val="-11"/>
                <w:sz w:val="24"/>
              </w:rPr>
            </w:pPr>
            <w:r>
              <w:rPr>
                <w:color w:val="auto"/>
                <w:spacing w:val="9"/>
                <w:sz w:val="24"/>
              </w:rPr>
              <w:t>本项目的建设根据</w:t>
            </w:r>
            <w:r>
              <w:rPr>
                <w:rFonts w:hint="eastAsia"/>
                <w:color w:val="auto"/>
                <w:spacing w:val="9"/>
                <w:sz w:val="24"/>
                <w:lang w:val="en-US" w:eastAsia="zh-CN"/>
              </w:rPr>
              <w:t>绕城公路</w:t>
            </w:r>
            <w:r>
              <w:rPr>
                <w:color w:val="auto"/>
                <w:spacing w:val="9"/>
                <w:sz w:val="24"/>
              </w:rPr>
              <w:t>加油站的职能特点、流程和管理的要求，为便于管理、使用，满足生产活动的需要，将本项目拟建建筑物根据各个功能用途合理的分布于场地各功能区域内，功能和用途相近的空间应相对集中设置</w:t>
            </w:r>
            <w:r>
              <w:rPr>
                <w:color w:val="auto"/>
                <w:spacing w:val="-11"/>
                <w:sz w:val="24"/>
              </w:rPr>
              <w:t>。</w:t>
            </w:r>
            <w:r>
              <w:rPr>
                <w:rFonts w:hint="eastAsia"/>
                <w:color w:val="auto"/>
                <w:spacing w:val="-11"/>
                <w:sz w:val="24"/>
              </w:rPr>
              <w:t>设计充分结合地形及交通情况以及业主单位的企业文化，在满足工艺需要的条件下，平面布置如下:</w:t>
            </w:r>
          </w:p>
          <w:p w14:paraId="385CEA79">
            <w:pPr>
              <w:spacing w:line="360" w:lineRule="auto"/>
              <w:ind w:firstLine="436" w:firstLineChars="200"/>
              <w:rPr>
                <w:color w:val="auto"/>
                <w:spacing w:val="9"/>
                <w:sz w:val="24"/>
              </w:rPr>
            </w:pPr>
            <w:r>
              <w:rPr>
                <w:rFonts w:hint="eastAsia"/>
                <w:color w:val="auto"/>
                <w:spacing w:val="-11"/>
                <w:sz w:val="24"/>
                <w:lang w:val="en-US" w:eastAsia="zh-CN"/>
              </w:rPr>
              <w:t>站区</w:t>
            </w:r>
            <w:r>
              <w:rPr>
                <w:rFonts w:hint="eastAsia"/>
                <w:color w:val="auto"/>
                <w:spacing w:val="-11"/>
                <w:sz w:val="24"/>
              </w:rPr>
              <w:t>中部作为加油场地，设4座加油岛，共设置4台加油机</w:t>
            </w:r>
            <w:r>
              <w:rPr>
                <w:rFonts w:hint="eastAsia"/>
                <w:color w:val="auto"/>
                <w:spacing w:val="-11"/>
                <w:sz w:val="24"/>
                <w:lang w:eastAsia="zh-CN"/>
              </w:rPr>
              <w:t>；</w:t>
            </w:r>
            <w:r>
              <w:rPr>
                <w:rFonts w:hint="eastAsia"/>
                <w:color w:val="auto"/>
                <w:spacing w:val="-11"/>
                <w:sz w:val="24"/>
              </w:rPr>
              <w:t>罩棚下布置埋地储油罐区，</w:t>
            </w:r>
            <w:r>
              <w:rPr>
                <w:rFonts w:hint="eastAsia"/>
                <w:color w:val="auto"/>
                <w:spacing w:val="-11"/>
                <w:sz w:val="24"/>
                <w:lang w:val="en-US" w:eastAsia="zh-CN"/>
              </w:rPr>
              <w:t>站区</w:t>
            </w:r>
            <w:r>
              <w:rPr>
                <w:rFonts w:hint="eastAsia"/>
                <w:color w:val="auto"/>
                <w:spacing w:val="-11"/>
                <w:sz w:val="24"/>
              </w:rPr>
              <w:t>南侧布置卸油区，</w:t>
            </w:r>
            <w:r>
              <w:rPr>
                <w:rFonts w:hint="eastAsia"/>
                <w:color w:val="auto"/>
                <w:spacing w:val="-11"/>
                <w:sz w:val="24"/>
                <w:lang w:val="en-US" w:eastAsia="zh-CN"/>
              </w:rPr>
              <w:t>站区</w:t>
            </w:r>
            <w:r>
              <w:rPr>
                <w:rFonts w:hint="eastAsia"/>
                <w:color w:val="auto"/>
                <w:spacing w:val="-11"/>
                <w:sz w:val="24"/>
              </w:rPr>
              <w:t>北侧设置一座三层辅房和1台洗车机，</w:t>
            </w:r>
            <w:r>
              <w:rPr>
                <w:rFonts w:hint="eastAsia"/>
                <w:color w:val="auto"/>
                <w:spacing w:val="-11"/>
                <w:sz w:val="24"/>
                <w:lang w:val="en-US" w:eastAsia="zh-CN"/>
              </w:rPr>
              <w:t>站区</w:t>
            </w:r>
            <w:r>
              <w:rPr>
                <w:rFonts w:hint="eastAsia"/>
                <w:color w:val="auto"/>
                <w:spacing w:val="-11"/>
                <w:sz w:val="24"/>
              </w:rPr>
              <w:t>东侧设置一座二层站房，</w:t>
            </w:r>
            <w:r>
              <w:rPr>
                <w:rFonts w:hint="eastAsia"/>
                <w:color w:val="auto"/>
                <w:spacing w:val="-11"/>
                <w:sz w:val="24"/>
                <w:lang w:val="en-US" w:eastAsia="zh-CN"/>
              </w:rPr>
              <w:t>站区</w:t>
            </w:r>
            <w:r>
              <w:rPr>
                <w:rFonts w:hint="eastAsia"/>
                <w:color w:val="auto"/>
                <w:spacing w:val="-11"/>
                <w:sz w:val="24"/>
              </w:rPr>
              <w:t>东、南、西侧设置有绿化景观带，项目进出口设置于场地西侧，与西侧祁阳大道接临</w:t>
            </w:r>
            <w:r>
              <w:rPr>
                <w:color w:val="auto"/>
                <w:spacing w:val="9"/>
                <w:sz w:val="24"/>
              </w:rPr>
              <w:t>。</w:t>
            </w:r>
          </w:p>
          <w:p w14:paraId="22E4E785">
            <w:pPr>
              <w:pStyle w:val="202"/>
              <w:ind w:firstLine="516"/>
              <w:rPr>
                <w:rFonts w:ascii="Times New Roman" w:hAnsi="Times New Roman"/>
              </w:rPr>
            </w:pPr>
            <w:r>
              <w:rPr>
                <w:rFonts w:ascii="Times New Roman" w:hAnsi="Times New Roman"/>
                <w:bCs w:val="0"/>
                <w:spacing w:val="9"/>
                <w:sz w:val="24"/>
              </w:rPr>
              <w:t>本项目平面布局按照《汽车加油加气加氢站技术标准》（GB50156-2021）的规定，车辆入口和出口分开设置，站内道路宽度符合要求，站内设施之间防火距离符合《汽车加油加气加氢站技术标准》（GB50156-2021）的规定。</w:t>
            </w:r>
          </w:p>
          <w:p w14:paraId="7C867412">
            <w:pPr>
              <w:pStyle w:val="163"/>
              <w:spacing w:line="240" w:lineRule="auto"/>
              <w:rPr>
                <w:rFonts w:ascii="Times New Roman" w:eastAsia="宋体"/>
                <w:sz w:val="24"/>
                <w:szCs w:val="24"/>
              </w:rPr>
            </w:pPr>
            <w:r>
              <w:rPr>
                <w:rFonts w:ascii="Times New Roman" w:eastAsia="宋体"/>
                <w:sz w:val="24"/>
                <w:szCs w:val="24"/>
              </w:rPr>
              <w:t>表1-</w:t>
            </w:r>
            <w:r>
              <w:rPr>
                <w:rFonts w:hint="eastAsia" w:ascii="Times New Roman" w:eastAsia="宋体"/>
                <w:sz w:val="24"/>
                <w:szCs w:val="24"/>
                <w:lang w:val="en-US" w:eastAsia="zh-CN"/>
              </w:rPr>
              <w:t>8</w:t>
            </w:r>
            <w:r>
              <w:rPr>
                <w:rFonts w:ascii="Times New Roman" w:eastAsia="宋体"/>
                <w:sz w:val="24"/>
                <w:szCs w:val="24"/>
              </w:rPr>
              <w:t xml:space="preserve"> 本项目平面布置与标准对比情况</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6"/>
              <w:gridCol w:w="3770"/>
              <w:gridCol w:w="2017"/>
              <w:gridCol w:w="765"/>
            </w:tblGrid>
            <w:tr w14:paraId="6D7FCB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0" w:type="pct"/>
                  <w:gridSpan w:val="2"/>
                  <w:vAlign w:val="center"/>
                </w:tcPr>
                <w:p w14:paraId="207F128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标准要求</w:t>
                  </w:r>
                </w:p>
              </w:tc>
              <w:tc>
                <w:tcPr>
                  <w:tcW w:w="1356" w:type="pct"/>
                  <w:vAlign w:val="center"/>
                </w:tcPr>
                <w:p w14:paraId="7896A95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本项目建设情况</w:t>
                  </w:r>
                </w:p>
              </w:tc>
              <w:tc>
                <w:tcPr>
                  <w:tcW w:w="514" w:type="pct"/>
                  <w:vAlign w:val="center"/>
                </w:tcPr>
                <w:p w14:paraId="1EC77DE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是否符合</w:t>
                  </w:r>
                </w:p>
              </w:tc>
            </w:tr>
            <w:tr w14:paraId="326692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232D70C5">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5.0.1</w:t>
                  </w:r>
                </w:p>
              </w:tc>
              <w:tc>
                <w:tcPr>
                  <w:tcW w:w="2535" w:type="pct"/>
                  <w:vAlign w:val="center"/>
                </w:tcPr>
                <w:p w14:paraId="40C4655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车辆入口和出口应分开设置。</w:t>
                  </w:r>
                </w:p>
              </w:tc>
              <w:tc>
                <w:tcPr>
                  <w:tcW w:w="1356" w:type="pct"/>
                  <w:vAlign w:val="center"/>
                </w:tcPr>
                <w:p w14:paraId="20809C1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车辆入口、出口道路分开设置</w:t>
                  </w:r>
                </w:p>
              </w:tc>
              <w:tc>
                <w:tcPr>
                  <w:tcW w:w="514" w:type="pct"/>
                  <w:vAlign w:val="center"/>
                </w:tcPr>
                <w:p w14:paraId="1C481B32">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372993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restart"/>
                  <w:vAlign w:val="center"/>
                </w:tcPr>
                <w:p w14:paraId="5A2D3C8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5.0.2</w:t>
                  </w:r>
                </w:p>
              </w:tc>
              <w:tc>
                <w:tcPr>
                  <w:tcW w:w="2535" w:type="pct"/>
                  <w:vAlign w:val="center"/>
                </w:tcPr>
                <w:p w14:paraId="3532121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单车道或单车停车位宽度不应小于4m，双车道或双车停车位宽度不应小于6m。</w:t>
                  </w:r>
                </w:p>
              </w:tc>
              <w:tc>
                <w:tcPr>
                  <w:tcW w:w="1356" w:type="pct"/>
                  <w:vAlign w:val="center"/>
                </w:tcPr>
                <w:p w14:paraId="791D290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车道不小于6.7m。</w:t>
                  </w:r>
                </w:p>
              </w:tc>
              <w:tc>
                <w:tcPr>
                  <w:tcW w:w="514" w:type="pct"/>
                  <w:vAlign w:val="center"/>
                </w:tcPr>
                <w:p w14:paraId="3321DFF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41E642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vAlign w:val="center"/>
                </w:tcPr>
                <w:p w14:paraId="4ED78A2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p>
              </w:tc>
              <w:tc>
                <w:tcPr>
                  <w:tcW w:w="2535" w:type="pct"/>
                  <w:vAlign w:val="center"/>
                </w:tcPr>
                <w:p w14:paraId="05E8A84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站内的道路转弯半径应按行驶车型确定，且不易小于9m。</w:t>
                  </w:r>
                </w:p>
              </w:tc>
              <w:tc>
                <w:tcPr>
                  <w:tcW w:w="1356" w:type="pct"/>
                  <w:vAlign w:val="center"/>
                </w:tcPr>
                <w:p w14:paraId="3C26E692">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转弯半径大于9m。</w:t>
                  </w:r>
                </w:p>
              </w:tc>
              <w:tc>
                <w:tcPr>
                  <w:tcW w:w="514" w:type="pct"/>
                  <w:vAlign w:val="center"/>
                </w:tcPr>
                <w:p w14:paraId="3B0C9B8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36C721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vAlign w:val="center"/>
                </w:tcPr>
                <w:p w14:paraId="0BC58E3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p>
              </w:tc>
              <w:tc>
                <w:tcPr>
                  <w:tcW w:w="2535" w:type="pct"/>
                  <w:vAlign w:val="center"/>
                </w:tcPr>
                <w:p w14:paraId="36C042F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站内停车位应为平坡，道路坡度不应大于8%，且宜坡向站外。</w:t>
                  </w:r>
                </w:p>
              </w:tc>
              <w:tc>
                <w:tcPr>
                  <w:tcW w:w="1356" w:type="pct"/>
                  <w:vAlign w:val="center"/>
                </w:tcPr>
                <w:p w14:paraId="4C9B44E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停车位为平坡，道路坡度小于8%。</w:t>
                  </w:r>
                </w:p>
              </w:tc>
              <w:tc>
                <w:tcPr>
                  <w:tcW w:w="514" w:type="pct"/>
                  <w:vAlign w:val="center"/>
                </w:tcPr>
                <w:p w14:paraId="0639EE0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605CD4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Merge w:val="continue"/>
                  <w:vAlign w:val="center"/>
                </w:tcPr>
                <w:p w14:paraId="71B0917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p>
              </w:tc>
              <w:tc>
                <w:tcPr>
                  <w:tcW w:w="2535" w:type="pct"/>
                  <w:vAlign w:val="center"/>
                </w:tcPr>
                <w:p w14:paraId="173770B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作业区内的停车场和道路路面不应采用沥青路面。</w:t>
                  </w:r>
                </w:p>
              </w:tc>
              <w:tc>
                <w:tcPr>
                  <w:tcW w:w="1356" w:type="pct"/>
                  <w:vAlign w:val="center"/>
                </w:tcPr>
                <w:p w14:paraId="7DC080F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采用混凝土路面。</w:t>
                  </w:r>
                </w:p>
              </w:tc>
              <w:tc>
                <w:tcPr>
                  <w:tcW w:w="514" w:type="pct"/>
                  <w:vAlign w:val="center"/>
                </w:tcPr>
                <w:p w14:paraId="6404B81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760620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67617AE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5.0.3</w:t>
                  </w:r>
                </w:p>
              </w:tc>
              <w:tc>
                <w:tcPr>
                  <w:tcW w:w="2535" w:type="pct"/>
                  <w:vAlign w:val="center"/>
                </w:tcPr>
                <w:p w14:paraId="6A180BD5">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作业区与辅助服务区之间应有界线标识。</w:t>
                  </w:r>
                </w:p>
              </w:tc>
              <w:tc>
                <w:tcPr>
                  <w:tcW w:w="1356" w:type="pct"/>
                  <w:vAlign w:val="center"/>
                </w:tcPr>
                <w:p w14:paraId="457B3ED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作业区与辅助服务区之间设有界线标识。</w:t>
                  </w:r>
                </w:p>
              </w:tc>
              <w:tc>
                <w:tcPr>
                  <w:tcW w:w="514" w:type="pct"/>
                  <w:vAlign w:val="center"/>
                </w:tcPr>
                <w:p w14:paraId="10555A8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572506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5D807BA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5.0.5</w:t>
                  </w:r>
                </w:p>
              </w:tc>
              <w:tc>
                <w:tcPr>
                  <w:tcW w:w="2535" w:type="pct"/>
                  <w:vAlign w:val="center"/>
                </w:tcPr>
                <w:p w14:paraId="0FBCF1D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加油加气加氢站作业区内，不得有“明火地点”或“散发火花地点”。</w:t>
                  </w:r>
                </w:p>
              </w:tc>
              <w:tc>
                <w:tcPr>
                  <w:tcW w:w="1356" w:type="pct"/>
                  <w:vAlign w:val="center"/>
                </w:tcPr>
                <w:p w14:paraId="7E7DA62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加油作业区内无“明火地点”或“散发火花地点”。</w:t>
                  </w:r>
                </w:p>
              </w:tc>
              <w:tc>
                <w:tcPr>
                  <w:tcW w:w="514" w:type="pct"/>
                  <w:vAlign w:val="center"/>
                </w:tcPr>
                <w:p w14:paraId="1F84273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76139A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0387490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5.0.8</w:t>
                  </w:r>
                </w:p>
              </w:tc>
              <w:tc>
                <w:tcPr>
                  <w:tcW w:w="2535" w:type="pct"/>
                  <w:vAlign w:val="center"/>
                </w:tcPr>
                <w:p w14:paraId="178AACF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加油加气加氢站的变配电间或室外变压器应布置在作业区之外。变配电间的起算点应为门窗等洞口。</w:t>
                  </w:r>
                </w:p>
              </w:tc>
              <w:tc>
                <w:tcPr>
                  <w:tcW w:w="1356" w:type="pct"/>
                  <w:vAlign w:val="center"/>
                </w:tcPr>
                <w:p w14:paraId="752BAE0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配电间设置在站房内，不在作业区内。</w:t>
                  </w:r>
                </w:p>
              </w:tc>
              <w:tc>
                <w:tcPr>
                  <w:tcW w:w="514" w:type="pct"/>
                  <w:vAlign w:val="center"/>
                </w:tcPr>
                <w:p w14:paraId="7AE197D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2F4878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0E8FDD5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5.0.11</w:t>
                  </w:r>
                </w:p>
              </w:tc>
              <w:tc>
                <w:tcPr>
                  <w:tcW w:w="2535" w:type="pct"/>
                  <w:vAlign w:val="center"/>
                </w:tcPr>
                <w:p w14:paraId="4353F9F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汽车加油加气加氢站内的爆炸危险区域，不应超出站内围墙和可用地界线。</w:t>
                  </w:r>
                </w:p>
              </w:tc>
              <w:tc>
                <w:tcPr>
                  <w:tcW w:w="1356" w:type="pct"/>
                  <w:vAlign w:val="center"/>
                </w:tcPr>
                <w:p w14:paraId="541FBC0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爆炸危险区域未超出围墙和可用地界线。</w:t>
                  </w:r>
                </w:p>
              </w:tc>
              <w:tc>
                <w:tcPr>
                  <w:tcW w:w="514" w:type="pct"/>
                  <w:vAlign w:val="center"/>
                </w:tcPr>
                <w:p w14:paraId="4DCC3E1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7DC91F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703A07E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5.0.12</w:t>
                  </w:r>
                </w:p>
              </w:tc>
              <w:tc>
                <w:tcPr>
                  <w:tcW w:w="2535" w:type="pct"/>
                  <w:vAlign w:val="center"/>
                </w:tcPr>
                <w:p w14:paraId="43E3699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汽车加油加气加氢站的工艺设备与站外建（构）筑物之间，宜设置不燃烧体实体围墙，围墙高度相对于站内和站外地坪均不宜低于2.2m。</w:t>
                  </w:r>
                </w:p>
              </w:tc>
              <w:tc>
                <w:tcPr>
                  <w:tcW w:w="1356" w:type="pct"/>
                  <w:vAlign w:val="center"/>
                </w:tcPr>
                <w:p w14:paraId="046B4125">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加油站和外建筑之间拟设置不低于2.2m非燃烧实体围墙。</w:t>
                  </w:r>
                </w:p>
              </w:tc>
              <w:tc>
                <w:tcPr>
                  <w:tcW w:w="514" w:type="pct"/>
                  <w:vAlign w:val="center"/>
                </w:tcPr>
                <w:p w14:paraId="61742CE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14:paraId="7947E6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95" w:type="pct"/>
                  <w:vAlign w:val="center"/>
                </w:tcPr>
                <w:p w14:paraId="57447B3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5.0.13</w:t>
                  </w:r>
                </w:p>
              </w:tc>
              <w:tc>
                <w:tcPr>
                  <w:tcW w:w="2535" w:type="pct"/>
                  <w:vAlign w:val="center"/>
                </w:tcPr>
                <w:p w14:paraId="0FA4709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加油加气站站内设施的防火间距不应小于表5013-1和表5013-2的规定。</w:t>
                  </w:r>
                </w:p>
              </w:tc>
              <w:tc>
                <w:tcPr>
                  <w:tcW w:w="1356" w:type="pct"/>
                  <w:vAlign w:val="center"/>
                </w:tcPr>
                <w:p w14:paraId="4343B06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汽油罐、柴油罐、汽油通气管管口、柴油通气管管口、油品卸车点互相的防护距离满足规范要求</w:t>
                  </w:r>
                </w:p>
              </w:tc>
              <w:tc>
                <w:tcPr>
                  <w:tcW w:w="514" w:type="pct"/>
                  <w:vAlign w:val="center"/>
                </w:tcPr>
                <w:p w14:paraId="213F774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bl>
          <w:p w14:paraId="21AA83E4">
            <w:pPr>
              <w:pStyle w:val="118"/>
              <w:spacing w:line="360" w:lineRule="auto"/>
              <w:ind w:firstLine="480" w:firstLineChars="200"/>
            </w:pPr>
            <w:r>
              <w:t>由上表可以看出，本项目平面布置规范，各项指标均满足《汽车加油加气加氢站技术标准》（GB50156-2021）中的要求，且站内物流短捷，人流、物流互不交叉干扰，有机地协调了与周边环境的关系以及建设与保护的关系。因此本项目总平面布局是合理的。</w:t>
            </w:r>
          </w:p>
          <w:p w14:paraId="0CEF67F9">
            <w:pPr>
              <w:pStyle w:val="118"/>
              <w:spacing w:line="360" w:lineRule="auto"/>
              <w:ind w:firstLine="482" w:firstLineChars="200"/>
              <w:rPr>
                <w:b/>
                <w:bCs/>
              </w:rPr>
            </w:pPr>
            <w:r>
              <w:rPr>
                <w:rFonts w:hint="eastAsia"/>
                <w:b/>
                <w:bCs/>
                <w:lang w:val="en-US" w:eastAsia="zh-CN"/>
              </w:rPr>
              <w:t>③</w:t>
            </w:r>
            <w:r>
              <w:rPr>
                <w:b/>
                <w:bCs/>
              </w:rPr>
              <w:t>加油工艺与设施</w:t>
            </w:r>
          </w:p>
          <w:p w14:paraId="1B83ECB8">
            <w:pPr>
              <w:pStyle w:val="202"/>
              <w:ind w:firstLine="516"/>
              <w:rPr>
                <w:rFonts w:ascii="Times New Roman" w:hAnsi="Times New Roman"/>
              </w:rPr>
            </w:pPr>
            <w:r>
              <w:rPr>
                <w:rFonts w:ascii="Times New Roman" w:hAnsi="Times New Roman"/>
                <w:bCs w:val="0"/>
                <w:spacing w:val="9"/>
                <w:sz w:val="24"/>
              </w:rPr>
              <w:t>根据《汽车加油加气加氢站技术标准》（GB50156-2021）的规定，本项目加油工艺与设施与其相符性见下表。</w:t>
            </w:r>
          </w:p>
          <w:p w14:paraId="46A873B0">
            <w:pPr>
              <w:pStyle w:val="163"/>
              <w:spacing w:line="240" w:lineRule="auto"/>
              <w:rPr>
                <w:rFonts w:ascii="Times New Roman" w:eastAsia="宋体"/>
                <w:sz w:val="24"/>
                <w:szCs w:val="24"/>
              </w:rPr>
            </w:pPr>
            <w:r>
              <w:rPr>
                <w:rFonts w:ascii="Times New Roman" w:eastAsia="宋体"/>
                <w:sz w:val="24"/>
                <w:szCs w:val="24"/>
              </w:rPr>
              <w:t>表1-</w:t>
            </w:r>
            <w:r>
              <w:rPr>
                <w:rFonts w:hint="eastAsia" w:ascii="Times New Roman" w:eastAsia="宋体"/>
                <w:sz w:val="24"/>
                <w:szCs w:val="24"/>
                <w:lang w:val="en-US" w:eastAsia="zh-CN"/>
              </w:rPr>
              <w:t>9</w:t>
            </w:r>
            <w:r>
              <w:rPr>
                <w:rFonts w:ascii="Times New Roman" w:eastAsia="宋体"/>
                <w:sz w:val="24"/>
                <w:szCs w:val="24"/>
              </w:rPr>
              <w:t xml:space="preserve"> 本项目加油工艺与设施与标准对比情况</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3163"/>
              <w:gridCol w:w="2215"/>
              <w:gridCol w:w="711"/>
            </w:tblGrid>
            <w:tr w14:paraId="4AF2D6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2FBD80C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b/>
                      <w:szCs w:val="21"/>
                    </w:rPr>
                  </w:pPr>
                  <w:r>
                    <w:rPr>
                      <w:rFonts w:cs="Times New Roman"/>
                      <w:b/>
                      <w:szCs w:val="21"/>
                    </w:rPr>
                    <w:t>加油工艺与设施</w:t>
                  </w:r>
                </w:p>
              </w:tc>
              <w:tc>
                <w:tcPr>
                  <w:tcW w:w="2125" w:type="pct"/>
                  <w:vAlign w:val="center"/>
                </w:tcPr>
                <w:p w14:paraId="794DBA66">
                  <w:pPr>
                    <w:pStyle w:val="124"/>
                    <w:jc w:val="center"/>
                    <w:rPr>
                      <w:rFonts w:cs="Times New Roman"/>
                      <w:b/>
                      <w:szCs w:val="21"/>
                    </w:rPr>
                  </w:pPr>
                  <w:r>
                    <w:rPr>
                      <w:rFonts w:cs="Times New Roman"/>
                      <w:b/>
                      <w:szCs w:val="21"/>
                    </w:rPr>
                    <w:t>标准要求</w:t>
                  </w:r>
                </w:p>
              </w:tc>
              <w:tc>
                <w:tcPr>
                  <w:tcW w:w="1965" w:type="pct"/>
                  <w:gridSpan w:val="2"/>
                  <w:vAlign w:val="center"/>
                </w:tcPr>
                <w:p w14:paraId="7C501479">
                  <w:pPr>
                    <w:pStyle w:val="124"/>
                    <w:jc w:val="center"/>
                    <w:rPr>
                      <w:rFonts w:cs="Times New Roman"/>
                      <w:b/>
                      <w:szCs w:val="21"/>
                    </w:rPr>
                  </w:pPr>
                  <w:r>
                    <w:rPr>
                      <w:rFonts w:cs="Times New Roman"/>
                      <w:b/>
                      <w:szCs w:val="21"/>
                    </w:rPr>
                    <w:t>本项目建设情况</w:t>
                  </w:r>
                </w:p>
              </w:tc>
            </w:tr>
            <w:tr w14:paraId="6D1D1E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1D0F4782">
                  <w:pPr>
                    <w:pStyle w:val="124"/>
                    <w:jc w:val="center"/>
                    <w:rPr>
                      <w:rFonts w:cs="Times New Roman"/>
                      <w:szCs w:val="21"/>
                    </w:rPr>
                  </w:pPr>
                  <w:r>
                    <w:rPr>
                      <w:rFonts w:cs="Times New Roman"/>
                      <w:szCs w:val="21"/>
                    </w:rPr>
                    <w:t>油罐</w:t>
                  </w:r>
                </w:p>
              </w:tc>
              <w:tc>
                <w:tcPr>
                  <w:tcW w:w="2125" w:type="pct"/>
                  <w:vAlign w:val="center"/>
                </w:tcPr>
                <w:p w14:paraId="762D2D0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汽车加油站的储油罐应采用卧式油罐，埋地油罐需要采用双层油罐时，可采用双层钢制油罐、双层玻璃纤维增强塑料油罐、内钢外玻璃纤维增强塑料双层油罐</w:t>
                  </w:r>
                </w:p>
              </w:tc>
              <w:tc>
                <w:tcPr>
                  <w:tcW w:w="1488" w:type="pct"/>
                  <w:vAlign w:val="center"/>
                </w:tcPr>
                <w:p w14:paraId="13167A7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本项目储油罐采用卧式双层钢制油罐</w:t>
                  </w:r>
                </w:p>
              </w:tc>
              <w:tc>
                <w:tcPr>
                  <w:tcW w:w="476" w:type="pct"/>
                  <w:vAlign w:val="center"/>
                </w:tcPr>
                <w:p w14:paraId="469F6FF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符合要求</w:t>
                  </w:r>
                </w:p>
              </w:tc>
            </w:tr>
            <w:tr w14:paraId="670197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1F954FBE">
                  <w:pPr>
                    <w:pStyle w:val="124"/>
                    <w:jc w:val="center"/>
                    <w:rPr>
                      <w:rFonts w:cs="Times New Roman"/>
                      <w:szCs w:val="21"/>
                    </w:rPr>
                  </w:pPr>
                  <w:r>
                    <w:rPr>
                      <w:rFonts w:cs="Times New Roman"/>
                      <w:szCs w:val="21"/>
                    </w:rPr>
                    <w:t>加油机</w:t>
                  </w:r>
                </w:p>
              </w:tc>
              <w:tc>
                <w:tcPr>
                  <w:tcW w:w="2125" w:type="pct"/>
                  <w:vAlign w:val="center"/>
                </w:tcPr>
                <w:p w14:paraId="5A819B5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加油机不得设置在室内。加油枪应采用自封式加油枪。加油软管上宜设安全拉断阀</w:t>
                  </w:r>
                </w:p>
              </w:tc>
              <w:tc>
                <w:tcPr>
                  <w:tcW w:w="1488" w:type="pct"/>
                  <w:vAlign w:val="center"/>
                </w:tcPr>
                <w:p w14:paraId="647DC8A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本项目加油机设置在室外。加油枪采用自封式加油枪。加油软管上设置了安全拉断阀。</w:t>
                  </w:r>
                </w:p>
              </w:tc>
              <w:tc>
                <w:tcPr>
                  <w:tcW w:w="476" w:type="pct"/>
                  <w:vAlign w:val="center"/>
                </w:tcPr>
                <w:p w14:paraId="12811C0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符合要求</w:t>
                  </w:r>
                </w:p>
              </w:tc>
            </w:tr>
            <w:tr w14:paraId="608416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220B5938">
                  <w:pPr>
                    <w:pStyle w:val="124"/>
                    <w:jc w:val="center"/>
                    <w:rPr>
                      <w:rFonts w:cs="Times New Roman"/>
                      <w:szCs w:val="21"/>
                    </w:rPr>
                  </w:pPr>
                  <w:r>
                    <w:rPr>
                      <w:rFonts w:cs="Times New Roman"/>
                      <w:szCs w:val="21"/>
                    </w:rPr>
                    <w:t>工艺管道系统</w:t>
                  </w:r>
                </w:p>
              </w:tc>
              <w:tc>
                <w:tcPr>
                  <w:tcW w:w="2125" w:type="pct"/>
                  <w:vAlign w:val="center"/>
                </w:tcPr>
                <w:p w14:paraId="151F00A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汽油和柴油油罐车卸油必须采用密闭卸油方式。汽油油罐车应具有卸油油气回收系统，加油站应采用加油油气回收系统。</w:t>
                  </w:r>
                </w:p>
              </w:tc>
              <w:tc>
                <w:tcPr>
                  <w:tcW w:w="1488" w:type="pct"/>
                  <w:vAlign w:val="center"/>
                </w:tcPr>
                <w:p w14:paraId="3BEEA07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本项目设置了一次、二次</w:t>
                  </w:r>
                  <w:r>
                    <w:rPr>
                      <w:rFonts w:hint="eastAsia" w:cs="Times New Roman"/>
                      <w:szCs w:val="21"/>
                      <w:lang w:eastAsia="zh-CN"/>
                    </w:rPr>
                    <w:t>、</w:t>
                  </w:r>
                  <w:r>
                    <w:rPr>
                      <w:rFonts w:hint="eastAsia" w:cs="Times New Roman"/>
                      <w:szCs w:val="21"/>
                      <w:lang w:val="en-US" w:eastAsia="zh-CN"/>
                    </w:rPr>
                    <w:t>三次</w:t>
                  </w:r>
                  <w:r>
                    <w:rPr>
                      <w:rFonts w:cs="Times New Roman"/>
                      <w:szCs w:val="21"/>
                    </w:rPr>
                    <w:t>油气回收系统</w:t>
                  </w:r>
                </w:p>
              </w:tc>
              <w:tc>
                <w:tcPr>
                  <w:tcW w:w="476" w:type="pct"/>
                  <w:vAlign w:val="center"/>
                </w:tcPr>
                <w:p w14:paraId="5BA50AE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符合要求</w:t>
                  </w:r>
                </w:p>
              </w:tc>
            </w:tr>
            <w:tr w14:paraId="26321E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7D7E1D6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橇装式加油装置</w:t>
                  </w:r>
                </w:p>
              </w:tc>
              <w:tc>
                <w:tcPr>
                  <w:tcW w:w="2125" w:type="pct"/>
                  <w:vAlign w:val="center"/>
                </w:tcPr>
                <w:p w14:paraId="50612D9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橇装式加油装置应采用双壁钢制油罐，两层罐壁之间的空间应设漏油检测装置，并应保证内罐与外罐任何部位出现渗漏时均能被发现。</w:t>
                  </w:r>
                </w:p>
              </w:tc>
              <w:tc>
                <w:tcPr>
                  <w:tcW w:w="1488" w:type="pct"/>
                  <w:vAlign w:val="center"/>
                </w:tcPr>
                <w:p w14:paraId="27C1588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本项目橇装式加油装置采用了双壁钢制油罐，在两层罐壁之间的空间设置漏油检测装置</w:t>
                  </w:r>
                </w:p>
              </w:tc>
              <w:tc>
                <w:tcPr>
                  <w:tcW w:w="476" w:type="pct"/>
                  <w:vAlign w:val="center"/>
                </w:tcPr>
                <w:p w14:paraId="35D9114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符合要求</w:t>
                  </w:r>
                </w:p>
              </w:tc>
            </w:tr>
            <w:tr w14:paraId="46EAE8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9" w:type="pct"/>
                  <w:vAlign w:val="center"/>
                </w:tcPr>
                <w:p w14:paraId="4192EF34">
                  <w:pPr>
                    <w:pStyle w:val="124"/>
                    <w:jc w:val="center"/>
                    <w:rPr>
                      <w:rFonts w:cs="Times New Roman"/>
                      <w:szCs w:val="21"/>
                    </w:rPr>
                  </w:pPr>
                  <w:r>
                    <w:rPr>
                      <w:rFonts w:cs="Times New Roman"/>
                      <w:szCs w:val="21"/>
                    </w:rPr>
                    <w:t>防渗措施</w:t>
                  </w:r>
                </w:p>
              </w:tc>
              <w:tc>
                <w:tcPr>
                  <w:tcW w:w="2125" w:type="pct"/>
                  <w:vAlign w:val="center"/>
                </w:tcPr>
                <w:p w14:paraId="64EA482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加油站埋地油罐应采用下列之一的防渗方式：采用双层油罐；</w:t>
                  </w:r>
                </w:p>
                <w:p w14:paraId="1C00DA6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单层油罐设置防渗罐池</w:t>
                  </w:r>
                </w:p>
              </w:tc>
              <w:tc>
                <w:tcPr>
                  <w:tcW w:w="1488" w:type="pct"/>
                  <w:vAlign w:val="center"/>
                </w:tcPr>
                <w:p w14:paraId="017DA22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本项目防渗措施采用双层油罐</w:t>
                  </w:r>
                </w:p>
              </w:tc>
              <w:tc>
                <w:tcPr>
                  <w:tcW w:w="476" w:type="pct"/>
                  <w:vAlign w:val="center"/>
                </w:tcPr>
                <w:p w14:paraId="50BA85F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cs="Times New Roman"/>
                      <w:szCs w:val="21"/>
                    </w:rPr>
                  </w:pPr>
                  <w:r>
                    <w:rPr>
                      <w:rFonts w:cs="Times New Roman"/>
                      <w:szCs w:val="21"/>
                    </w:rPr>
                    <w:t>符合要求</w:t>
                  </w:r>
                </w:p>
              </w:tc>
            </w:tr>
          </w:tbl>
          <w:p w14:paraId="76250C0D">
            <w:pPr>
              <w:pStyle w:val="118"/>
              <w:keepNext w:val="0"/>
              <w:keepLines w:val="0"/>
              <w:pageBreakBefore w:val="0"/>
              <w:kinsoku/>
              <w:wordWrap/>
              <w:overflowPunct/>
              <w:autoSpaceDE/>
              <w:autoSpaceDN/>
              <w:bidi w:val="0"/>
              <w:adjustRightInd w:val="0"/>
              <w:snapToGrid w:val="0"/>
              <w:spacing w:line="360" w:lineRule="auto"/>
              <w:ind w:firstLine="480" w:firstLineChars="200"/>
              <w:textAlignment w:val="auto"/>
              <w:rPr>
                <w:b/>
                <w:bCs/>
              </w:rPr>
            </w:pPr>
            <w:r>
              <w:rPr>
                <w:rFonts w:hint="eastAsia"/>
                <w:lang w:val="en-US" w:eastAsia="zh-CN"/>
              </w:rPr>
              <w:t>综上</w:t>
            </w:r>
            <w:r>
              <w:t>，本项目加油工艺与设施符合《汽车加油加气加氢站技术标准》（GB50156-2021）的规定。</w:t>
            </w:r>
          </w:p>
          <w:p w14:paraId="00918DF3">
            <w:pPr>
              <w:keepNext w:val="0"/>
              <w:keepLines w:val="0"/>
              <w:pageBreakBefore w:val="0"/>
              <w:widowControl w:val="0"/>
              <w:kinsoku/>
              <w:wordWrap/>
              <w:overflowPunct/>
              <w:topLinePunct/>
              <w:autoSpaceDE/>
              <w:autoSpaceDN/>
              <w:bidi w:val="0"/>
              <w:adjustRightInd w:val="0"/>
              <w:snapToGrid w:val="0"/>
              <w:spacing w:line="360" w:lineRule="auto"/>
              <w:ind w:left="0" w:leftChars="0"/>
              <w:jc w:val="left"/>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1.10 与《湖南省挥发性有机物污染防治三年行动实施方案（</w:t>
            </w:r>
            <w:r>
              <w:rPr>
                <w:rFonts w:hint="default" w:ascii="Times New Roman" w:hAnsi="Times New Roman" w:eastAsia="宋体" w:cs="Times New Roman"/>
                <w:b/>
                <w:bCs/>
                <w:sz w:val="24"/>
                <w:lang w:val="en-US" w:eastAsia="zh-CN"/>
              </w:rPr>
              <w:t>2018-2020</w:t>
            </w:r>
            <w:r>
              <w:rPr>
                <w:rFonts w:hint="eastAsia" w:ascii="Times New Roman" w:hAnsi="Times New Roman" w:eastAsia="宋体" w:cs="Times New Roman"/>
                <w:b/>
                <w:bCs/>
                <w:sz w:val="24"/>
                <w:lang w:val="en-US" w:eastAsia="zh-CN"/>
              </w:rPr>
              <w:t xml:space="preserve">年）》的符合性分析 </w:t>
            </w:r>
          </w:p>
          <w:p w14:paraId="614D39D1">
            <w:pPr>
              <w:keepNext w:val="0"/>
              <w:keepLines w:val="0"/>
              <w:pageBreakBefore w:val="0"/>
              <w:widowControl/>
              <w:suppressLineNumbers w:val="0"/>
              <w:kinsoku/>
              <w:wordWrap/>
              <w:overflowPunct/>
              <w:autoSpaceDE/>
              <w:autoSpaceDN/>
              <w:bidi w:val="0"/>
              <w:adjustRightInd w:val="0"/>
              <w:snapToGrid w:val="0"/>
              <w:spacing w:line="360" w:lineRule="auto"/>
              <w:ind w:firstLine="480" w:firstLineChars="200"/>
              <w:jc w:val="left"/>
              <w:textAlignment w:val="auto"/>
              <w:rPr>
                <w:u w:val="none"/>
              </w:rPr>
            </w:pPr>
            <w:r>
              <w:rPr>
                <w:rFonts w:hint="eastAsia" w:ascii="宋体" w:hAnsi="宋体" w:eastAsia="宋体" w:cs="宋体"/>
                <w:color w:val="000000"/>
                <w:kern w:val="0"/>
                <w:sz w:val="24"/>
                <w:szCs w:val="24"/>
                <w:u w:val="none"/>
                <w:lang w:val="en-US" w:eastAsia="zh-CN" w:bidi="ar"/>
              </w:rPr>
              <w:t>根据《湖南省挥发性有机物污染防治三年行动实施方案（</w:t>
            </w:r>
            <w:r>
              <w:rPr>
                <w:rFonts w:hint="default" w:ascii="Times New Roman" w:hAnsi="Times New Roman" w:eastAsia="宋体" w:cs="Times New Roman"/>
                <w:color w:val="000000"/>
                <w:kern w:val="0"/>
                <w:sz w:val="24"/>
                <w:szCs w:val="24"/>
                <w:u w:val="none"/>
                <w:lang w:val="en-US" w:eastAsia="zh-CN" w:bidi="ar"/>
              </w:rPr>
              <w:t>2018-2020</w:t>
            </w:r>
            <w:r>
              <w:rPr>
                <w:rFonts w:hint="eastAsia" w:ascii="宋体" w:hAnsi="宋体" w:eastAsia="宋体" w:cs="宋体"/>
                <w:color w:val="000000"/>
                <w:kern w:val="0"/>
                <w:sz w:val="24"/>
                <w:szCs w:val="24"/>
                <w:u w:val="none"/>
                <w:lang w:val="en-US" w:eastAsia="zh-CN" w:bidi="ar"/>
              </w:rPr>
              <w:t>年）》：积极开展原油成品油码头、油罐车、储油库、加油站油气回收工作，并保证回收设施稳定运行，到</w:t>
            </w:r>
            <w:r>
              <w:rPr>
                <w:rFonts w:hint="default" w:ascii="Times New Roman" w:hAnsi="Times New Roman" w:eastAsia="宋体" w:cs="Times New Roman"/>
                <w:color w:val="000000"/>
                <w:kern w:val="0"/>
                <w:sz w:val="24"/>
                <w:szCs w:val="24"/>
                <w:u w:val="none"/>
                <w:lang w:val="en-US" w:eastAsia="zh-CN" w:bidi="ar"/>
              </w:rPr>
              <w:t>2019</w:t>
            </w:r>
            <w:r>
              <w:rPr>
                <w:rFonts w:hint="eastAsia" w:ascii="宋体" w:hAnsi="宋体" w:eastAsia="宋体" w:cs="宋体"/>
                <w:color w:val="000000"/>
                <w:kern w:val="0"/>
                <w:sz w:val="24"/>
                <w:szCs w:val="24"/>
                <w:u w:val="none"/>
                <w:lang w:val="en-US" w:eastAsia="zh-CN" w:bidi="ar"/>
              </w:rPr>
              <w:t>年，完成全省</w:t>
            </w:r>
            <w:r>
              <w:rPr>
                <w:rFonts w:hint="default" w:ascii="Times New Roman" w:hAnsi="Times New Roman" w:eastAsia="宋体" w:cs="Times New Roman"/>
                <w:color w:val="000000"/>
                <w:kern w:val="0"/>
                <w:sz w:val="24"/>
                <w:szCs w:val="24"/>
                <w:u w:val="none"/>
                <w:lang w:val="en-US" w:eastAsia="zh-CN" w:bidi="ar"/>
              </w:rPr>
              <w:t>6000</w:t>
            </w:r>
            <w:r>
              <w:rPr>
                <w:rFonts w:hint="eastAsia" w:ascii="宋体" w:hAnsi="宋体" w:eastAsia="宋体" w:cs="宋体"/>
                <w:color w:val="000000"/>
                <w:kern w:val="0"/>
                <w:sz w:val="24"/>
                <w:szCs w:val="24"/>
                <w:u w:val="none"/>
                <w:lang w:val="en-US" w:eastAsia="zh-CN" w:bidi="ar"/>
              </w:rPr>
              <w:t>多家加油站油气回收装置建设、改造，年销售汽油量大于</w:t>
            </w:r>
            <w:r>
              <w:rPr>
                <w:rFonts w:hint="default" w:ascii="Times New Roman" w:hAnsi="Times New Roman" w:eastAsia="宋体" w:cs="Times New Roman"/>
                <w:color w:val="000000"/>
                <w:kern w:val="0"/>
                <w:sz w:val="24"/>
                <w:szCs w:val="24"/>
                <w:u w:val="none"/>
                <w:lang w:val="en-US" w:eastAsia="zh-CN" w:bidi="ar"/>
              </w:rPr>
              <w:t>5000</w:t>
            </w:r>
            <w:r>
              <w:rPr>
                <w:rFonts w:hint="eastAsia" w:ascii="宋体" w:hAnsi="宋体" w:eastAsia="宋体" w:cs="宋体"/>
                <w:color w:val="000000"/>
                <w:kern w:val="0"/>
                <w:sz w:val="24"/>
                <w:szCs w:val="24"/>
                <w:u w:val="none"/>
                <w:lang w:val="en-US" w:eastAsia="zh-CN" w:bidi="ar"/>
              </w:rPr>
              <w:t>吨的加油站，要安装油气回收在线监测设备。</w:t>
            </w:r>
          </w:p>
          <w:p w14:paraId="09CECD59">
            <w:pPr>
              <w:keepNext w:val="0"/>
              <w:keepLines w:val="0"/>
              <w:pageBreakBefore w:val="0"/>
              <w:widowControl/>
              <w:suppressLineNumbers w:val="0"/>
              <w:kinsoku/>
              <w:wordWrap/>
              <w:overflowPunct/>
              <w:autoSpaceDE/>
              <w:autoSpaceDN/>
              <w:bidi w:val="0"/>
              <w:adjustRightInd w:val="0"/>
              <w:snapToGrid w:val="0"/>
              <w:spacing w:line="360" w:lineRule="auto"/>
              <w:ind w:firstLine="480" w:firstLineChars="200"/>
              <w:jc w:val="left"/>
              <w:textAlignment w:val="auto"/>
              <w:rPr>
                <w:u w:val="none"/>
              </w:rPr>
            </w:pPr>
            <w:r>
              <w:rPr>
                <w:rFonts w:hint="eastAsia" w:ascii="宋体" w:hAnsi="宋体" w:eastAsia="宋体" w:cs="宋体"/>
                <w:color w:val="000000"/>
                <w:kern w:val="0"/>
                <w:sz w:val="24"/>
                <w:szCs w:val="24"/>
                <w:u w:val="none"/>
                <w:lang w:val="en-US" w:eastAsia="zh-CN" w:bidi="ar"/>
              </w:rPr>
              <w:t>本项目主要进行汽油、柴油零售，预计年销售92#汽油500吨，95#汽油220吨，0#柴油360吨，不需安装油气回收自动监测设备。项目拟铺设油气回收管线，采用带油气回收功能的加油枪，设置汽油油气回收系统，并定期委托相应资质单位对汽油油气回收系统进行检测，因此本项目符合《湖南省挥发性有机物污染防治三年行动实施方案（</w:t>
            </w:r>
            <w:r>
              <w:rPr>
                <w:rFonts w:hint="default" w:ascii="Times New Roman" w:hAnsi="Times New Roman" w:eastAsia="宋体" w:cs="Times New Roman"/>
                <w:color w:val="000000"/>
                <w:kern w:val="0"/>
                <w:sz w:val="24"/>
                <w:szCs w:val="24"/>
                <w:u w:val="none"/>
                <w:lang w:val="en-US" w:eastAsia="zh-CN" w:bidi="ar"/>
              </w:rPr>
              <w:t>2018-2020</w:t>
            </w:r>
            <w:r>
              <w:rPr>
                <w:rFonts w:hint="eastAsia" w:ascii="宋体" w:hAnsi="宋体" w:eastAsia="宋体" w:cs="宋体"/>
                <w:color w:val="000000"/>
                <w:kern w:val="0"/>
                <w:sz w:val="24"/>
                <w:szCs w:val="24"/>
                <w:u w:val="none"/>
                <w:lang w:val="en-US" w:eastAsia="zh-CN" w:bidi="ar"/>
              </w:rPr>
              <w:t>年）》政策要求。</w:t>
            </w:r>
          </w:p>
          <w:p w14:paraId="12714FD0">
            <w:pPr>
              <w:keepNext w:val="0"/>
              <w:keepLines w:val="0"/>
              <w:pageBreakBefore w:val="0"/>
              <w:widowControl/>
              <w:numPr>
                <w:ilvl w:val="0"/>
                <w:numId w:val="0"/>
              </w:numPr>
              <w:suppressLineNumbers w:val="0"/>
              <w:kinsoku/>
              <w:wordWrap/>
              <w:overflowPunct/>
              <w:autoSpaceDE/>
              <w:autoSpaceDN/>
              <w:bidi w:val="0"/>
              <w:adjustRightInd w:val="0"/>
              <w:snapToGrid w:val="0"/>
              <w:spacing w:line="360" w:lineRule="auto"/>
              <w:jc w:val="left"/>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1.11与《湖南省大气污染防治“守护蓝天”攻坚行动计划（2023—2025年）》的符合性的分析</w:t>
            </w:r>
          </w:p>
          <w:p w14:paraId="29AC966F">
            <w:pPr>
              <w:keepNext w:val="0"/>
              <w:keepLines w:val="0"/>
              <w:pageBreakBefore w:val="0"/>
              <w:widowControl/>
              <w:suppressLineNumbers w:val="0"/>
              <w:kinsoku/>
              <w:wordWrap/>
              <w:overflowPunct/>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u w:val="none"/>
              </w:rPr>
            </w:pPr>
            <w:r>
              <w:rPr>
                <w:rFonts w:hint="eastAsia" w:ascii="Times New Roman" w:hAnsi="Times New Roman" w:eastAsia="宋体" w:cs="Times New Roman"/>
                <w:color w:val="000000"/>
                <w:kern w:val="0"/>
                <w:sz w:val="24"/>
                <w:szCs w:val="24"/>
                <w:u w:val="none"/>
                <w:lang w:val="en-US" w:eastAsia="zh-CN" w:bidi="ar"/>
              </w:rPr>
              <w:t>根据</w:t>
            </w:r>
            <w:r>
              <w:rPr>
                <w:rFonts w:hint="eastAsia" w:ascii="Times New Roman" w:hAnsi="Times New Roman" w:cs="Times New Roman"/>
                <w:b w:val="0"/>
                <w:bCs w:val="0"/>
                <w:color w:val="auto"/>
                <w:sz w:val="24"/>
                <w:highlight w:val="none"/>
                <w:u w:val="none"/>
                <w:lang w:eastAsia="zh-CN"/>
              </w:rPr>
              <w:t>《湖南省大气污染防治“守护蓝天”攻坚行动计划（2023—2025年）》</w:t>
            </w:r>
            <w:r>
              <w:rPr>
                <w:rFonts w:hint="eastAsia" w:cs="Times New Roman"/>
                <w:b w:val="0"/>
                <w:bCs w:val="0"/>
                <w:color w:val="auto"/>
                <w:sz w:val="24"/>
                <w:highlight w:val="none"/>
                <w:u w:val="none"/>
                <w:lang w:eastAsia="zh-CN"/>
              </w:rPr>
              <w:t>：</w:t>
            </w:r>
            <w:r>
              <w:rPr>
                <w:rFonts w:hint="default" w:ascii="Times New Roman" w:hAnsi="Times New Roman" w:eastAsia="宋体" w:cs="Times New Roman"/>
                <w:color w:val="000000"/>
                <w:kern w:val="0"/>
                <w:sz w:val="24"/>
                <w:szCs w:val="24"/>
                <w:u w:val="none"/>
                <w:lang w:val="en-US" w:eastAsia="zh-CN" w:bidi="ar"/>
              </w:rPr>
              <w:t>强化加油站油气回收治理。开展储运销环节油气回收专项检查，加油站按要求完成三次油气回收治理。到2025年，年销售汽油量大于5000吨（含）的加油站全面完成油气回收在线监测设施安装并联网</w:t>
            </w:r>
            <w:r>
              <w:rPr>
                <w:rFonts w:hint="eastAsia" w:ascii="Times New Roman" w:hAnsi="Times New Roman" w:eastAsia="宋体" w:cs="Times New Roman"/>
                <w:color w:val="000000"/>
                <w:kern w:val="0"/>
                <w:sz w:val="24"/>
                <w:szCs w:val="24"/>
                <w:u w:val="none"/>
                <w:lang w:val="en-US" w:eastAsia="zh-CN" w:bidi="ar"/>
              </w:rPr>
              <w:t>。</w:t>
            </w:r>
          </w:p>
          <w:p w14:paraId="0DA1722F">
            <w:pPr>
              <w:keepNext w:val="0"/>
              <w:keepLines w:val="0"/>
              <w:pageBreakBefore w:val="0"/>
              <w:widowControl/>
              <w:suppressLineNumbers w:val="0"/>
              <w:kinsoku/>
              <w:wordWrap/>
              <w:overflowPunct/>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u w:val="none"/>
                <w:lang w:val="en-US" w:eastAsia="zh-CN"/>
              </w:rPr>
            </w:pPr>
            <w:r>
              <w:rPr>
                <w:rFonts w:hint="eastAsia" w:ascii="宋体" w:hAnsi="宋体" w:eastAsia="宋体" w:cs="宋体"/>
                <w:color w:val="000000"/>
                <w:kern w:val="0"/>
                <w:sz w:val="24"/>
                <w:szCs w:val="24"/>
                <w:u w:val="none"/>
                <w:lang w:val="en-US" w:eastAsia="zh-CN" w:bidi="ar"/>
              </w:rPr>
              <w:t>本项目设置加油站油气回收系统，由卸油油气回收系统（一次油气回收）、汽油密闭储存、加油油气回收系统（二次油气回收）、油气处理装置</w:t>
            </w:r>
            <w:r>
              <w:rPr>
                <w:rFonts w:hint="default" w:ascii="Times New Roman" w:hAnsi="Times New Roman" w:eastAsia="宋体" w:cs="Times New Roman"/>
                <w:color w:val="000000"/>
                <w:kern w:val="0"/>
                <w:sz w:val="24"/>
                <w:szCs w:val="24"/>
                <w:u w:val="none"/>
                <w:lang w:val="en-US" w:eastAsia="zh-CN" w:bidi="ar"/>
              </w:rPr>
              <w:t>（三次油气回收系统，油气冷凝+活性炭吸附）组成。预计年销售92#汽油500吨，95#汽油220吨，0#柴油360吨，无需安装油气回收在线监测设施。因此本项目符合</w:t>
            </w:r>
            <w:r>
              <w:rPr>
                <w:rFonts w:hint="default" w:ascii="Times New Roman" w:hAnsi="Times New Roman" w:cs="Times New Roman"/>
                <w:b w:val="0"/>
                <w:bCs w:val="0"/>
                <w:color w:val="auto"/>
                <w:sz w:val="24"/>
                <w:highlight w:val="none"/>
                <w:u w:val="none"/>
                <w:lang w:eastAsia="zh-CN"/>
              </w:rPr>
              <w:t>《湖南省大气污染防治“守护蓝天”攻坚行动计划（2023—2025年）》</w:t>
            </w:r>
            <w:r>
              <w:rPr>
                <w:rFonts w:hint="default" w:ascii="Times New Roman" w:hAnsi="Times New Roman" w:cs="Times New Roman"/>
                <w:b w:val="0"/>
                <w:bCs w:val="0"/>
                <w:color w:val="auto"/>
                <w:sz w:val="24"/>
                <w:highlight w:val="none"/>
                <w:u w:val="none"/>
                <w:lang w:val="en-US" w:eastAsia="zh-CN"/>
              </w:rPr>
              <w:t>政策要求</w:t>
            </w:r>
            <w:r>
              <w:rPr>
                <w:rFonts w:hint="eastAsia" w:cs="Times New Roman"/>
                <w:b w:val="0"/>
                <w:bCs w:val="0"/>
                <w:color w:val="auto"/>
                <w:sz w:val="24"/>
                <w:highlight w:val="none"/>
                <w:u w:val="none"/>
                <w:lang w:val="en-US" w:eastAsia="zh-CN"/>
              </w:rPr>
              <w:t>。</w:t>
            </w:r>
          </w:p>
          <w:p w14:paraId="3396AFFB">
            <w:pPr>
              <w:pStyle w:val="118"/>
              <w:spacing w:line="360" w:lineRule="auto"/>
              <w:rPr>
                <w:sz w:val="21"/>
                <w:szCs w:val="21"/>
              </w:rPr>
            </w:pPr>
          </w:p>
          <w:p w14:paraId="71628E0E">
            <w:pPr>
              <w:pStyle w:val="118"/>
              <w:spacing w:line="360" w:lineRule="auto"/>
              <w:ind w:left="0" w:leftChars="0" w:firstLine="0" w:firstLineChars="0"/>
              <w:rPr>
                <w:sz w:val="21"/>
                <w:szCs w:val="21"/>
              </w:rPr>
            </w:pPr>
          </w:p>
          <w:p w14:paraId="02F06107">
            <w:pPr>
              <w:pStyle w:val="118"/>
              <w:spacing w:line="360" w:lineRule="auto"/>
              <w:ind w:left="0" w:leftChars="0" w:firstLine="0" w:firstLineChars="0"/>
              <w:rPr>
                <w:sz w:val="21"/>
                <w:szCs w:val="21"/>
              </w:rPr>
            </w:pPr>
          </w:p>
        </w:tc>
      </w:tr>
    </w:tbl>
    <w:p w14:paraId="30005D04">
      <w:pPr>
        <w:spacing w:line="360" w:lineRule="auto"/>
        <w:outlineLvl w:val="0"/>
        <w:rPr>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6128C09">
      <w:pPr>
        <w:pStyle w:val="47"/>
        <w:jc w:val="center"/>
        <w:outlineLvl w:val="0"/>
        <w:rPr>
          <w:rFonts w:ascii="黑体" w:hAnsi="黑体" w:eastAsia="黑体"/>
          <w:snapToGrid w:val="0"/>
          <w:sz w:val="30"/>
          <w:szCs w:val="30"/>
        </w:rPr>
      </w:pPr>
      <w:bookmarkStart w:id="2" w:name="_Toc17120"/>
      <w:r>
        <w:rPr>
          <w:rFonts w:ascii="黑体" w:hAnsi="黑体" w:eastAsia="黑体"/>
          <w:snapToGrid w:val="0"/>
          <w:sz w:val="30"/>
          <w:szCs w:val="30"/>
        </w:rPr>
        <w:t>二、建设项目工程分析</w:t>
      </w:r>
      <w:bookmarkEnd w:id="2"/>
    </w:p>
    <w:tbl>
      <w:tblPr>
        <w:tblStyle w:val="5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14:paraId="77EAE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Align w:val="center"/>
          </w:tcPr>
          <w:p w14:paraId="6EFD1633">
            <w:pPr>
              <w:pStyle w:val="47"/>
              <w:adjustRightInd w:val="0"/>
              <w:snapToGrid w:val="0"/>
              <w:spacing w:before="0" w:beforeAutospacing="0" w:after="0" w:afterAutospacing="0"/>
              <w:jc w:val="center"/>
              <w:outlineLvl w:val="1"/>
              <w:rPr>
                <w:rFonts w:ascii="Times New Roman" w:hAnsi="Times New Roman"/>
                <w:szCs w:val="24"/>
              </w:rPr>
            </w:pPr>
            <w:bookmarkStart w:id="3" w:name="_Toc19442"/>
            <w:bookmarkStart w:id="4" w:name="_Toc21348"/>
            <w:bookmarkStart w:id="5" w:name="_Toc4683"/>
            <w:bookmarkStart w:id="6" w:name="_Toc67408722"/>
            <w:bookmarkStart w:id="7" w:name="_Toc2266"/>
            <w:bookmarkStart w:id="8" w:name="_Toc13903"/>
            <w:bookmarkStart w:id="9" w:name="_Toc129615022"/>
            <w:bookmarkStart w:id="10" w:name="_Toc67408756"/>
            <w:bookmarkStart w:id="11" w:name="_Toc22560"/>
            <w:r>
              <w:rPr>
                <w:rFonts w:ascii="Times New Roman" w:hAnsi="Times New Roman"/>
                <w:szCs w:val="24"/>
              </w:rPr>
              <w:t>建设内容</w:t>
            </w:r>
            <w:bookmarkEnd w:id="3"/>
            <w:bookmarkEnd w:id="4"/>
            <w:bookmarkEnd w:id="5"/>
            <w:bookmarkEnd w:id="6"/>
            <w:bookmarkEnd w:id="7"/>
            <w:bookmarkEnd w:id="8"/>
            <w:bookmarkEnd w:id="9"/>
            <w:bookmarkEnd w:id="10"/>
            <w:bookmarkEnd w:id="11"/>
          </w:p>
        </w:tc>
        <w:tc>
          <w:tcPr>
            <w:tcW w:w="4769" w:type="pct"/>
          </w:tcPr>
          <w:p w14:paraId="79BEED5E">
            <w:pPr>
              <w:pStyle w:val="118"/>
              <w:keepNext w:val="0"/>
              <w:keepLines w:val="0"/>
              <w:pageBreakBefore w:val="0"/>
              <w:numPr>
                <w:ilvl w:val="0"/>
                <w:numId w:val="0"/>
              </w:numPr>
              <w:kinsoku/>
              <w:overflowPunct/>
              <w:autoSpaceDE/>
              <w:autoSpaceDN/>
              <w:bidi w:val="0"/>
              <w:adjustRightInd w:val="0"/>
              <w:snapToGrid w:val="0"/>
              <w:spacing w:line="360" w:lineRule="auto"/>
              <w:textAlignment w:val="auto"/>
              <w:rPr>
                <w:b/>
                <w:bCs/>
              </w:rPr>
            </w:pPr>
            <w:r>
              <w:rPr>
                <w:rFonts w:hint="eastAsia" w:cs="Times New Roman"/>
                <w:b/>
                <w:bCs/>
                <w:color w:val="auto"/>
                <w:kern w:val="2"/>
                <w:sz w:val="24"/>
                <w:szCs w:val="24"/>
                <w:lang w:val="en-US" w:eastAsia="zh-CN" w:bidi="ar-SA"/>
              </w:rPr>
              <w:t xml:space="preserve">2.1 </w:t>
            </w:r>
            <w:r>
              <w:rPr>
                <w:b/>
                <w:bCs/>
              </w:rPr>
              <w:t>项目由来</w:t>
            </w:r>
          </w:p>
          <w:p w14:paraId="1BAE846A">
            <w:pPr>
              <w:pStyle w:val="202"/>
              <w:keepNext w:val="0"/>
              <w:keepLines w:val="0"/>
              <w:pageBreakBefore w:val="0"/>
              <w:kinsoku/>
              <w:overflowPunct/>
              <w:autoSpaceDE/>
              <w:autoSpaceDN/>
              <w:bidi w:val="0"/>
              <w:adjustRightInd w:val="0"/>
              <w:snapToGrid w:val="0"/>
              <w:spacing w:line="360" w:lineRule="auto"/>
              <w:textAlignment w:val="auto"/>
              <w:rPr>
                <w:rFonts w:ascii="Times New Roman" w:hAnsi="Times New Roman"/>
                <w:bCs w:val="0"/>
                <w:sz w:val="24"/>
              </w:rPr>
            </w:pPr>
            <w:r>
              <w:rPr>
                <w:rFonts w:ascii="Times New Roman" w:hAnsi="Times New Roman"/>
                <w:bCs w:val="0"/>
                <w:sz w:val="24"/>
              </w:rPr>
              <w:t>近年来随着</w:t>
            </w:r>
            <w:r>
              <w:rPr>
                <w:rFonts w:hint="eastAsia" w:ascii="Times New Roman" w:hAnsi="Times New Roman"/>
                <w:bCs w:val="0"/>
                <w:sz w:val="24"/>
                <w:lang w:val="en-US" w:eastAsia="zh-CN"/>
              </w:rPr>
              <w:t>祁阳市</w:t>
            </w:r>
            <w:r>
              <w:rPr>
                <w:rFonts w:ascii="Times New Roman" w:hAnsi="Times New Roman"/>
                <w:bCs w:val="0"/>
                <w:sz w:val="24"/>
              </w:rPr>
              <w:t>经济的快速发展、交通基础设施的不断改善和机动车量的快速增加，加油站已成为民众生活不可或缺的一部分。为满足社会油品需求，</w:t>
            </w:r>
            <w:r>
              <w:rPr>
                <w:rFonts w:hint="eastAsia" w:ascii="Times New Roman" w:hAnsi="Times New Roman"/>
                <w:bCs w:val="0"/>
                <w:sz w:val="24"/>
                <w:lang w:eastAsia="zh-CN"/>
              </w:rPr>
              <w:t>祁阳市绕城公路加油站有限公司</w:t>
            </w:r>
            <w:r>
              <w:rPr>
                <w:rFonts w:ascii="Times New Roman" w:hAnsi="Times New Roman"/>
                <w:bCs w:val="0"/>
                <w:sz w:val="24"/>
              </w:rPr>
              <w:t>拟投资</w:t>
            </w:r>
            <w:r>
              <w:rPr>
                <w:rFonts w:hint="eastAsia" w:ascii="Times New Roman" w:hAnsi="Times New Roman"/>
                <w:bCs w:val="0"/>
                <w:sz w:val="24"/>
                <w:lang w:val="en-US" w:eastAsia="zh-CN"/>
              </w:rPr>
              <w:t>4000</w:t>
            </w:r>
            <w:r>
              <w:rPr>
                <w:rFonts w:ascii="Times New Roman" w:hAnsi="Times New Roman"/>
                <w:bCs w:val="0"/>
                <w:sz w:val="24"/>
              </w:rPr>
              <w:t>万元</w:t>
            </w:r>
            <w:r>
              <w:rPr>
                <w:rFonts w:hint="eastAsia" w:ascii="Times New Roman" w:hAnsi="Times New Roman"/>
                <w:bCs w:val="0"/>
                <w:sz w:val="24"/>
                <w:lang w:val="en-US" w:eastAsia="zh-CN"/>
              </w:rPr>
              <w:t>于永州市祁阳市祁阳大道铁路涵桥以北东侧</w:t>
            </w:r>
            <w:r>
              <w:rPr>
                <w:rFonts w:ascii="Times New Roman" w:hAnsi="Times New Roman"/>
                <w:bCs w:val="0"/>
                <w:sz w:val="24"/>
              </w:rPr>
              <w:t>建设“</w:t>
            </w:r>
            <w:r>
              <w:rPr>
                <w:rFonts w:hint="eastAsia" w:ascii="Times New Roman" w:hAnsi="Times New Roman"/>
                <w:bCs w:val="0"/>
                <w:sz w:val="24"/>
              </w:rPr>
              <w:t>祁阳市绕城公路加油站项目</w:t>
            </w:r>
            <w:r>
              <w:rPr>
                <w:rFonts w:ascii="Times New Roman" w:hAnsi="Times New Roman"/>
                <w:bCs w:val="0"/>
                <w:sz w:val="24"/>
              </w:rPr>
              <w:t>”。</w:t>
            </w:r>
          </w:p>
          <w:p w14:paraId="7F9CEB87">
            <w:pPr>
              <w:pStyle w:val="202"/>
              <w:keepNext w:val="0"/>
              <w:keepLines w:val="0"/>
              <w:pageBreakBefore w:val="0"/>
              <w:widowControl/>
              <w:kinsoku/>
              <w:overflowPunct/>
              <w:autoSpaceDE/>
              <w:autoSpaceDN/>
              <w:bidi w:val="0"/>
              <w:adjustRightInd w:val="0"/>
              <w:snapToGrid w:val="0"/>
              <w:ind w:firstLineChars="200"/>
              <w:jc w:val="left"/>
              <w:textAlignment w:val="auto"/>
              <w:rPr>
                <w:rFonts w:hint="default" w:eastAsia="宋体"/>
                <w:sz w:val="24"/>
                <w:lang w:val="en-US" w:eastAsia="zh-CN"/>
              </w:rPr>
            </w:pPr>
            <w:r>
              <w:rPr>
                <w:rFonts w:hint="eastAsia" w:ascii="Times New Roman" w:hAnsi="Times New Roman"/>
                <w:bCs w:val="0"/>
                <w:sz w:val="24"/>
                <w:u w:val="single"/>
                <w:lang w:val="en-US" w:eastAsia="zh-CN"/>
              </w:rPr>
              <w:t>本项目</w:t>
            </w:r>
            <w:r>
              <w:rPr>
                <w:rFonts w:ascii="Times New Roman" w:hAnsi="Times New Roman"/>
                <w:sz w:val="24"/>
                <w:u w:val="single"/>
              </w:rPr>
              <w:t>于202</w:t>
            </w:r>
            <w:r>
              <w:rPr>
                <w:rFonts w:hint="eastAsia" w:ascii="Times New Roman" w:hAnsi="Times New Roman"/>
                <w:sz w:val="24"/>
                <w:u w:val="single"/>
                <w:lang w:val="en-US" w:eastAsia="zh-CN"/>
              </w:rPr>
              <w:t>2</w:t>
            </w:r>
            <w:r>
              <w:rPr>
                <w:rFonts w:ascii="Times New Roman" w:hAnsi="Times New Roman"/>
                <w:sz w:val="24"/>
                <w:u w:val="single"/>
              </w:rPr>
              <w:t>年</w:t>
            </w:r>
            <w:r>
              <w:rPr>
                <w:rFonts w:hint="eastAsia" w:ascii="Times New Roman" w:hAnsi="Times New Roman"/>
                <w:sz w:val="24"/>
                <w:u w:val="single"/>
                <w:lang w:val="en-US" w:eastAsia="zh-CN"/>
              </w:rPr>
              <w:t>9</w:t>
            </w:r>
            <w:r>
              <w:rPr>
                <w:rFonts w:ascii="Times New Roman" w:hAnsi="Times New Roman"/>
                <w:sz w:val="24"/>
                <w:u w:val="single"/>
              </w:rPr>
              <w:t>月</w:t>
            </w:r>
            <w:r>
              <w:rPr>
                <w:rFonts w:hint="eastAsia" w:ascii="Times New Roman" w:hAnsi="Times New Roman"/>
                <w:sz w:val="24"/>
                <w:u w:val="single"/>
                <w:lang w:val="en-US" w:eastAsia="zh-CN"/>
              </w:rPr>
              <w:t>14日取得了祁阳市发展和改革局出具的《关于祁阳市绕城公路和长虹两个加油站建设项目备案证明》（祁发改备【2022】142号），2024年9月19日，祁阳市发展和改革局出具了《关于祁阳市绕城公路和长虹两个加油站为二级加油站的备案证明》（祁发改备【2024】180号），因用地手续办理的需要，项目单位由祁阳浯发冠皓加油站管理有限公司变更为祁阳市长虹街道长虹社区经济合作社</w:t>
            </w:r>
            <w:r>
              <w:rPr>
                <w:rFonts w:hint="eastAsia" w:ascii="Times New Roman" w:hAnsi="Times New Roman"/>
                <w:bCs w:val="0"/>
                <w:sz w:val="24"/>
                <w:u w:val="single"/>
                <w:lang w:eastAsia="zh-CN"/>
              </w:rPr>
              <w:t>，</w:t>
            </w:r>
            <w:r>
              <w:rPr>
                <w:rFonts w:hint="eastAsia" w:ascii="Times New Roman" w:hAnsi="Times New Roman"/>
                <w:bCs w:val="0"/>
                <w:sz w:val="24"/>
                <w:u w:val="single"/>
                <w:lang w:val="en-US" w:eastAsia="zh-CN"/>
              </w:rPr>
              <w:t>祁阳市发展和改革局于2025年2月23日出具了《关于变更祁阳市绕城公路加油站项目单位的备案证明》（祁发改备【2025】26号）（详见附件3），2025年3月1日，</w:t>
            </w:r>
            <w:r>
              <w:rPr>
                <w:rFonts w:hint="eastAsia" w:ascii="Times New Roman" w:hAnsi="Times New Roman"/>
                <w:sz w:val="24"/>
                <w:u w:val="single"/>
                <w:lang w:val="en-US" w:eastAsia="zh-CN"/>
              </w:rPr>
              <w:t>祁阳市长虹街道长虹社区经济合作社与</w:t>
            </w:r>
            <w:r>
              <w:rPr>
                <w:rFonts w:hint="eastAsia" w:ascii="Times New Roman" w:hAnsi="Times New Roman"/>
                <w:bCs w:val="0"/>
                <w:sz w:val="24"/>
                <w:u w:val="single"/>
                <w:lang w:eastAsia="zh-CN"/>
              </w:rPr>
              <w:t>祁阳市绕城公路加油站有限公司</w:t>
            </w:r>
            <w:r>
              <w:rPr>
                <w:rFonts w:hint="eastAsia" w:ascii="Times New Roman" w:hAnsi="Times New Roman"/>
                <w:bCs w:val="0"/>
                <w:sz w:val="24"/>
                <w:u w:val="single"/>
                <w:lang w:val="en-US" w:eastAsia="zh-CN"/>
              </w:rPr>
              <w:t>签订了土地租赁合同（详见附件5），本项目由</w:t>
            </w:r>
            <w:r>
              <w:rPr>
                <w:rFonts w:hint="eastAsia" w:ascii="Times New Roman" w:hAnsi="Times New Roman"/>
                <w:bCs w:val="0"/>
                <w:sz w:val="24"/>
                <w:u w:val="single"/>
                <w:lang w:eastAsia="zh-CN"/>
              </w:rPr>
              <w:t>祁阳市绕城公路加油站有限公司</w:t>
            </w:r>
            <w:r>
              <w:rPr>
                <w:rFonts w:hint="eastAsia" w:ascii="Times New Roman" w:hAnsi="Times New Roman"/>
                <w:bCs w:val="0"/>
                <w:sz w:val="24"/>
                <w:u w:val="single"/>
                <w:lang w:val="en-US" w:eastAsia="zh-CN"/>
              </w:rPr>
              <w:t>进行建设，项目于2025年3月31日取得了乡村建设规划许可证，根据湖南冠邦工程技术有限公司编制的《祁阳市绕城公路加油站设计方案》，本项目总用地面积为2000.23m</w:t>
            </w:r>
            <w:r>
              <w:rPr>
                <w:rFonts w:hint="eastAsia" w:ascii="Times New Roman" w:hAnsi="Times New Roman"/>
                <w:bCs w:val="0"/>
                <w:sz w:val="24"/>
                <w:u w:val="single"/>
                <w:vertAlign w:val="superscript"/>
                <w:lang w:val="en-US" w:eastAsia="zh-CN"/>
              </w:rPr>
              <w:t>2</w:t>
            </w:r>
            <w:r>
              <w:rPr>
                <w:rFonts w:hint="eastAsia" w:ascii="Times New Roman" w:hAnsi="Times New Roman"/>
                <w:bCs w:val="0"/>
                <w:sz w:val="24"/>
                <w:u w:val="single"/>
                <w:vertAlign w:val="baseline"/>
                <w:lang w:val="en-US" w:eastAsia="zh-CN"/>
              </w:rPr>
              <w:t>，其中总建筑面积887.45</w:t>
            </w:r>
            <w:r>
              <w:rPr>
                <w:rFonts w:hint="eastAsia" w:ascii="Times New Roman" w:hAnsi="Times New Roman"/>
                <w:bCs w:val="0"/>
                <w:sz w:val="24"/>
                <w:u w:val="single"/>
                <w:lang w:val="en-US" w:eastAsia="zh-CN"/>
              </w:rPr>
              <w:t>m</w:t>
            </w:r>
            <w:r>
              <w:rPr>
                <w:rFonts w:hint="eastAsia" w:ascii="Times New Roman" w:hAnsi="Times New Roman"/>
                <w:bCs w:val="0"/>
                <w:sz w:val="24"/>
                <w:u w:val="single"/>
                <w:vertAlign w:val="superscript"/>
                <w:lang w:val="en-US" w:eastAsia="zh-CN"/>
              </w:rPr>
              <w:t>2</w:t>
            </w:r>
            <w:r>
              <w:rPr>
                <w:rFonts w:hint="eastAsia" w:ascii="Times New Roman" w:hAnsi="Times New Roman"/>
                <w:bCs w:val="0"/>
                <w:sz w:val="24"/>
                <w:u w:val="single"/>
                <w:vertAlign w:val="baseline"/>
                <w:lang w:val="en-US" w:eastAsia="zh-CN"/>
              </w:rPr>
              <w:t>，主要销售柴油</w:t>
            </w:r>
            <w:r>
              <w:rPr>
                <w:rFonts w:hint="eastAsia" w:ascii="Times New Roman" w:hAnsi="Times New Roman"/>
                <w:bCs w:val="0"/>
                <w:sz w:val="24"/>
                <w:vertAlign w:val="baseline"/>
                <w:lang w:val="en-US" w:eastAsia="zh-CN"/>
              </w:rPr>
              <w:t>和汽油</w:t>
            </w:r>
            <w:r>
              <w:rPr>
                <w:rFonts w:hint="eastAsia" w:ascii="Times New Roman" w:hAnsi="Times New Roman"/>
                <w:bCs w:val="0"/>
                <w:sz w:val="24"/>
                <w:highlight w:val="none"/>
                <w:vertAlign w:val="baseline"/>
                <w:lang w:val="en-US" w:eastAsia="zh-CN"/>
              </w:rPr>
              <w:t>，</w:t>
            </w:r>
            <w:r>
              <w:rPr>
                <w:rFonts w:ascii="Times New Roman" w:hAnsi="Times New Roman"/>
                <w:color w:val="auto"/>
                <w:sz w:val="24"/>
                <w:highlight w:val="none"/>
              </w:rPr>
              <w:t>预计年销售</w:t>
            </w:r>
            <w:r>
              <w:rPr>
                <w:rFonts w:hint="eastAsia" w:ascii="Times New Roman" w:hAnsi="Times New Roman"/>
                <w:color w:val="auto"/>
                <w:sz w:val="24"/>
                <w:highlight w:val="none"/>
              </w:rPr>
              <w:t>92#</w:t>
            </w:r>
            <w:r>
              <w:rPr>
                <w:rFonts w:hint="eastAsia" w:ascii="Times New Roman" w:hAnsi="Times New Roman"/>
                <w:color w:val="auto"/>
                <w:sz w:val="24"/>
                <w:highlight w:val="none"/>
                <w:lang w:val="en-US" w:eastAsia="zh-CN"/>
              </w:rPr>
              <w:t>汽油</w:t>
            </w:r>
            <w:r>
              <w:rPr>
                <w:rFonts w:hint="eastAsia" w:ascii="Times New Roman" w:hAnsi="Times New Roman"/>
                <w:color w:val="auto"/>
                <w:sz w:val="24"/>
                <w:highlight w:val="none"/>
              </w:rPr>
              <w:t>500吨，95#</w:t>
            </w:r>
            <w:r>
              <w:rPr>
                <w:rFonts w:hint="eastAsia" w:ascii="Times New Roman" w:hAnsi="Times New Roman"/>
                <w:color w:val="auto"/>
                <w:sz w:val="24"/>
                <w:highlight w:val="none"/>
                <w:lang w:val="en-US" w:eastAsia="zh-CN"/>
              </w:rPr>
              <w:t>汽油</w:t>
            </w:r>
            <w:r>
              <w:rPr>
                <w:rFonts w:hint="eastAsia" w:ascii="Times New Roman" w:hAnsi="Times New Roman"/>
                <w:color w:val="auto"/>
                <w:sz w:val="24"/>
                <w:highlight w:val="none"/>
              </w:rPr>
              <w:t>220吨，0#柴油360吨</w:t>
            </w:r>
            <w:r>
              <w:rPr>
                <w:rFonts w:ascii="Times New Roman" w:hAnsi="Times New Roman"/>
                <w:color w:val="auto"/>
                <w:sz w:val="24"/>
                <w:highlight w:val="none"/>
              </w:rPr>
              <w:t>。</w:t>
            </w:r>
          </w:p>
          <w:p w14:paraId="7981A2C5">
            <w:pPr>
              <w:keepNext w:val="0"/>
              <w:keepLines w:val="0"/>
              <w:pageBreakBefore w:val="0"/>
              <w:widowControl/>
              <w:kinsoku/>
              <w:overflowPunct/>
              <w:autoSpaceDE/>
              <w:autoSpaceDN/>
              <w:bidi w:val="0"/>
              <w:adjustRightInd w:val="0"/>
              <w:snapToGrid w:val="0"/>
              <w:spacing w:line="360" w:lineRule="auto"/>
              <w:ind w:firstLine="480" w:firstLineChars="200"/>
              <w:jc w:val="left"/>
              <w:textAlignment w:val="auto"/>
              <w:rPr>
                <w:rFonts w:hint="eastAsia"/>
                <w:sz w:val="24"/>
                <w:u w:val="single"/>
                <w:lang w:val="en-US" w:eastAsia="zh-CN"/>
              </w:rPr>
            </w:pPr>
            <w:r>
              <w:rPr>
                <w:rFonts w:hint="eastAsia"/>
                <w:sz w:val="24"/>
                <w:u w:val="single"/>
                <w:lang w:val="en-US" w:eastAsia="zh-CN"/>
              </w:rPr>
              <w:t>根据现场踏勘及资料收集，项目运营阶段产生的废水经收集后排入市政管网进入祁阳市城北污水处理厂进行处理，其祁阳市城北污水处理厂暂未投入运行，本次评价要求待祁阳市城北污水处理厂投入运行后本项目才能投入生产。</w:t>
            </w:r>
          </w:p>
          <w:p w14:paraId="26CA7E86">
            <w:pPr>
              <w:keepNext w:val="0"/>
              <w:keepLines w:val="0"/>
              <w:pageBreakBefore w:val="0"/>
              <w:widowControl/>
              <w:kinsoku/>
              <w:overflowPunct/>
              <w:autoSpaceDE/>
              <w:autoSpaceDN/>
              <w:bidi w:val="0"/>
              <w:adjustRightInd w:val="0"/>
              <w:snapToGrid w:val="0"/>
              <w:spacing w:line="360" w:lineRule="auto"/>
              <w:ind w:firstLine="480" w:firstLineChars="200"/>
              <w:jc w:val="left"/>
              <w:textAlignment w:val="auto"/>
              <w:rPr>
                <w:sz w:val="24"/>
              </w:rPr>
            </w:pPr>
            <w:r>
              <w:rPr>
                <w:sz w:val="24"/>
              </w:rPr>
              <w:t>根据《中华人民共和国环境保护法》、《中华人民共和国环境影响评价法》、《建设项目环境管理保护条例》、《建设项目环境影响评价分类管理名录》（2021年版）等法律法规，本项目属于《建设项目环境影响评价分类管理名录》（2021年版）中“五十、社会事业与服务业”中的“119、加油、加气站：城市建成区新建、扩建加油站；涉及环境敏感区的”，本项目位于城市建成区，应编制环境影响报告表。</w:t>
            </w:r>
          </w:p>
          <w:p w14:paraId="2A3A1358">
            <w:pPr>
              <w:pStyle w:val="43"/>
              <w:keepNext w:val="0"/>
              <w:keepLines w:val="0"/>
              <w:pageBreakBefore w:val="0"/>
              <w:tabs>
                <w:tab w:val="right" w:leader="dot" w:pos="8949"/>
              </w:tabs>
              <w:kinsoku/>
              <w:overflowPunct/>
              <w:autoSpaceDE/>
              <w:autoSpaceDN/>
              <w:bidi w:val="0"/>
              <w:adjustRightInd w:val="0"/>
              <w:snapToGrid w:val="0"/>
              <w:spacing w:after="0" w:line="360" w:lineRule="auto"/>
              <w:ind w:left="0" w:firstLine="480" w:firstLineChars="200"/>
              <w:textAlignment w:val="auto"/>
              <w:rPr>
                <w:rFonts w:ascii="Times New Roman" w:hAnsi="Times New Roman"/>
                <w:sz w:val="24"/>
                <w:szCs w:val="24"/>
              </w:rPr>
            </w:pPr>
            <w:r>
              <w:rPr>
                <w:rFonts w:ascii="Times New Roman" w:hAnsi="Times New Roman"/>
                <w:sz w:val="24"/>
                <w:szCs w:val="24"/>
              </w:rPr>
              <w:t>受建设单位委托，湖南</w:t>
            </w:r>
            <w:r>
              <w:rPr>
                <w:rFonts w:hint="eastAsia" w:ascii="Times New Roman" w:hAnsi="Times New Roman"/>
                <w:sz w:val="24"/>
                <w:szCs w:val="24"/>
                <w:lang w:val="en-US" w:eastAsia="zh-CN"/>
              </w:rPr>
              <w:t>振澜环保</w:t>
            </w:r>
            <w:r>
              <w:rPr>
                <w:rFonts w:ascii="Times New Roman" w:hAnsi="Times New Roman"/>
                <w:sz w:val="24"/>
                <w:szCs w:val="24"/>
              </w:rPr>
              <w:t>有限公司承担了本项目的环境影响评价工作。接受委托后，我单位组织相关技术人员进行了现场踏勘、类比调查、收集相关资料，在此基础上，按照国家对建设项目环境影响评价的有关环保政策、技术规范及导则的要求，编制了本项目的环境影响报告表。</w:t>
            </w:r>
          </w:p>
          <w:p w14:paraId="53D99762">
            <w:pPr>
              <w:pStyle w:val="118"/>
              <w:keepNext w:val="0"/>
              <w:keepLines w:val="0"/>
              <w:pageBreakBefore w:val="0"/>
              <w:numPr>
                <w:ilvl w:val="0"/>
                <w:numId w:val="0"/>
              </w:numPr>
              <w:kinsoku/>
              <w:overflowPunct/>
              <w:autoSpaceDE/>
              <w:autoSpaceDN/>
              <w:bidi w:val="0"/>
              <w:adjustRightInd w:val="0"/>
              <w:snapToGrid w:val="0"/>
              <w:spacing w:line="360" w:lineRule="auto"/>
              <w:textAlignment w:val="auto"/>
              <w:rPr>
                <w:b/>
                <w:bCs/>
              </w:rPr>
            </w:pPr>
            <w:r>
              <w:rPr>
                <w:rFonts w:hint="eastAsia"/>
                <w:b/>
                <w:bCs/>
                <w:lang w:val="en-US" w:eastAsia="zh-CN"/>
              </w:rPr>
              <w:t xml:space="preserve">2.2 </w:t>
            </w:r>
            <w:r>
              <w:rPr>
                <w:b/>
                <w:bCs/>
              </w:rPr>
              <w:t>项目工程组成情况</w:t>
            </w:r>
          </w:p>
          <w:p w14:paraId="0B9C37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bCs w:val="0"/>
                <w:sz w:val="24"/>
                <w:vertAlign w:val="baseline"/>
                <w:lang w:val="en-US" w:eastAsia="zh-CN"/>
              </w:rPr>
            </w:pPr>
            <w:r>
              <w:rPr>
                <w:rFonts w:hint="eastAsia" w:ascii="Times New Roman" w:hAnsi="Times New Roman"/>
                <w:bCs w:val="0"/>
                <w:sz w:val="24"/>
                <w:lang w:val="en-US" w:eastAsia="zh-CN"/>
              </w:rPr>
              <w:t>本项目总用地面积为2000.23m</w:t>
            </w:r>
            <w:r>
              <w:rPr>
                <w:rFonts w:hint="eastAsia" w:ascii="Times New Roman" w:hAnsi="Times New Roman"/>
                <w:bCs w:val="0"/>
                <w:sz w:val="24"/>
                <w:vertAlign w:val="superscript"/>
                <w:lang w:val="en-US" w:eastAsia="zh-CN"/>
              </w:rPr>
              <w:t>2</w:t>
            </w:r>
            <w:r>
              <w:rPr>
                <w:rFonts w:hint="eastAsia" w:ascii="Times New Roman" w:hAnsi="Times New Roman"/>
                <w:bCs w:val="0"/>
                <w:sz w:val="24"/>
                <w:vertAlign w:val="baseline"/>
                <w:lang w:val="en-US" w:eastAsia="zh-CN"/>
              </w:rPr>
              <w:t>，总建筑面积887.45</w:t>
            </w:r>
            <w:r>
              <w:rPr>
                <w:rFonts w:hint="eastAsia" w:ascii="Times New Roman" w:hAnsi="Times New Roman"/>
                <w:bCs w:val="0"/>
                <w:sz w:val="24"/>
                <w:lang w:val="en-US" w:eastAsia="zh-CN"/>
              </w:rPr>
              <w:t>m</w:t>
            </w:r>
            <w:r>
              <w:rPr>
                <w:rFonts w:hint="eastAsia" w:ascii="Times New Roman" w:hAnsi="Times New Roman"/>
                <w:bCs w:val="0"/>
                <w:sz w:val="24"/>
                <w:vertAlign w:val="superscript"/>
                <w:lang w:val="en-US" w:eastAsia="zh-CN"/>
              </w:rPr>
              <w:t>2</w:t>
            </w:r>
            <w:r>
              <w:rPr>
                <w:rFonts w:hint="eastAsia" w:ascii="Times New Roman" w:hAnsi="Times New Roman"/>
                <w:bCs w:val="0"/>
                <w:sz w:val="24"/>
                <w:vertAlign w:val="baseline"/>
                <w:lang w:val="en-US" w:eastAsia="zh-CN"/>
              </w:rPr>
              <w:t>，其中站房面积225.5</w:t>
            </w:r>
            <w:r>
              <w:rPr>
                <w:rFonts w:hint="eastAsia" w:ascii="Times New Roman" w:hAnsi="Times New Roman"/>
                <w:bCs w:val="0"/>
                <w:sz w:val="24"/>
                <w:lang w:val="en-US" w:eastAsia="zh-CN"/>
              </w:rPr>
              <w:t>m</w:t>
            </w:r>
            <w:r>
              <w:rPr>
                <w:rFonts w:hint="eastAsia" w:ascii="Times New Roman" w:hAnsi="Times New Roman"/>
                <w:bCs w:val="0"/>
                <w:sz w:val="24"/>
                <w:vertAlign w:val="superscript"/>
                <w:lang w:val="en-US" w:eastAsia="zh-CN"/>
              </w:rPr>
              <w:t>2</w:t>
            </w:r>
            <w:r>
              <w:rPr>
                <w:rFonts w:hint="eastAsia" w:ascii="Times New Roman" w:hAnsi="Times New Roman"/>
                <w:bCs w:val="0"/>
                <w:sz w:val="24"/>
                <w:vertAlign w:val="baseline"/>
                <w:lang w:val="en-US" w:eastAsia="zh-CN"/>
              </w:rPr>
              <w:t>，辅房面积336</w:t>
            </w:r>
            <w:r>
              <w:rPr>
                <w:rFonts w:hint="eastAsia" w:ascii="Times New Roman" w:hAnsi="Times New Roman"/>
                <w:bCs w:val="0"/>
                <w:sz w:val="24"/>
                <w:lang w:val="en-US" w:eastAsia="zh-CN"/>
              </w:rPr>
              <w:t>m</w:t>
            </w:r>
            <w:r>
              <w:rPr>
                <w:rFonts w:hint="eastAsia" w:ascii="Times New Roman" w:hAnsi="Times New Roman"/>
                <w:bCs w:val="0"/>
                <w:sz w:val="24"/>
                <w:vertAlign w:val="superscript"/>
                <w:lang w:val="en-US" w:eastAsia="zh-CN"/>
              </w:rPr>
              <w:t>2</w:t>
            </w:r>
            <w:r>
              <w:rPr>
                <w:rFonts w:hint="eastAsia" w:ascii="Times New Roman" w:hAnsi="Times New Roman"/>
                <w:bCs w:val="0"/>
                <w:sz w:val="24"/>
                <w:vertAlign w:val="baseline"/>
                <w:lang w:val="en-US" w:eastAsia="zh-CN"/>
              </w:rPr>
              <w:t>，加油区罩棚面积325.95</w:t>
            </w:r>
            <w:r>
              <w:rPr>
                <w:rFonts w:hint="eastAsia" w:ascii="Times New Roman" w:hAnsi="Times New Roman"/>
                <w:bCs w:val="0"/>
                <w:sz w:val="24"/>
                <w:lang w:val="en-US" w:eastAsia="zh-CN"/>
              </w:rPr>
              <w:t>m</w:t>
            </w:r>
            <w:r>
              <w:rPr>
                <w:rFonts w:hint="eastAsia" w:ascii="Times New Roman" w:hAnsi="Times New Roman"/>
                <w:bCs w:val="0"/>
                <w:sz w:val="24"/>
                <w:vertAlign w:val="superscript"/>
                <w:lang w:val="en-US" w:eastAsia="zh-CN"/>
              </w:rPr>
              <w:t>2</w:t>
            </w:r>
            <w:r>
              <w:rPr>
                <w:rFonts w:hint="eastAsia"/>
                <w:bCs w:val="0"/>
                <w:sz w:val="24"/>
                <w:vertAlign w:val="baseline"/>
                <w:lang w:val="en-US" w:eastAsia="zh-CN"/>
              </w:rPr>
              <w:t>。</w:t>
            </w:r>
          </w:p>
          <w:p w14:paraId="2E724A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kern w:val="0"/>
                <w:sz w:val="24"/>
              </w:rPr>
            </w:pPr>
            <w:r>
              <w:rPr>
                <w:color w:val="auto"/>
                <w:sz w:val="24"/>
              </w:rPr>
              <w:t>项目共设有4个</w:t>
            </w:r>
            <w:r>
              <w:rPr>
                <w:rFonts w:hint="eastAsia"/>
                <w:color w:val="auto"/>
                <w:sz w:val="24"/>
                <w:lang w:val="en-US" w:eastAsia="zh-CN"/>
              </w:rPr>
              <w:t>地下卧式双层</w:t>
            </w:r>
            <w:r>
              <w:rPr>
                <w:color w:val="auto"/>
                <w:sz w:val="24"/>
              </w:rPr>
              <w:t>储油罐，其中1</w:t>
            </w:r>
            <w:r>
              <w:rPr>
                <w:rFonts w:hint="eastAsia"/>
                <w:color w:val="auto"/>
                <w:sz w:val="24"/>
                <w:lang w:val="en-US" w:eastAsia="zh-CN"/>
              </w:rPr>
              <w:t>个50</w:t>
            </w:r>
            <w:r>
              <w:rPr>
                <w:color w:val="auto"/>
                <w:sz w:val="24"/>
              </w:rPr>
              <w:t>m</w:t>
            </w:r>
            <w:r>
              <w:rPr>
                <w:color w:val="auto"/>
                <w:sz w:val="24"/>
                <w:vertAlign w:val="superscript"/>
              </w:rPr>
              <w:t>3</w:t>
            </w:r>
            <w:r>
              <w:rPr>
                <w:color w:val="auto"/>
                <w:sz w:val="24"/>
              </w:rPr>
              <w:t>的</w:t>
            </w:r>
            <w:r>
              <w:rPr>
                <w:rFonts w:hint="eastAsia"/>
                <w:color w:val="auto"/>
                <w:sz w:val="24"/>
                <w:lang w:val="en-US" w:eastAsia="zh-CN"/>
              </w:rPr>
              <w:t>0</w:t>
            </w:r>
            <w:r>
              <w:rPr>
                <w:color w:val="auto"/>
                <w:sz w:val="24"/>
              </w:rPr>
              <w:t>#</w:t>
            </w:r>
            <w:r>
              <w:rPr>
                <w:rFonts w:hint="eastAsia"/>
                <w:color w:val="auto"/>
                <w:sz w:val="24"/>
                <w:lang w:val="en-US" w:eastAsia="zh-CN"/>
              </w:rPr>
              <w:t>柴油</w:t>
            </w:r>
            <w:r>
              <w:rPr>
                <w:color w:val="auto"/>
                <w:sz w:val="24"/>
              </w:rPr>
              <w:t>储罐，</w:t>
            </w:r>
            <w:r>
              <w:rPr>
                <w:rFonts w:hint="eastAsia"/>
                <w:color w:val="auto"/>
                <w:sz w:val="24"/>
                <w:lang w:val="en-US" w:eastAsia="zh-CN"/>
              </w:rPr>
              <w:t>2</w:t>
            </w:r>
            <w:r>
              <w:rPr>
                <w:color w:val="auto"/>
                <w:sz w:val="24"/>
              </w:rPr>
              <w:t>个30m</w:t>
            </w:r>
            <w:r>
              <w:rPr>
                <w:color w:val="auto"/>
                <w:sz w:val="24"/>
                <w:vertAlign w:val="superscript"/>
              </w:rPr>
              <w:t>3</w:t>
            </w:r>
            <w:r>
              <w:rPr>
                <w:color w:val="auto"/>
                <w:sz w:val="24"/>
              </w:rPr>
              <w:t>的9</w:t>
            </w:r>
            <w:r>
              <w:rPr>
                <w:rFonts w:hint="eastAsia"/>
                <w:color w:val="auto"/>
                <w:sz w:val="24"/>
                <w:lang w:val="en-US" w:eastAsia="zh-CN"/>
              </w:rPr>
              <w:t>2</w:t>
            </w:r>
            <w:r>
              <w:rPr>
                <w:color w:val="auto"/>
                <w:sz w:val="24"/>
              </w:rPr>
              <w:t>#汽油储罐，</w:t>
            </w:r>
            <w:r>
              <w:rPr>
                <w:rFonts w:hint="eastAsia"/>
                <w:color w:val="auto"/>
                <w:sz w:val="24"/>
                <w:lang w:val="en-US" w:eastAsia="zh-CN"/>
              </w:rPr>
              <w:t>1</w:t>
            </w:r>
            <w:r>
              <w:rPr>
                <w:color w:val="auto"/>
                <w:sz w:val="24"/>
              </w:rPr>
              <w:t>个</w:t>
            </w:r>
            <w:r>
              <w:rPr>
                <w:rFonts w:hint="eastAsia"/>
                <w:color w:val="auto"/>
                <w:sz w:val="24"/>
                <w:lang w:val="en-US" w:eastAsia="zh-CN"/>
              </w:rPr>
              <w:t>3</w:t>
            </w:r>
            <w:r>
              <w:rPr>
                <w:color w:val="auto"/>
                <w:sz w:val="24"/>
              </w:rPr>
              <w:t>0m</w:t>
            </w:r>
            <w:r>
              <w:rPr>
                <w:color w:val="auto"/>
                <w:sz w:val="24"/>
                <w:vertAlign w:val="superscript"/>
              </w:rPr>
              <w:t>3</w:t>
            </w:r>
            <w:r>
              <w:rPr>
                <w:color w:val="auto"/>
                <w:sz w:val="24"/>
              </w:rPr>
              <w:t>的</w:t>
            </w:r>
            <w:r>
              <w:rPr>
                <w:rFonts w:hint="eastAsia"/>
                <w:color w:val="auto"/>
                <w:sz w:val="24"/>
                <w:lang w:val="en-US" w:eastAsia="zh-CN"/>
              </w:rPr>
              <w:t>95</w:t>
            </w:r>
            <w:r>
              <w:rPr>
                <w:color w:val="auto"/>
                <w:sz w:val="24"/>
              </w:rPr>
              <w:t>#</w:t>
            </w:r>
            <w:r>
              <w:rPr>
                <w:rFonts w:hint="eastAsia"/>
                <w:color w:val="auto"/>
                <w:sz w:val="24"/>
                <w:lang w:val="en-US" w:eastAsia="zh-CN"/>
              </w:rPr>
              <w:t>汽油</w:t>
            </w:r>
            <w:r>
              <w:rPr>
                <w:color w:val="auto"/>
                <w:sz w:val="24"/>
              </w:rPr>
              <w:t>储罐，合计油罐</w:t>
            </w:r>
            <w:r>
              <w:rPr>
                <w:rFonts w:hint="eastAsia"/>
                <w:color w:val="auto"/>
                <w:sz w:val="24"/>
                <w:lang w:val="en-US" w:eastAsia="zh-CN"/>
              </w:rPr>
              <w:t>总</w:t>
            </w:r>
            <w:r>
              <w:rPr>
                <w:color w:val="auto"/>
                <w:sz w:val="24"/>
              </w:rPr>
              <w:t>容积</w:t>
            </w:r>
            <w:r>
              <w:rPr>
                <w:rFonts w:hint="eastAsia"/>
                <w:color w:val="auto"/>
                <w:sz w:val="24"/>
                <w:lang w:val="en-US" w:eastAsia="zh-CN"/>
              </w:rPr>
              <w:t>140</w:t>
            </w:r>
            <w:r>
              <w:rPr>
                <w:color w:val="auto"/>
                <w:sz w:val="24"/>
              </w:rPr>
              <w:t>m</w:t>
            </w:r>
            <w:r>
              <w:rPr>
                <w:color w:val="auto"/>
                <w:sz w:val="24"/>
                <w:vertAlign w:val="superscript"/>
              </w:rPr>
              <w:t>3</w:t>
            </w:r>
            <w:r>
              <w:rPr>
                <w:color w:val="auto"/>
                <w:sz w:val="24"/>
              </w:rPr>
              <w:t>，折合油罐总容积</w:t>
            </w:r>
            <w:r>
              <w:rPr>
                <w:rFonts w:hint="eastAsia"/>
                <w:bCs/>
                <w:color w:val="auto"/>
                <w:sz w:val="24"/>
                <w:lang w:val="en-US" w:eastAsia="zh-CN"/>
              </w:rPr>
              <w:t>115</w:t>
            </w:r>
            <w:r>
              <w:rPr>
                <w:color w:val="auto"/>
                <w:sz w:val="24"/>
              </w:rPr>
              <w:t>m</w:t>
            </w:r>
            <w:r>
              <w:rPr>
                <w:color w:val="auto"/>
                <w:sz w:val="24"/>
                <w:vertAlign w:val="superscript"/>
              </w:rPr>
              <w:t>3</w:t>
            </w:r>
            <w:r>
              <w:rPr>
                <w:rFonts w:hint="eastAsia"/>
                <w:color w:val="auto"/>
                <w:sz w:val="24"/>
                <w:vertAlign w:val="baseline"/>
                <w:lang w:eastAsia="zh-CN"/>
              </w:rPr>
              <w:t>（</w:t>
            </w:r>
            <w:r>
              <w:rPr>
                <w:rFonts w:hint="eastAsia"/>
                <w:color w:val="auto"/>
                <w:sz w:val="24"/>
                <w:vertAlign w:val="baseline"/>
                <w:lang w:val="en-US" w:eastAsia="zh-CN"/>
              </w:rPr>
              <w:t>柴油罐容积折半计入油罐总容积</w:t>
            </w:r>
            <w:r>
              <w:rPr>
                <w:rFonts w:hint="eastAsia"/>
                <w:color w:val="auto"/>
                <w:sz w:val="24"/>
                <w:vertAlign w:val="baseline"/>
                <w:lang w:eastAsia="zh-CN"/>
              </w:rPr>
              <w:t>）</w:t>
            </w:r>
            <w:r>
              <w:rPr>
                <w:color w:val="auto"/>
                <w:sz w:val="24"/>
              </w:rPr>
              <w:t>，</w:t>
            </w:r>
            <w:r>
              <w:rPr>
                <w:rFonts w:hint="eastAsia"/>
                <w:color w:val="auto"/>
                <w:sz w:val="24"/>
                <w:lang w:val="en-US" w:eastAsia="zh-CN"/>
              </w:rPr>
              <w:t>项目</w:t>
            </w:r>
            <w:r>
              <w:rPr>
                <w:sz w:val="24"/>
              </w:rPr>
              <w:t>设</w:t>
            </w:r>
            <w:r>
              <w:rPr>
                <w:rFonts w:hint="eastAsia"/>
                <w:sz w:val="24"/>
                <w:lang w:val="en-US" w:eastAsia="zh-CN"/>
              </w:rPr>
              <w:t>有4</w:t>
            </w:r>
            <w:r>
              <w:rPr>
                <w:sz w:val="24"/>
              </w:rPr>
              <w:t>台</w:t>
            </w:r>
            <w:r>
              <w:rPr>
                <w:rFonts w:hint="eastAsia"/>
                <w:sz w:val="24"/>
                <w:lang w:val="en-US" w:eastAsia="zh-CN"/>
              </w:rPr>
              <w:t>四</w:t>
            </w:r>
            <w:r>
              <w:rPr>
                <w:sz w:val="24"/>
              </w:rPr>
              <w:t>枪</w:t>
            </w:r>
            <w:r>
              <w:rPr>
                <w:rFonts w:hint="eastAsia"/>
                <w:sz w:val="24"/>
                <w:lang w:val="en-US" w:eastAsia="zh-CN"/>
              </w:rPr>
              <w:t>双油品潜油泵型</w:t>
            </w:r>
            <w:r>
              <w:rPr>
                <w:sz w:val="24"/>
              </w:rPr>
              <w:t>加油机</w:t>
            </w:r>
            <w:r>
              <w:rPr>
                <w:rFonts w:hint="eastAsia"/>
                <w:sz w:val="24"/>
                <w:lang w:eastAsia="zh-CN"/>
              </w:rPr>
              <w:t>，</w:t>
            </w:r>
            <w:r>
              <w:rPr>
                <w:kern w:val="0"/>
                <w:sz w:val="24"/>
              </w:rPr>
              <w:t>配套供配电、给排水、防雷接地、污染处理设施、消防等公用工程建设，以及加油站道路、停车空地、绿化等总图运输工程建设</w:t>
            </w:r>
            <w:r>
              <w:rPr>
                <w:rFonts w:hint="eastAsia"/>
                <w:kern w:val="0"/>
                <w:sz w:val="24"/>
                <w:lang w:eastAsia="zh-CN"/>
              </w:rPr>
              <w:t>，</w:t>
            </w:r>
            <w:r>
              <w:rPr>
                <w:kern w:val="0"/>
                <w:sz w:val="24"/>
              </w:rPr>
              <w:t>并购置安装相关设备。</w:t>
            </w:r>
          </w:p>
          <w:p w14:paraId="4EF578AD">
            <w:pPr>
              <w:keepNext w:val="0"/>
              <w:keepLines w:val="0"/>
              <w:pageBreakBefore w:val="0"/>
              <w:kinsoku/>
              <w:overflowPunct/>
              <w:autoSpaceDE/>
              <w:autoSpaceDN/>
              <w:bidi w:val="0"/>
              <w:adjustRightInd w:val="0"/>
              <w:snapToGrid w:val="0"/>
              <w:spacing w:line="360" w:lineRule="auto"/>
              <w:ind w:firstLine="480" w:firstLineChars="200"/>
              <w:textAlignment w:val="auto"/>
              <w:rPr>
                <w:b/>
                <w:bCs/>
                <w:szCs w:val="21"/>
              </w:rPr>
            </w:pPr>
            <w:r>
              <w:rPr>
                <w:sz w:val="24"/>
              </w:rPr>
              <w:t>项目主要经济技术指标见表2-1，项目主要</w:t>
            </w:r>
            <w:r>
              <w:rPr>
                <w:rFonts w:hint="eastAsia"/>
                <w:sz w:val="24"/>
                <w:lang w:val="en-US" w:eastAsia="zh-CN"/>
              </w:rPr>
              <w:t>建设内容</w:t>
            </w:r>
            <w:r>
              <w:rPr>
                <w:sz w:val="24"/>
              </w:rPr>
              <w:t>见表2-2。</w:t>
            </w:r>
          </w:p>
          <w:p w14:paraId="361394E0">
            <w:pPr>
              <w:jc w:val="center"/>
              <w:rPr>
                <w:b/>
                <w:bCs/>
                <w:sz w:val="24"/>
                <w:szCs w:val="24"/>
              </w:rPr>
            </w:pPr>
            <w:r>
              <w:rPr>
                <w:b/>
                <w:bCs/>
                <w:sz w:val="24"/>
                <w:szCs w:val="24"/>
              </w:rPr>
              <w:t>表2-1 项目主要经济技术指标</w:t>
            </w:r>
          </w:p>
          <w:tbl>
            <w:tblPr>
              <w:tblStyle w:val="5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959"/>
              <w:gridCol w:w="1911"/>
              <w:gridCol w:w="962"/>
              <w:gridCol w:w="1356"/>
              <w:gridCol w:w="2227"/>
            </w:tblGrid>
            <w:tr w14:paraId="3E3D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650B3CAC">
                  <w:pPr>
                    <w:jc w:val="center"/>
                    <w:rPr>
                      <w:b/>
                      <w:szCs w:val="21"/>
                    </w:rPr>
                  </w:pPr>
                  <w:r>
                    <w:rPr>
                      <w:b/>
                      <w:szCs w:val="21"/>
                    </w:rPr>
                    <w:t>序号</w:t>
                  </w:r>
                </w:p>
              </w:tc>
              <w:tc>
                <w:tcPr>
                  <w:tcW w:w="1712" w:type="pct"/>
                  <w:gridSpan w:val="2"/>
                  <w:vAlign w:val="center"/>
                </w:tcPr>
                <w:p w14:paraId="7CBBE50A">
                  <w:pPr>
                    <w:jc w:val="center"/>
                    <w:rPr>
                      <w:b/>
                      <w:szCs w:val="21"/>
                    </w:rPr>
                  </w:pPr>
                  <w:r>
                    <w:rPr>
                      <w:b/>
                      <w:szCs w:val="21"/>
                    </w:rPr>
                    <w:t>项目</w:t>
                  </w:r>
                </w:p>
              </w:tc>
              <w:tc>
                <w:tcPr>
                  <w:tcW w:w="574" w:type="pct"/>
                  <w:vAlign w:val="center"/>
                </w:tcPr>
                <w:p w14:paraId="4DDB36E3">
                  <w:pPr>
                    <w:jc w:val="center"/>
                    <w:rPr>
                      <w:b/>
                      <w:szCs w:val="21"/>
                    </w:rPr>
                  </w:pPr>
                  <w:r>
                    <w:rPr>
                      <w:b/>
                      <w:szCs w:val="21"/>
                    </w:rPr>
                    <w:t>单位</w:t>
                  </w:r>
                </w:p>
              </w:tc>
              <w:tc>
                <w:tcPr>
                  <w:tcW w:w="809" w:type="pct"/>
                  <w:vAlign w:val="center"/>
                </w:tcPr>
                <w:p w14:paraId="241D26A3">
                  <w:pPr>
                    <w:jc w:val="center"/>
                    <w:rPr>
                      <w:b/>
                      <w:szCs w:val="21"/>
                    </w:rPr>
                  </w:pPr>
                  <w:r>
                    <w:rPr>
                      <w:b/>
                      <w:szCs w:val="21"/>
                    </w:rPr>
                    <w:t>规模</w:t>
                  </w:r>
                </w:p>
              </w:tc>
              <w:tc>
                <w:tcPr>
                  <w:tcW w:w="1329" w:type="pct"/>
                  <w:vAlign w:val="center"/>
                </w:tcPr>
                <w:p w14:paraId="3BBFCF4B">
                  <w:pPr>
                    <w:jc w:val="center"/>
                    <w:rPr>
                      <w:rFonts w:hint="eastAsia" w:eastAsia="宋体"/>
                      <w:b/>
                      <w:szCs w:val="21"/>
                      <w:lang w:val="en-US" w:eastAsia="zh-CN"/>
                    </w:rPr>
                  </w:pPr>
                  <w:r>
                    <w:rPr>
                      <w:rFonts w:hint="eastAsia"/>
                      <w:b/>
                      <w:szCs w:val="21"/>
                      <w:lang w:val="en-US" w:eastAsia="zh-CN"/>
                    </w:rPr>
                    <w:t>备注</w:t>
                  </w:r>
                </w:p>
              </w:tc>
            </w:tr>
            <w:tr w14:paraId="186D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restart"/>
                  <w:vAlign w:val="center"/>
                </w:tcPr>
                <w:p w14:paraId="05F96801">
                  <w:pPr>
                    <w:jc w:val="center"/>
                    <w:rPr>
                      <w:b w:val="0"/>
                      <w:bCs w:val="0"/>
                      <w:szCs w:val="21"/>
                    </w:rPr>
                  </w:pPr>
                  <w:r>
                    <w:rPr>
                      <w:b w:val="0"/>
                      <w:bCs w:val="0"/>
                      <w:szCs w:val="21"/>
                    </w:rPr>
                    <w:t>1</w:t>
                  </w:r>
                </w:p>
              </w:tc>
              <w:tc>
                <w:tcPr>
                  <w:tcW w:w="1712" w:type="pct"/>
                  <w:gridSpan w:val="2"/>
                  <w:vAlign w:val="center"/>
                </w:tcPr>
                <w:p w14:paraId="44CC4F21">
                  <w:pPr>
                    <w:widowControl/>
                    <w:adjustRightInd w:val="0"/>
                    <w:snapToGrid w:val="0"/>
                    <w:jc w:val="center"/>
                    <w:rPr>
                      <w:rFonts w:hint="default" w:eastAsia="宋体"/>
                      <w:b w:val="0"/>
                      <w:bCs w:val="0"/>
                      <w:szCs w:val="21"/>
                      <w:lang w:val="en-US" w:eastAsia="zh-CN"/>
                    </w:rPr>
                  </w:pPr>
                  <w:r>
                    <w:rPr>
                      <w:rFonts w:hint="eastAsia"/>
                      <w:b w:val="0"/>
                      <w:bCs w:val="0"/>
                      <w:kern w:val="0"/>
                      <w:szCs w:val="21"/>
                      <w:lang w:val="en-US" w:eastAsia="zh-CN"/>
                    </w:rPr>
                    <w:t>规划总用地面积</w:t>
                  </w:r>
                </w:p>
              </w:tc>
              <w:tc>
                <w:tcPr>
                  <w:tcW w:w="574" w:type="pct"/>
                  <w:vAlign w:val="center"/>
                </w:tcPr>
                <w:p w14:paraId="5D427003">
                  <w:pPr>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7C3703E0">
                  <w:pPr>
                    <w:widowControl/>
                    <w:adjustRightInd w:val="0"/>
                    <w:snapToGrid w:val="0"/>
                    <w:jc w:val="center"/>
                    <w:rPr>
                      <w:rFonts w:hint="default" w:eastAsia="宋体"/>
                      <w:b w:val="0"/>
                      <w:bCs w:val="0"/>
                      <w:kern w:val="0"/>
                      <w:szCs w:val="21"/>
                      <w:lang w:val="en-US" w:eastAsia="zh-CN"/>
                    </w:rPr>
                  </w:pPr>
                  <w:r>
                    <w:rPr>
                      <w:rFonts w:hint="eastAsia"/>
                      <w:b w:val="0"/>
                      <w:bCs w:val="0"/>
                      <w:kern w:val="0"/>
                      <w:szCs w:val="21"/>
                      <w:lang w:val="en-US" w:eastAsia="zh-CN"/>
                    </w:rPr>
                    <w:t>200.23</w:t>
                  </w:r>
                </w:p>
              </w:tc>
              <w:tc>
                <w:tcPr>
                  <w:tcW w:w="1329" w:type="pct"/>
                  <w:vAlign w:val="center"/>
                </w:tcPr>
                <w:p w14:paraId="4979A8A8">
                  <w:pPr>
                    <w:widowControl/>
                    <w:adjustRightInd w:val="0"/>
                    <w:snapToGrid w:val="0"/>
                    <w:jc w:val="center"/>
                    <w:rPr>
                      <w:rFonts w:hint="eastAsia"/>
                      <w:b w:val="0"/>
                      <w:bCs w:val="0"/>
                      <w:kern w:val="0"/>
                      <w:szCs w:val="21"/>
                      <w:lang w:val="en-US" w:eastAsia="zh-CN"/>
                    </w:rPr>
                  </w:pPr>
                </w:p>
              </w:tc>
            </w:tr>
            <w:tr w14:paraId="2AD6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continue"/>
                  <w:vAlign w:val="center"/>
                </w:tcPr>
                <w:p w14:paraId="365448F6">
                  <w:pPr>
                    <w:jc w:val="center"/>
                    <w:rPr>
                      <w:b w:val="0"/>
                      <w:bCs w:val="0"/>
                      <w:szCs w:val="21"/>
                    </w:rPr>
                  </w:pPr>
                </w:p>
              </w:tc>
              <w:tc>
                <w:tcPr>
                  <w:tcW w:w="1712" w:type="pct"/>
                  <w:gridSpan w:val="2"/>
                  <w:vAlign w:val="center"/>
                </w:tcPr>
                <w:p w14:paraId="4D6E3EC2">
                  <w:pPr>
                    <w:widowControl/>
                    <w:adjustRightInd w:val="0"/>
                    <w:snapToGrid w:val="0"/>
                    <w:jc w:val="center"/>
                    <w:rPr>
                      <w:rFonts w:hint="default" w:eastAsia="宋体"/>
                      <w:b w:val="0"/>
                      <w:bCs w:val="0"/>
                      <w:szCs w:val="21"/>
                      <w:lang w:val="en-US" w:eastAsia="zh-CN"/>
                    </w:rPr>
                  </w:pPr>
                  <w:r>
                    <w:rPr>
                      <w:rFonts w:hint="eastAsia"/>
                      <w:b w:val="0"/>
                      <w:bCs w:val="0"/>
                      <w:szCs w:val="21"/>
                      <w:lang w:val="en-US" w:eastAsia="zh-CN"/>
                    </w:rPr>
                    <w:t>净用地面积</w:t>
                  </w:r>
                </w:p>
              </w:tc>
              <w:tc>
                <w:tcPr>
                  <w:tcW w:w="574" w:type="pct"/>
                  <w:vAlign w:val="center"/>
                </w:tcPr>
                <w:p w14:paraId="042424C0">
                  <w:pPr>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60DDB53A">
                  <w:pPr>
                    <w:widowControl/>
                    <w:adjustRightInd w:val="0"/>
                    <w:snapToGrid w:val="0"/>
                    <w:jc w:val="center"/>
                    <w:rPr>
                      <w:rFonts w:hint="default" w:eastAsia="宋体"/>
                      <w:b w:val="0"/>
                      <w:bCs w:val="0"/>
                      <w:kern w:val="0"/>
                      <w:szCs w:val="21"/>
                      <w:lang w:val="en-US" w:eastAsia="zh-CN"/>
                    </w:rPr>
                  </w:pPr>
                  <w:r>
                    <w:rPr>
                      <w:rFonts w:hint="eastAsia"/>
                      <w:b w:val="0"/>
                      <w:bCs w:val="0"/>
                      <w:kern w:val="0"/>
                      <w:szCs w:val="21"/>
                      <w:lang w:val="en-US" w:eastAsia="zh-CN"/>
                    </w:rPr>
                    <w:t>2000.23</w:t>
                  </w:r>
                </w:p>
              </w:tc>
              <w:tc>
                <w:tcPr>
                  <w:tcW w:w="1329" w:type="pct"/>
                  <w:vAlign w:val="center"/>
                </w:tcPr>
                <w:p w14:paraId="4C2CD660">
                  <w:pPr>
                    <w:widowControl/>
                    <w:adjustRightInd w:val="0"/>
                    <w:snapToGrid w:val="0"/>
                    <w:jc w:val="center"/>
                    <w:rPr>
                      <w:rFonts w:hint="eastAsia"/>
                      <w:b w:val="0"/>
                      <w:bCs w:val="0"/>
                      <w:kern w:val="0"/>
                      <w:szCs w:val="21"/>
                      <w:lang w:val="en-US" w:eastAsia="zh-CN"/>
                    </w:rPr>
                  </w:pPr>
                </w:p>
              </w:tc>
            </w:tr>
            <w:tr w14:paraId="460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restart"/>
                  <w:vAlign w:val="center"/>
                </w:tcPr>
                <w:p w14:paraId="001AF20F">
                  <w:pPr>
                    <w:jc w:val="center"/>
                    <w:rPr>
                      <w:rFonts w:hint="eastAsia" w:eastAsia="宋体"/>
                      <w:b w:val="0"/>
                      <w:bCs w:val="0"/>
                      <w:szCs w:val="21"/>
                      <w:lang w:val="en-US" w:eastAsia="zh-CN"/>
                    </w:rPr>
                  </w:pPr>
                  <w:r>
                    <w:rPr>
                      <w:rFonts w:hint="eastAsia"/>
                      <w:b w:val="0"/>
                      <w:bCs w:val="0"/>
                      <w:szCs w:val="21"/>
                      <w:lang w:val="en-US" w:eastAsia="zh-CN"/>
                    </w:rPr>
                    <w:t>2</w:t>
                  </w:r>
                </w:p>
              </w:tc>
              <w:tc>
                <w:tcPr>
                  <w:tcW w:w="1712" w:type="pct"/>
                  <w:gridSpan w:val="2"/>
                  <w:vAlign w:val="center"/>
                </w:tcPr>
                <w:p w14:paraId="1C33C7FC">
                  <w:pPr>
                    <w:widowControl/>
                    <w:adjustRightInd w:val="0"/>
                    <w:snapToGrid w:val="0"/>
                    <w:jc w:val="center"/>
                    <w:rPr>
                      <w:rFonts w:hint="default" w:eastAsia="宋体"/>
                      <w:b w:val="0"/>
                      <w:bCs w:val="0"/>
                      <w:szCs w:val="21"/>
                      <w:lang w:val="en-US" w:eastAsia="zh-CN"/>
                    </w:rPr>
                  </w:pPr>
                  <w:r>
                    <w:rPr>
                      <w:rFonts w:hint="eastAsia"/>
                      <w:b w:val="0"/>
                      <w:bCs w:val="0"/>
                      <w:szCs w:val="21"/>
                      <w:lang w:val="en-US" w:eastAsia="zh-CN"/>
                    </w:rPr>
                    <w:t>总建筑面积</w:t>
                  </w:r>
                </w:p>
              </w:tc>
              <w:tc>
                <w:tcPr>
                  <w:tcW w:w="574" w:type="pct"/>
                  <w:vAlign w:val="center"/>
                </w:tcPr>
                <w:p w14:paraId="2EB087AF">
                  <w:pPr>
                    <w:widowControl/>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595DC8C2">
                  <w:pPr>
                    <w:widowControl/>
                    <w:autoSpaceDN w:val="0"/>
                    <w:adjustRightInd w:val="0"/>
                    <w:snapToGrid w:val="0"/>
                    <w:jc w:val="center"/>
                    <w:textAlignment w:val="center"/>
                    <w:rPr>
                      <w:rFonts w:hint="default" w:eastAsia="宋体"/>
                      <w:b w:val="0"/>
                      <w:bCs w:val="0"/>
                      <w:kern w:val="0"/>
                      <w:szCs w:val="21"/>
                      <w:lang w:val="en-US" w:eastAsia="zh-CN"/>
                    </w:rPr>
                  </w:pPr>
                  <w:r>
                    <w:rPr>
                      <w:rFonts w:hint="eastAsia"/>
                      <w:b w:val="0"/>
                      <w:bCs w:val="0"/>
                      <w:kern w:val="0"/>
                      <w:szCs w:val="21"/>
                      <w:lang w:val="en-US" w:eastAsia="zh-CN"/>
                    </w:rPr>
                    <w:t>887.45</w:t>
                  </w:r>
                </w:p>
              </w:tc>
              <w:tc>
                <w:tcPr>
                  <w:tcW w:w="1329" w:type="pct"/>
                  <w:vAlign w:val="center"/>
                </w:tcPr>
                <w:p w14:paraId="6C3AD1EC">
                  <w:pPr>
                    <w:widowControl/>
                    <w:autoSpaceDN w:val="0"/>
                    <w:adjustRightInd w:val="0"/>
                    <w:snapToGrid w:val="0"/>
                    <w:jc w:val="center"/>
                    <w:textAlignment w:val="center"/>
                    <w:rPr>
                      <w:rFonts w:hint="eastAsia"/>
                      <w:b w:val="0"/>
                      <w:bCs w:val="0"/>
                      <w:kern w:val="0"/>
                      <w:szCs w:val="21"/>
                      <w:lang w:val="en-US" w:eastAsia="zh-CN"/>
                    </w:rPr>
                  </w:pPr>
                </w:p>
              </w:tc>
            </w:tr>
            <w:tr w14:paraId="3FF3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continue"/>
                  <w:vAlign w:val="center"/>
                </w:tcPr>
                <w:p w14:paraId="06D6FD4A">
                  <w:pPr>
                    <w:jc w:val="center"/>
                    <w:rPr>
                      <w:b w:val="0"/>
                      <w:bCs w:val="0"/>
                      <w:szCs w:val="21"/>
                    </w:rPr>
                  </w:pPr>
                </w:p>
              </w:tc>
              <w:tc>
                <w:tcPr>
                  <w:tcW w:w="572" w:type="pct"/>
                  <w:vMerge w:val="restart"/>
                  <w:vAlign w:val="center"/>
                </w:tcPr>
                <w:p w14:paraId="0BCEA40C">
                  <w:pPr>
                    <w:jc w:val="center"/>
                    <w:rPr>
                      <w:rFonts w:hint="eastAsia" w:eastAsia="宋体"/>
                      <w:b w:val="0"/>
                      <w:bCs w:val="0"/>
                      <w:szCs w:val="21"/>
                      <w:lang w:val="en-US" w:eastAsia="zh-CN"/>
                    </w:rPr>
                  </w:pPr>
                  <w:r>
                    <w:rPr>
                      <w:rFonts w:hint="eastAsia"/>
                      <w:b w:val="0"/>
                      <w:bCs w:val="0"/>
                      <w:szCs w:val="21"/>
                      <w:lang w:val="en-US" w:eastAsia="zh-CN"/>
                    </w:rPr>
                    <w:t>其中</w:t>
                  </w:r>
                </w:p>
              </w:tc>
              <w:tc>
                <w:tcPr>
                  <w:tcW w:w="1140" w:type="pct"/>
                  <w:vAlign w:val="center"/>
                </w:tcPr>
                <w:p w14:paraId="5CE3CF0C">
                  <w:pPr>
                    <w:widowControl/>
                    <w:autoSpaceDN w:val="0"/>
                    <w:adjustRightInd w:val="0"/>
                    <w:snapToGrid w:val="0"/>
                    <w:jc w:val="center"/>
                    <w:textAlignment w:val="center"/>
                    <w:rPr>
                      <w:rFonts w:hint="eastAsia" w:eastAsia="宋体"/>
                      <w:b w:val="0"/>
                      <w:bCs w:val="0"/>
                      <w:szCs w:val="21"/>
                      <w:lang w:val="en-US" w:eastAsia="zh-CN"/>
                    </w:rPr>
                  </w:pPr>
                  <w:r>
                    <w:rPr>
                      <w:rFonts w:hint="eastAsia"/>
                      <w:b w:val="0"/>
                      <w:bCs w:val="0"/>
                      <w:szCs w:val="21"/>
                      <w:lang w:val="en-US" w:eastAsia="zh-CN"/>
                    </w:rPr>
                    <w:t>站房</w:t>
                  </w:r>
                </w:p>
              </w:tc>
              <w:tc>
                <w:tcPr>
                  <w:tcW w:w="574" w:type="pct"/>
                  <w:vAlign w:val="center"/>
                </w:tcPr>
                <w:p w14:paraId="2BC48247">
                  <w:pPr>
                    <w:widowControl/>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45B657C0">
                  <w:pPr>
                    <w:widowControl/>
                    <w:adjustRightInd w:val="0"/>
                    <w:snapToGrid w:val="0"/>
                    <w:jc w:val="center"/>
                    <w:rPr>
                      <w:rFonts w:hint="default" w:eastAsia="宋体"/>
                      <w:b w:val="0"/>
                      <w:bCs w:val="0"/>
                      <w:kern w:val="0"/>
                      <w:szCs w:val="21"/>
                      <w:lang w:val="en-US" w:eastAsia="zh-CN"/>
                    </w:rPr>
                  </w:pPr>
                  <w:r>
                    <w:rPr>
                      <w:rFonts w:hint="eastAsia"/>
                      <w:b w:val="0"/>
                      <w:bCs w:val="0"/>
                      <w:kern w:val="0"/>
                      <w:szCs w:val="21"/>
                      <w:lang w:val="en-US" w:eastAsia="zh-CN"/>
                    </w:rPr>
                    <w:t>225.50</w:t>
                  </w:r>
                </w:p>
              </w:tc>
              <w:tc>
                <w:tcPr>
                  <w:tcW w:w="1329" w:type="pct"/>
                  <w:vAlign w:val="center"/>
                </w:tcPr>
                <w:p w14:paraId="5B14DE7F">
                  <w:pPr>
                    <w:widowControl/>
                    <w:adjustRightInd w:val="0"/>
                    <w:snapToGrid w:val="0"/>
                    <w:jc w:val="center"/>
                    <w:rPr>
                      <w:rFonts w:hint="eastAsia"/>
                      <w:b w:val="0"/>
                      <w:bCs w:val="0"/>
                      <w:kern w:val="0"/>
                      <w:szCs w:val="21"/>
                      <w:lang w:val="en-US" w:eastAsia="zh-CN"/>
                    </w:rPr>
                  </w:pPr>
                  <w:r>
                    <w:rPr>
                      <w:rFonts w:hint="eastAsia"/>
                      <w:b w:val="0"/>
                      <w:bCs w:val="0"/>
                      <w:szCs w:val="21"/>
                      <w:lang w:val="en-US" w:eastAsia="zh-CN"/>
                    </w:rPr>
                    <w:t>二层</w:t>
                  </w:r>
                </w:p>
              </w:tc>
            </w:tr>
            <w:tr w14:paraId="51F4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continue"/>
                  <w:vAlign w:val="center"/>
                </w:tcPr>
                <w:p w14:paraId="2201DCE7">
                  <w:pPr>
                    <w:jc w:val="center"/>
                    <w:rPr>
                      <w:b w:val="0"/>
                      <w:bCs w:val="0"/>
                      <w:szCs w:val="21"/>
                    </w:rPr>
                  </w:pPr>
                </w:p>
              </w:tc>
              <w:tc>
                <w:tcPr>
                  <w:tcW w:w="572" w:type="pct"/>
                  <w:vMerge w:val="continue"/>
                  <w:vAlign w:val="center"/>
                </w:tcPr>
                <w:p w14:paraId="487ED6D7">
                  <w:pPr>
                    <w:jc w:val="center"/>
                    <w:rPr>
                      <w:b w:val="0"/>
                      <w:bCs w:val="0"/>
                      <w:szCs w:val="21"/>
                    </w:rPr>
                  </w:pPr>
                </w:p>
              </w:tc>
              <w:tc>
                <w:tcPr>
                  <w:tcW w:w="1140" w:type="pct"/>
                  <w:vAlign w:val="center"/>
                </w:tcPr>
                <w:p w14:paraId="404FC459">
                  <w:pPr>
                    <w:widowControl/>
                    <w:autoSpaceDN w:val="0"/>
                    <w:adjustRightInd w:val="0"/>
                    <w:snapToGrid w:val="0"/>
                    <w:jc w:val="center"/>
                    <w:textAlignment w:val="center"/>
                    <w:rPr>
                      <w:rFonts w:hint="default" w:eastAsia="宋体"/>
                      <w:b w:val="0"/>
                      <w:bCs w:val="0"/>
                      <w:szCs w:val="21"/>
                      <w:lang w:val="en-US" w:eastAsia="zh-CN"/>
                    </w:rPr>
                  </w:pPr>
                  <w:r>
                    <w:rPr>
                      <w:rFonts w:hint="eastAsia"/>
                      <w:b w:val="0"/>
                      <w:bCs w:val="0"/>
                      <w:szCs w:val="21"/>
                      <w:lang w:val="en-US" w:eastAsia="zh-CN"/>
                    </w:rPr>
                    <w:t>辅房</w:t>
                  </w:r>
                </w:p>
              </w:tc>
              <w:tc>
                <w:tcPr>
                  <w:tcW w:w="574" w:type="pct"/>
                  <w:vAlign w:val="center"/>
                </w:tcPr>
                <w:p w14:paraId="6068DE26">
                  <w:pPr>
                    <w:widowControl/>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583918C8">
                  <w:pPr>
                    <w:widowControl/>
                    <w:adjustRightInd w:val="0"/>
                    <w:snapToGrid w:val="0"/>
                    <w:jc w:val="center"/>
                    <w:rPr>
                      <w:rFonts w:hint="default" w:eastAsia="宋体"/>
                      <w:b w:val="0"/>
                      <w:bCs w:val="0"/>
                      <w:szCs w:val="21"/>
                      <w:lang w:val="en-US" w:eastAsia="zh-CN"/>
                    </w:rPr>
                  </w:pPr>
                  <w:r>
                    <w:rPr>
                      <w:rFonts w:hint="eastAsia"/>
                      <w:b w:val="0"/>
                      <w:bCs w:val="0"/>
                      <w:szCs w:val="21"/>
                      <w:lang w:val="en-US" w:eastAsia="zh-CN"/>
                    </w:rPr>
                    <w:t>336.00</w:t>
                  </w:r>
                </w:p>
              </w:tc>
              <w:tc>
                <w:tcPr>
                  <w:tcW w:w="1329" w:type="pct"/>
                  <w:vAlign w:val="center"/>
                </w:tcPr>
                <w:p w14:paraId="27F2A3AE">
                  <w:pPr>
                    <w:widowControl/>
                    <w:adjustRightInd w:val="0"/>
                    <w:snapToGrid w:val="0"/>
                    <w:jc w:val="center"/>
                    <w:rPr>
                      <w:rFonts w:hint="default"/>
                      <w:b w:val="0"/>
                      <w:bCs w:val="0"/>
                      <w:szCs w:val="21"/>
                      <w:lang w:val="en-US" w:eastAsia="zh-CN"/>
                    </w:rPr>
                  </w:pPr>
                  <w:r>
                    <w:rPr>
                      <w:rFonts w:hint="eastAsia"/>
                      <w:b w:val="0"/>
                      <w:bCs w:val="0"/>
                      <w:szCs w:val="21"/>
                      <w:lang w:val="en-US" w:eastAsia="zh-CN"/>
                    </w:rPr>
                    <w:t>三层</w:t>
                  </w:r>
                </w:p>
              </w:tc>
            </w:tr>
            <w:tr w14:paraId="08D6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Merge w:val="continue"/>
                  <w:vAlign w:val="center"/>
                </w:tcPr>
                <w:p w14:paraId="6F1117A9">
                  <w:pPr>
                    <w:jc w:val="center"/>
                    <w:rPr>
                      <w:rFonts w:hint="eastAsia" w:eastAsia="宋体"/>
                      <w:b w:val="0"/>
                      <w:bCs w:val="0"/>
                      <w:szCs w:val="21"/>
                      <w:lang w:eastAsia="zh-CN"/>
                    </w:rPr>
                  </w:pPr>
                </w:p>
              </w:tc>
              <w:tc>
                <w:tcPr>
                  <w:tcW w:w="572" w:type="pct"/>
                  <w:vMerge w:val="continue"/>
                  <w:vAlign w:val="center"/>
                </w:tcPr>
                <w:p w14:paraId="31F480E4">
                  <w:pPr>
                    <w:jc w:val="center"/>
                    <w:rPr>
                      <w:rFonts w:hint="eastAsia"/>
                      <w:b w:val="0"/>
                      <w:bCs w:val="0"/>
                      <w:szCs w:val="21"/>
                      <w:lang w:val="en-US" w:eastAsia="zh-CN"/>
                    </w:rPr>
                  </w:pPr>
                </w:p>
              </w:tc>
              <w:tc>
                <w:tcPr>
                  <w:tcW w:w="1140" w:type="pct"/>
                  <w:vAlign w:val="center"/>
                </w:tcPr>
                <w:p w14:paraId="71D105ED">
                  <w:pPr>
                    <w:widowControl/>
                    <w:autoSpaceDN w:val="0"/>
                    <w:adjustRightInd w:val="0"/>
                    <w:snapToGrid w:val="0"/>
                    <w:jc w:val="center"/>
                    <w:textAlignment w:val="center"/>
                    <w:rPr>
                      <w:rFonts w:hint="default" w:eastAsia="宋体"/>
                      <w:b w:val="0"/>
                      <w:bCs w:val="0"/>
                      <w:szCs w:val="21"/>
                      <w:lang w:val="en-US" w:eastAsia="zh-CN"/>
                    </w:rPr>
                  </w:pPr>
                  <w:r>
                    <w:rPr>
                      <w:rFonts w:hint="eastAsia"/>
                      <w:b w:val="0"/>
                      <w:bCs w:val="0"/>
                      <w:szCs w:val="21"/>
                      <w:lang w:val="en-US" w:eastAsia="zh-CN"/>
                    </w:rPr>
                    <w:t>加油区罩棚</w:t>
                  </w:r>
                </w:p>
              </w:tc>
              <w:tc>
                <w:tcPr>
                  <w:tcW w:w="574" w:type="pct"/>
                  <w:vAlign w:val="center"/>
                </w:tcPr>
                <w:p w14:paraId="792A0ECD">
                  <w:pPr>
                    <w:widowControl/>
                    <w:adjustRightInd w:val="0"/>
                    <w:snapToGrid w:val="0"/>
                    <w:jc w:val="center"/>
                    <w:rPr>
                      <w:b w:val="0"/>
                      <w:bCs w:val="0"/>
                      <w:szCs w:val="21"/>
                    </w:rPr>
                  </w:pPr>
                  <w:r>
                    <w:rPr>
                      <w:b w:val="0"/>
                      <w:bCs w:val="0"/>
                      <w:kern w:val="0"/>
                      <w:szCs w:val="21"/>
                    </w:rPr>
                    <w:t>m</w:t>
                  </w:r>
                  <w:r>
                    <w:rPr>
                      <w:b w:val="0"/>
                      <w:bCs w:val="0"/>
                      <w:kern w:val="0"/>
                      <w:szCs w:val="21"/>
                      <w:vertAlign w:val="superscript"/>
                    </w:rPr>
                    <w:t>2</w:t>
                  </w:r>
                </w:p>
              </w:tc>
              <w:tc>
                <w:tcPr>
                  <w:tcW w:w="809" w:type="pct"/>
                  <w:vAlign w:val="center"/>
                </w:tcPr>
                <w:p w14:paraId="7D687076">
                  <w:pPr>
                    <w:widowControl/>
                    <w:adjustRightInd w:val="0"/>
                    <w:snapToGrid w:val="0"/>
                    <w:jc w:val="center"/>
                    <w:rPr>
                      <w:rFonts w:hint="default" w:eastAsia="宋体"/>
                      <w:b w:val="0"/>
                      <w:bCs w:val="0"/>
                      <w:szCs w:val="21"/>
                      <w:lang w:val="en-US" w:eastAsia="zh-CN"/>
                    </w:rPr>
                  </w:pPr>
                  <w:r>
                    <w:rPr>
                      <w:rFonts w:hint="eastAsia"/>
                      <w:b w:val="0"/>
                      <w:bCs w:val="0"/>
                      <w:szCs w:val="21"/>
                      <w:lang w:val="en-US" w:eastAsia="zh-CN"/>
                    </w:rPr>
                    <w:t>325.95</w:t>
                  </w:r>
                </w:p>
              </w:tc>
              <w:tc>
                <w:tcPr>
                  <w:tcW w:w="1329" w:type="pct"/>
                  <w:vAlign w:val="center"/>
                </w:tcPr>
                <w:p w14:paraId="6909BA4F">
                  <w:pPr>
                    <w:jc w:val="center"/>
                    <w:rPr>
                      <w:rFonts w:hint="default"/>
                      <w:b w:val="0"/>
                      <w:bCs w:val="0"/>
                      <w:szCs w:val="21"/>
                      <w:lang w:val="en-US" w:eastAsia="zh-CN"/>
                    </w:rPr>
                  </w:pPr>
                  <w:r>
                    <w:rPr>
                      <w:rFonts w:hint="eastAsia"/>
                      <w:b w:val="0"/>
                      <w:bCs w:val="0"/>
                      <w:szCs w:val="21"/>
                      <w:lang w:val="en-US" w:eastAsia="zh-CN"/>
                    </w:rPr>
                    <w:t>投影面积一半</w:t>
                  </w:r>
                </w:p>
              </w:tc>
            </w:tr>
            <w:tr w14:paraId="5140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09C28B13">
                  <w:pPr>
                    <w:jc w:val="center"/>
                    <w:rPr>
                      <w:rFonts w:hint="default" w:eastAsia="宋体"/>
                      <w:b w:val="0"/>
                      <w:bCs w:val="0"/>
                      <w:szCs w:val="21"/>
                      <w:lang w:val="en-US" w:eastAsia="zh-CN"/>
                    </w:rPr>
                  </w:pPr>
                  <w:r>
                    <w:rPr>
                      <w:rFonts w:hint="eastAsia"/>
                      <w:b w:val="0"/>
                      <w:bCs w:val="0"/>
                      <w:szCs w:val="21"/>
                      <w:lang w:val="en-US" w:eastAsia="zh-CN"/>
                    </w:rPr>
                    <w:t>3</w:t>
                  </w:r>
                </w:p>
              </w:tc>
              <w:tc>
                <w:tcPr>
                  <w:tcW w:w="1712" w:type="pct"/>
                  <w:gridSpan w:val="2"/>
                  <w:vAlign w:val="center"/>
                </w:tcPr>
                <w:p w14:paraId="1A1D1F92">
                  <w:pPr>
                    <w:widowControl/>
                    <w:autoSpaceDN w:val="0"/>
                    <w:adjustRightInd w:val="0"/>
                    <w:snapToGrid w:val="0"/>
                    <w:jc w:val="center"/>
                    <w:textAlignment w:val="center"/>
                    <w:rPr>
                      <w:rFonts w:hint="default" w:eastAsia="宋体"/>
                      <w:b w:val="0"/>
                      <w:bCs w:val="0"/>
                      <w:kern w:val="0"/>
                      <w:szCs w:val="21"/>
                      <w:lang w:val="en-US" w:eastAsia="zh-CN"/>
                    </w:rPr>
                  </w:pPr>
                  <w:r>
                    <w:rPr>
                      <w:rFonts w:hint="eastAsia"/>
                      <w:b w:val="0"/>
                      <w:bCs w:val="0"/>
                      <w:kern w:val="0"/>
                      <w:szCs w:val="21"/>
                      <w:lang w:val="en-US" w:eastAsia="zh-CN"/>
                    </w:rPr>
                    <w:t>建构（筑）物占地</w:t>
                  </w:r>
                </w:p>
              </w:tc>
              <w:tc>
                <w:tcPr>
                  <w:tcW w:w="574" w:type="pct"/>
                  <w:vAlign w:val="center"/>
                </w:tcPr>
                <w:p w14:paraId="1EA69120">
                  <w:pPr>
                    <w:widowControl/>
                    <w:adjustRightInd w:val="0"/>
                    <w:snapToGrid w:val="0"/>
                    <w:jc w:val="center"/>
                    <w:rPr>
                      <w:b w:val="0"/>
                      <w:bCs w:val="0"/>
                      <w:kern w:val="0"/>
                      <w:szCs w:val="21"/>
                    </w:rPr>
                  </w:pPr>
                  <w:r>
                    <w:rPr>
                      <w:b w:val="0"/>
                      <w:bCs w:val="0"/>
                      <w:kern w:val="0"/>
                      <w:szCs w:val="21"/>
                    </w:rPr>
                    <w:t>m</w:t>
                  </w:r>
                  <w:r>
                    <w:rPr>
                      <w:b w:val="0"/>
                      <w:bCs w:val="0"/>
                      <w:kern w:val="0"/>
                      <w:szCs w:val="21"/>
                      <w:vertAlign w:val="superscript"/>
                    </w:rPr>
                    <w:t>2</w:t>
                  </w:r>
                </w:p>
              </w:tc>
              <w:tc>
                <w:tcPr>
                  <w:tcW w:w="809" w:type="pct"/>
                  <w:vAlign w:val="center"/>
                </w:tcPr>
                <w:p w14:paraId="085783A3">
                  <w:pPr>
                    <w:jc w:val="center"/>
                    <w:rPr>
                      <w:rFonts w:hint="default" w:eastAsia="宋体"/>
                      <w:b w:val="0"/>
                      <w:bCs w:val="0"/>
                      <w:szCs w:val="21"/>
                      <w:lang w:val="en-US" w:eastAsia="zh-CN"/>
                    </w:rPr>
                  </w:pPr>
                  <w:r>
                    <w:rPr>
                      <w:rFonts w:hint="eastAsia"/>
                      <w:b w:val="0"/>
                      <w:bCs w:val="0"/>
                      <w:szCs w:val="21"/>
                      <w:lang w:val="en-US" w:eastAsia="zh-CN"/>
                    </w:rPr>
                    <w:t>886.64</w:t>
                  </w:r>
                </w:p>
              </w:tc>
              <w:tc>
                <w:tcPr>
                  <w:tcW w:w="1329" w:type="pct"/>
                  <w:vAlign w:val="center"/>
                </w:tcPr>
                <w:p w14:paraId="52CE4344">
                  <w:pPr>
                    <w:jc w:val="center"/>
                    <w:rPr>
                      <w:rFonts w:hint="default"/>
                      <w:b w:val="0"/>
                      <w:bCs w:val="0"/>
                      <w:szCs w:val="21"/>
                      <w:lang w:val="en-US" w:eastAsia="zh-CN"/>
                    </w:rPr>
                  </w:pPr>
                  <w:r>
                    <w:rPr>
                      <w:rFonts w:hint="eastAsia"/>
                      <w:b w:val="0"/>
                      <w:bCs w:val="0"/>
                      <w:szCs w:val="21"/>
                      <w:lang w:val="en-US" w:eastAsia="zh-CN"/>
                    </w:rPr>
                    <w:t>投影面积</w:t>
                  </w:r>
                </w:p>
              </w:tc>
            </w:tr>
            <w:tr w14:paraId="3343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69890FE9">
                  <w:pPr>
                    <w:jc w:val="center"/>
                    <w:rPr>
                      <w:rFonts w:hint="default" w:eastAsia="宋体"/>
                      <w:b w:val="0"/>
                      <w:bCs w:val="0"/>
                      <w:szCs w:val="21"/>
                      <w:lang w:val="en-US" w:eastAsia="zh-CN"/>
                    </w:rPr>
                  </w:pPr>
                  <w:r>
                    <w:rPr>
                      <w:rFonts w:hint="eastAsia"/>
                      <w:b w:val="0"/>
                      <w:bCs w:val="0"/>
                      <w:szCs w:val="21"/>
                      <w:lang w:val="en-US" w:eastAsia="zh-CN"/>
                    </w:rPr>
                    <w:t>4</w:t>
                  </w:r>
                </w:p>
              </w:tc>
              <w:tc>
                <w:tcPr>
                  <w:tcW w:w="1712" w:type="pct"/>
                  <w:gridSpan w:val="2"/>
                  <w:vAlign w:val="center"/>
                </w:tcPr>
                <w:p w14:paraId="4CA70313">
                  <w:pPr>
                    <w:widowControl/>
                    <w:autoSpaceDN w:val="0"/>
                    <w:adjustRightInd w:val="0"/>
                    <w:snapToGrid w:val="0"/>
                    <w:jc w:val="center"/>
                    <w:textAlignment w:val="center"/>
                    <w:rPr>
                      <w:rFonts w:hint="default" w:eastAsia="宋体"/>
                      <w:b w:val="0"/>
                      <w:bCs w:val="0"/>
                      <w:kern w:val="0"/>
                      <w:szCs w:val="21"/>
                      <w:lang w:val="en-US" w:eastAsia="zh-CN"/>
                    </w:rPr>
                  </w:pPr>
                  <w:r>
                    <w:rPr>
                      <w:rFonts w:hint="eastAsia"/>
                      <w:b w:val="0"/>
                      <w:bCs w:val="0"/>
                      <w:kern w:val="0"/>
                      <w:szCs w:val="21"/>
                      <w:lang w:val="en-US" w:eastAsia="zh-CN"/>
                    </w:rPr>
                    <w:t>绿地面积</w:t>
                  </w:r>
                </w:p>
              </w:tc>
              <w:tc>
                <w:tcPr>
                  <w:tcW w:w="574" w:type="pct"/>
                  <w:vAlign w:val="center"/>
                </w:tcPr>
                <w:p w14:paraId="18DE0905">
                  <w:pPr>
                    <w:widowControl/>
                    <w:adjustRightInd w:val="0"/>
                    <w:snapToGrid w:val="0"/>
                    <w:jc w:val="center"/>
                    <w:rPr>
                      <w:b w:val="0"/>
                      <w:bCs w:val="0"/>
                      <w:kern w:val="0"/>
                      <w:szCs w:val="21"/>
                    </w:rPr>
                  </w:pPr>
                  <w:r>
                    <w:rPr>
                      <w:b w:val="0"/>
                      <w:bCs w:val="0"/>
                      <w:kern w:val="0"/>
                      <w:szCs w:val="21"/>
                    </w:rPr>
                    <w:t>m</w:t>
                  </w:r>
                  <w:r>
                    <w:rPr>
                      <w:b w:val="0"/>
                      <w:bCs w:val="0"/>
                      <w:kern w:val="0"/>
                      <w:szCs w:val="21"/>
                      <w:vertAlign w:val="superscript"/>
                    </w:rPr>
                    <w:t>2</w:t>
                  </w:r>
                </w:p>
              </w:tc>
              <w:tc>
                <w:tcPr>
                  <w:tcW w:w="809" w:type="pct"/>
                  <w:vAlign w:val="center"/>
                </w:tcPr>
                <w:p w14:paraId="2FFAD1EC">
                  <w:pPr>
                    <w:jc w:val="center"/>
                    <w:rPr>
                      <w:rFonts w:hint="default"/>
                      <w:b w:val="0"/>
                      <w:bCs w:val="0"/>
                      <w:szCs w:val="21"/>
                      <w:lang w:val="en-US" w:eastAsia="zh-CN"/>
                    </w:rPr>
                  </w:pPr>
                  <w:r>
                    <w:rPr>
                      <w:rFonts w:hint="eastAsia"/>
                      <w:b w:val="0"/>
                      <w:bCs w:val="0"/>
                      <w:szCs w:val="21"/>
                      <w:lang w:val="en-US" w:eastAsia="zh-CN"/>
                    </w:rPr>
                    <w:t>235.65</w:t>
                  </w:r>
                </w:p>
              </w:tc>
              <w:tc>
                <w:tcPr>
                  <w:tcW w:w="1329" w:type="pct"/>
                  <w:vAlign w:val="center"/>
                </w:tcPr>
                <w:p w14:paraId="59F9EB1F">
                  <w:pPr>
                    <w:jc w:val="center"/>
                    <w:rPr>
                      <w:rFonts w:hint="default"/>
                      <w:b w:val="0"/>
                      <w:bCs w:val="0"/>
                      <w:szCs w:val="21"/>
                      <w:lang w:val="en-US" w:eastAsia="zh-CN"/>
                    </w:rPr>
                  </w:pPr>
                </w:p>
              </w:tc>
            </w:tr>
            <w:tr w14:paraId="271C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07AD1A6F">
                  <w:pPr>
                    <w:jc w:val="center"/>
                    <w:rPr>
                      <w:rFonts w:hint="default" w:eastAsia="宋体"/>
                      <w:b w:val="0"/>
                      <w:bCs w:val="0"/>
                      <w:szCs w:val="21"/>
                      <w:lang w:val="en-US" w:eastAsia="zh-CN"/>
                    </w:rPr>
                  </w:pPr>
                  <w:r>
                    <w:rPr>
                      <w:rFonts w:hint="eastAsia"/>
                      <w:b w:val="0"/>
                      <w:bCs w:val="0"/>
                      <w:szCs w:val="21"/>
                      <w:lang w:val="en-US" w:eastAsia="zh-CN"/>
                    </w:rPr>
                    <w:t>5</w:t>
                  </w:r>
                </w:p>
              </w:tc>
              <w:tc>
                <w:tcPr>
                  <w:tcW w:w="1712" w:type="pct"/>
                  <w:gridSpan w:val="2"/>
                  <w:vAlign w:val="center"/>
                </w:tcPr>
                <w:p w14:paraId="4D746433">
                  <w:pPr>
                    <w:widowControl/>
                    <w:autoSpaceDN w:val="0"/>
                    <w:adjustRightInd w:val="0"/>
                    <w:snapToGrid w:val="0"/>
                    <w:jc w:val="center"/>
                    <w:textAlignment w:val="center"/>
                    <w:rPr>
                      <w:rFonts w:hint="default" w:eastAsia="宋体"/>
                      <w:b w:val="0"/>
                      <w:bCs w:val="0"/>
                      <w:kern w:val="0"/>
                      <w:szCs w:val="21"/>
                      <w:lang w:val="en-US" w:eastAsia="zh-CN"/>
                    </w:rPr>
                  </w:pPr>
                  <w:r>
                    <w:rPr>
                      <w:rFonts w:hint="eastAsia"/>
                      <w:b w:val="0"/>
                      <w:bCs w:val="0"/>
                      <w:kern w:val="0"/>
                      <w:szCs w:val="21"/>
                      <w:lang w:val="en-US" w:eastAsia="zh-CN"/>
                    </w:rPr>
                    <w:t>建筑密度</w:t>
                  </w:r>
                </w:p>
              </w:tc>
              <w:tc>
                <w:tcPr>
                  <w:tcW w:w="574" w:type="pct"/>
                  <w:vAlign w:val="center"/>
                </w:tcPr>
                <w:p w14:paraId="52DEC27D">
                  <w:pPr>
                    <w:widowControl/>
                    <w:adjustRightInd w:val="0"/>
                    <w:snapToGrid w:val="0"/>
                    <w:jc w:val="center"/>
                    <w:rPr>
                      <w:rFonts w:hint="eastAsia" w:eastAsia="宋体"/>
                      <w:b w:val="0"/>
                      <w:bCs w:val="0"/>
                      <w:kern w:val="0"/>
                      <w:szCs w:val="21"/>
                      <w:lang w:val="en-US" w:eastAsia="zh-CN"/>
                    </w:rPr>
                  </w:pPr>
                  <w:r>
                    <w:rPr>
                      <w:rFonts w:hint="eastAsia"/>
                      <w:b w:val="0"/>
                      <w:bCs w:val="0"/>
                      <w:kern w:val="0"/>
                      <w:szCs w:val="21"/>
                      <w:lang w:val="en-US" w:eastAsia="zh-CN"/>
                    </w:rPr>
                    <w:t>%</w:t>
                  </w:r>
                </w:p>
              </w:tc>
              <w:tc>
                <w:tcPr>
                  <w:tcW w:w="809" w:type="pct"/>
                  <w:vAlign w:val="center"/>
                </w:tcPr>
                <w:p w14:paraId="590C6B74">
                  <w:pPr>
                    <w:jc w:val="center"/>
                    <w:rPr>
                      <w:rFonts w:hint="default"/>
                      <w:b w:val="0"/>
                      <w:bCs w:val="0"/>
                      <w:szCs w:val="21"/>
                      <w:lang w:val="en-US" w:eastAsia="zh-CN"/>
                    </w:rPr>
                  </w:pPr>
                  <w:r>
                    <w:rPr>
                      <w:rFonts w:hint="eastAsia"/>
                      <w:b w:val="0"/>
                      <w:bCs w:val="0"/>
                      <w:szCs w:val="21"/>
                      <w:lang w:val="en-US" w:eastAsia="zh-CN"/>
                    </w:rPr>
                    <w:t>44.33</w:t>
                  </w:r>
                </w:p>
              </w:tc>
              <w:tc>
                <w:tcPr>
                  <w:tcW w:w="1329" w:type="pct"/>
                  <w:vAlign w:val="center"/>
                </w:tcPr>
                <w:p w14:paraId="19F3F026">
                  <w:pPr>
                    <w:jc w:val="center"/>
                    <w:rPr>
                      <w:rFonts w:hint="eastAsia"/>
                      <w:b w:val="0"/>
                      <w:bCs w:val="0"/>
                      <w:szCs w:val="21"/>
                      <w:lang w:val="en-US" w:eastAsia="zh-CN"/>
                    </w:rPr>
                  </w:pPr>
                </w:p>
              </w:tc>
            </w:tr>
            <w:tr w14:paraId="4B95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3FFFA94C">
                  <w:pPr>
                    <w:jc w:val="center"/>
                    <w:rPr>
                      <w:rFonts w:hint="default" w:eastAsia="宋体"/>
                      <w:b w:val="0"/>
                      <w:bCs w:val="0"/>
                      <w:szCs w:val="21"/>
                      <w:lang w:val="en-US" w:eastAsia="zh-CN"/>
                    </w:rPr>
                  </w:pPr>
                  <w:r>
                    <w:rPr>
                      <w:rFonts w:hint="eastAsia"/>
                      <w:b w:val="0"/>
                      <w:bCs w:val="0"/>
                      <w:szCs w:val="21"/>
                      <w:lang w:val="en-US" w:eastAsia="zh-CN"/>
                    </w:rPr>
                    <w:t>6</w:t>
                  </w:r>
                </w:p>
              </w:tc>
              <w:tc>
                <w:tcPr>
                  <w:tcW w:w="1712" w:type="pct"/>
                  <w:gridSpan w:val="2"/>
                  <w:vAlign w:val="center"/>
                </w:tcPr>
                <w:p w14:paraId="22DB7985">
                  <w:pPr>
                    <w:widowControl/>
                    <w:autoSpaceDN w:val="0"/>
                    <w:adjustRightInd w:val="0"/>
                    <w:snapToGrid w:val="0"/>
                    <w:jc w:val="center"/>
                    <w:textAlignment w:val="center"/>
                    <w:rPr>
                      <w:rFonts w:hint="eastAsia" w:eastAsia="宋体"/>
                      <w:b w:val="0"/>
                      <w:bCs w:val="0"/>
                      <w:kern w:val="0"/>
                      <w:szCs w:val="21"/>
                      <w:lang w:val="en-US" w:eastAsia="zh-CN"/>
                    </w:rPr>
                  </w:pPr>
                  <w:r>
                    <w:rPr>
                      <w:rFonts w:hint="eastAsia"/>
                      <w:b w:val="0"/>
                      <w:bCs w:val="0"/>
                      <w:kern w:val="0"/>
                      <w:szCs w:val="21"/>
                      <w:lang w:val="en-US" w:eastAsia="zh-CN"/>
                    </w:rPr>
                    <w:t>容积率</w:t>
                  </w:r>
                </w:p>
              </w:tc>
              <w:tc>
                <w:tcPr>
                  <w:tcW w:w="574" w:type="pct"/>
                  <w:vAlign w:val="center"/>
                </w:tcPr>
                <w:p w14:paraId="2F26CC7B">
                  <w:pPr>
                    <w:widowControl/>
                    <w:adjustRightInd w:val="0"/>
                    <w:snapToGrid w:val="0"/>
                    <w:jc w:val="center"/>
                    <w:rPr>
                      <w:rFonts w:hint="eastAsia" w:eastAsia="宋体"/>
                      <w:b w:val="0"/>
                      <w:bCs w:val="0"/>
                      <w:kern w:val="0"/>
                      <w:szCs w:val="21"/>
                      <w:lang w:val="en-US" w:eastAsia="zh-CN"/>
                    </w:rPr>
                  </w:pPr>
                  <w:r>
                    <w:rPr>
                      <w:rFonts w:hint="eastAsia"/>
                      <w:b w:val="0"/>
                      <w:bCs w:val="0"/>
                      <w:kern w:val="0"/>
                      <w:szCs w:val="21"/>
                      <w:lang w:val="en-US" w:eastAsia="zh-CN"/>
                    </w:rPr>
                    <w:t>/</w:t>
                  </w:r>
                </w:p>
              </w:tc>
              <w:tc>
                <w:tcPr>
                  <w:tcW w:w="809" w:type="pct"/>
                  <w:vAlign w:val="center"/>
                </w:tcPr>
                <w:p w14:paraId="1304B679">
                  <w:pPr>
                    <w:jc w:val="center"/>
                    <w:rPr>
                      <w:rFonts w:hint="default"/>
                      <w:b w:val="0"/>
                      <w:bCs w:val="0"/>
                      <w:szCs w:val="21"/>
                      <w:lang w:val="en-US" w:eastAsia="zh-CN"/>
                    </w:rPr>
                  </w:pPr>
                  <w:r>
                    <w:rPr>
                      <w:rFonts w:hint="eastAsia"/>
                      <w:b w:val="0"/>
                      <w:bCs w:val="0"/>
                      <w:szCs w:val="21"/>
                      <w:lang w:val="en-US" w:eastAsia="zh-CN"/>
                    </w:rPr>
                    <w:t>0.44</w:t>
                  </w:r>
                </w:p>
              </w:tc>
              <w:tc>
                <w:tcPr>
                  <w:tcW w:w="1329" w:type="pct"/>
                  <w:vAlign w:val="center"/>
                </w:tcPr>
                <w:p w14:paraId="05F64E21">
                  <w:pPr>
                    <w:jc w:val="center"/>
                    <w:rPr>
                      <w:rFonts w:hint="eastAsia"/>
                      <w:b w:val="0"/>
                      <w:bCs w:val="0"/>
                      <w:szCs w:val="21"/>
                      <w:lang w:val="en-US" w:eastAsia="zh-CN"/>
                    </w:rPr>
                  </w:pPr>
                </w:p>
              </w:tc>
            </w:tr>
            <w:tr w14:paraId="3BA1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4" w:type="pct"/>
                  <w:vAlign w:val="center"/>
                </w:tcPr>
                <w:p w14:paraId="2CFC26B2">
                  <w:pPr>
                    <w:jc w:val="center"/>
                    <w:rPr>
                      <w:rFonts w:hint="default" w:eastAsia="宋体"/>
                      <w:b w:val="0"/>
                      <w:bCs w:val="0"/>
                      <w:szCs w:val="21"/>
                      <w:lang w:val="en-US" w:eastAsia="zh-CN"/>
                    </w:rPr>
                  </w:pPr>
                  <w:r>
                    <w:rPr>
                      <w:rFonts w:hint="eastAsia"/>
                      <w:b w:val="0"/>
                      <w:bCs w:val="0"/>
                      <w:szCs w:val="21"/>
                      <w:lang w:val="en-US" w:eastAsia="zh-CN"/>
                    </w:rPr>
                    <w:t>7</w:t>
                  </w:r>
                </w:p>
              </w:tc>
              <w:tc>
                <w:tcPr>
                  <w:tcW w:w="1712" w:type="pct"/>
                  <w:gridSpan w:val="2"/>
                  <w:vAlign w:val="center"/>
                </w:tcPr>
                <w:p w14:paraId="45773AAD">
                  <w:pPr>
                    <w:widowControl/>
                    <w:autoSpaceDN w:val="0"/>
                    <w:adjustRightInd w:val="0"/>
                    <w:snapToGrid w:val="0"/>
                    <w:jc w:val="center"/>
                    <w:textAlignment w:val="center"/>
                    <w:rPr>
                      <w:rFonts w:hint="eastAsia" w:eastAsia="宋体"/>
                      <w:b w:val="0"/>
                      <w:bCs w:val="0"/>
                      <w:kern w:val="0"/>
                      <w:szCs w:val="21"/>
                      <w:lang w:val="en-US" w:eastAsia="zh-CN"/>
                    </w:rPr>
                  </w:pPr>
                  <w:r>
                    <w:rPr>
                      <w:rFonts w:hint="eastAsia"/>
                      <w:b w:val="0"/>
                      <w:bCs w:val="0"/>
                      <w:kern w:val="0"/>
                      <w:szCs w:val="21"/>
                      <w:lang w:val="en-US" w:eastAsia="zh-CN"/>
                    </w:rPr>
                    <w:t>绿地率</w:t>
                  </w:r>
                </w:p>
              </w:tc>
              <w:tc>
                <w:tcPr>
                  <w:tcW w:w="574" w:type="pct"/>
                  <w:vAlign w:val="center"/>
                </w:tcPr>
                <w:p w14:paraId="6B631A23">
                  <w:pPr>
                    <w:widowControl/>
                    <w:adjustRightInd w:val="0"/>
                    <w:snapToGrid w:val="0"/>
                    <w:jc w:val="center"/>
                    <w:rPr>
                      <w:rFonts w:hint="eastAsia" w:eastAsia="宋体"/>
                      <w:b w:val="0"/>
                      <w:bCs w:val="0"/>
                      <w:kern w:val="0"/>
                      <w:szCs w:val="21"/>
                      <w:lang w:val="en-US" w:eastAsia="zh-CN"/>
                    </w:rPr>
                  </w:pPr>
                  <w:r>
                    <w:rPr>
                      <w:rFonts w:hint="eastAsia"/>
                      <w:b w:val="0"/>
                      <w:bCs w:val="0"/>
                      <w:kern w:val="0"/>
                      <w:szCs w:val="21"/>
                      <w:lang w:val="en-US" w:eastAsia="zh-CN"/>
                    </w:rPr>
                    <w:t>%</w:t>
                  </w:r>
                </w:p>
              </w:tc>
              <w:tc>
                <w:tcPr>
                  <w:tcW w:w="809" w:type="pct"/>
                  <w:vAlign w:val="center"/>
                </w:tcPr>
                <w:p w14:paraId="3530DD20">
                  <w:pPr>
                    <w:jc w:val="center"/>
                    <w:rPr>
                      <w:rFonts w:hint="default"/>
                      <w:b w:val="0"/>
                      <w:bCs w:val="0"/>
                      <w:szCs w:val="21"/>
                      <w:lang w:val="en-US" w:eastAsia="zh-CN"/>
                    </w:rPr>
                  </w:pPr>
                  <w:r>
                    <w:rPr>
                      <w:rFonts w:hint="eastAsia"/>
                      <w:b w:val="0"/>
                      <w:bCs w:val="0"/>
                      <w:szCs w:val="21"/>
                      <w:lang w:val="en-US" w:eastAsia="zh-CN"/>
                    </w:rPr>
                    <w:t>11.78</w:t>
                  </w:r>
                </w:p>
              </w:tc>
              <w:tc>
                <w:tcPr>
                  <w:tcW w:w="1329" w:type="pct"/>
                  <w:vAlign w:val="center"/>
                </w:tcPr>
                <w:p w14:paraId="6D62B18C">
                  <w:pPr>
                    <w:jc w:val="center"/>
                    <w:rPr>
                      <w:rFonts w:hint="eastAsia"/>
                      <w:b w:val="0"/>
                      <w:bCs w:val="0"/>
                      <w:szCs w:val="21"/>
                      <w:lang w:val="en-US" w:eastAsia="zh-CN"/>
                    </w:rPr>
                  </w:pPr>
                </w:p>
              </w:tc>
            </w:tr>
          </w:tbl>
          <w:p w14:paraId="39415609">
            <w:pPr>
              <w:jc w:val="center"/>
              <w:rPr>
                <w:b/>
                <w:bCs/>
                <w:color w:val="auto"/>
                <w:szCs w:val="21"/>
                <w:u w:val="single"/>
              </w:rPr>
            </w:pPr>
            <w:r>
              <w:rPr>
                <w:b/>
                <w:bCs/>
                <w:color w:val="auto"/>
                <w:sz w:val="24"/>
                <w:szCs w:val="24"/>
                <w:u w:val="none"/>
              </w:rPr>
              <w:t>表2-2 项目主要主要建设内容一览表</w:t>
            </w:r>
          </w:p>
          <w:tbl>
            <w:tblPr>
              <w:tblStyle w:val="5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16"/>
              <w:gridCol w:w="2128"/>
              <w:gridCol w:w="665"/>
              <w:gridCol w:w="3650"/>
            </w:tblGrid>
            <w:tr w14:paraId="6D50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Align w:val="center"/>
                </w:tcPr>
                <w:p w14:paraId="72535D64">
                  <w:pPr>
                    <w:jc w:val="center"/>
                    <w:rPr>
                      <w:b/>
                      <w:color w:val="auto"/>
                      <w:szCs w:val="21"/>
                      <w:u w:val="single"/>
                    </w:rPr>
                  </w:pPr>
                  <w:r>
                    <w:rPr>
                      <w:b/>
                      <w:color w:val="auto"/>
                      <w:szCs w:val="21"/>
                      <w:u w:val="single"/>
                    </w:rPr>
                    <w:t>项目</w:t>
                  </w:r>
                </w:p>
              </w:tc>
              <w:tc>
                <w:tcPr>
                  <w:tcW w:w="726" w:type="pct"/>
                  <w:vAlign w:val="center"/>
                </w:tcPr>
                <w:p w14:paraId="740675A7">
                  <w:pPr>
                    <w:jc w:val="center"/>
                    <w:rPr>
                      <w:b/>
                      <w:color w:val="auto"/>
                      <w:szCs w:val="21"/>
                      <w:u w:val="single"/>
                    </w:rPr>
                  </w:pPr>
                  <w:r>
                    <w:rPr>
                      <w:b/>
                      <w:color w:val="auto"/>
                      <w:szCs w:val="21"/>
                      <w:u w:val="single"/>
                    </w:rPr>
                    <w:t>工程内容</w:t>
                  </w:r>
                </w:p>
              </w:tc>
              <w:tc>
                <w:tcPr>
                  <w:tcW w:w="1667" w:type="pct"/>
                  <w:gridSpan w:val="2"/>
                  <w:vAlign w:val="center"/>
                </w:tcPr>
                <w:p w14:paraId="2A51FCF6">
                  <w:pPr>
                    <w:jc w:val="center"/>
                    <w:rPr>
                      <w:b/>
                      <w:color w:val="auto"/>
                      <w:szCs w:val="21"/>
                      <w:u w:val="single"/>
                    </w:rPr>
                  </w:pPr>
                  <w:r>
                    <w:rPr>
                      <w:rFonts w:hint="eastAsia"/>
                      <w:b/>
                      <w:color w:val="auto"/>
                      <w:szCs w:val="21"/>
                      <w:u w:val="single"/>
                      <w:lang w:val="en-US" w:eastAsia="zh-CN"/>
                    </w:rPr>
                    <w:t>规模</w:t>
                  </w:r>
                </w:p>
              </w:tc>
              <w:tc>
                <w:tcPr>
                  <w:tcW w:w="2178" w:type="pct"/>
                  <w:vAlign w:val="center"/>
                </w:tcPr>
                <w:p w14:paraId="16036F53">
                  <w:pPr>
                    <w:jc w:val="center"/>
                    <w:rPr>
                      <w:b/>
                      <w:color w:val="auto"/>
                      <w:szCs w:val="21"/>
                      <w:u w:val="single"/>
                    </w:rPr>
                  </w:pPr>
                  <w:r>
                    <w:rPr>
                      <w:b/>
                      <w:color w:val="auto"/>
                      <w:szCs w:val="21"/>
                      <w:u w:val="single"/>
                    </w:rPr>
                    <w:t>备注</w:t>
                  </w:r>
                </w:p>
              </w:tc>
            </w:tr>
            <w:tr w14:paraId="6BE5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27" w:type="pct"/>
                  <w:vMerge w:val="restart"/>
                  <w:vAlign w:val="center"/>
                </w:tcPr>
                <w:p w14:paraId="08F031C5">
                  <w:pPr>
                    <w:widowControl/>
                    <w:adjustRightInd w:val="0"/>
                    <w:snapToGrid w:val="0"/>
                    <w:jc w:val="center"/>
                    <w:rPr>
                      <w:color w:val="auto"/>
                      <w:kern w:val="0"/>
                      <w:u w:val="single"/>
                    </w:rPr>
                  </w:pPr>
                  <w:r>
                    <w:rPr>
                      <w:color w:val="auto"/>
                      <w:kern w:val="0"/>
                      <w:u w:val="single"/>
                    </w:rPr>
                    <w:t>主体工程</w:t>
                  </w:r>
                </w:p>
              </w:tc>
              <w:tc>
                <w:tcPr>
                  <w:tcW w:w="726" w:type="pct"/>
                  <w:vAlign w:val="center"/>
                </w:tcPr>
                <w:p w14:paraId="692805A6">
                  <w:pPr>
                    <w:widowControl/>
                    <w:adjustRightInd w:val="0"/>
                    <w:snapToGrid w:val="0"/>
                    <w:jc w:val="center"/>
                    <w:rPr>
                      <w:color w:val="auto"/>
                      <w:kern w:val="0"/>
                      <w:u w:val="single"/>
                    </w:rPr>
                  </w:pPr>
                  <w:r>
                    <w:rPr>
                      <w:color w:val="auto"/>
                      <w:kern w:val="0"/>
                      <w:u w:val="single"/>
                    </w:rPr>
                    <w:t>罩棚</w:t>
                  </w:r>
                </w:p>
              </w:tc>
              <w:tc>
                <w:tcPr>
                  <w:tcW w:w="1667" w:type="pct"/>
                  <w:gridSpan w:val="2"/>
                  <w:vAlign w:val="center"/>
                </w:tcPr>
                <w:p w14:paraId="1769D0E2">
                  <w:pPr>
                    <w:widowControl/>
                    <w:adjustRightInd w:val="0"/>
                    <w:snapToGrid w:val="0"/>
                    <w:jc w:val="center"/>
                    <w:rPr>
                      <w:color w:val="auto"/>
                      <w:kern w:val="0"/>
                      <w:u w:val="single"/>
                    </w:rPr>
                  </w:pPr>
                  <w:r>
                    <w:rPr>
                      <w:color w:val="auto"/>
                      <w:kern w:val="0"/>
                      <w:u w:val="single"/>
                    </w:rPr>
                    <w:t>加油罩棚面积为</w:t>
                  </w:r>
                  <w:r>
                    <w:rPr>
                      <w:rFonts w:hint="eastAsia"/>
                      <w:color w:val="auto"/>
                      <w:kern w:val="0"/>
                      <w:u w:val="single"/>
                    </w:rPr>
                    <w:t>325.95</w:t>
                  </w:r>
                  <w:r>
                    <w:rPr>
                      <w:color w:val="auto"/>
                      <w:kern w:val="0"/>
                      <w:u w:val="single"/>
                    </w:rPr>
                    <w:t>m</w:t>
                  </w:r>
                  <w:r>
                    <w:rPr>
                      <w:color w:val="auto"/>
                      <w:kern w:val="0"/>
                      <w:u w:val="single"/>
                      <w:vertAlign w:val="superscript"/>
                    </w:rPr>
                    <w:t>2</w:t>
                  </w:r>
                </w:p>
              </w:tc>
              <w:tc>
                <w:tcPr>
                  <w:tcW w:w="2178" w:type="pct"/>
                  <w:vAlign w:val="center"/>
                </w:tcPr>
                <w:p w14:paraId="5D10E817">
                  <w:pPr>
                    <w:widowControl/>
                    <w:adjustRightInd w:val="0"/>
                    <w:snapToGrid w:val="0"/>
                    <w:jc w:val="center"/>
                    <w:rPr>
                      <w:rFonts w:hint="default" w:eastAsia="宋体"/>
                      <w:color w:val="auto"/>
                      <w:kern w:val="0"/>
                      <w:u w:val="single"/>
                      <w:lang w:val="en-US" w:eastAsia="zh-CN"/>
                    </w:rPr>
                  </w:pPr>
                  <w:r>
                    <w:rPr>
                      <w:rFonts w:hint="eastAsia"/>
                      <w:color w:val="auto"/>
                      <w:kern w:val="0"/>
                      <w:u w:val="single"/>
                      <w:lang w:val="en-US" w:eastAsia="zh-CN"/>
                    </w:rPr>
                    <w:t>螺栓球罩棚，采用混凝土立柱，立柱高度7.7m，檐口高度1.2m，总高度8.9m</w:t>
                  </w:r>
                </w:p>
              </w:tc>
            </w:tr>
            <w:tr w14:paraId="0F2C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0AD9FAFA">
                  <w:pPr>
                    <w:widowControl/>
                    <w:adjustRightInd w:val="0"/>
                    <w:snapToGrid w:val="0"/>
                    <w:jc w:val="left"/>
                    <w:rPr>
                      <w:color w:val="auto"/>
                      <w:kern w:val="0"/>
                      <w:u w:val="single"/>
                    </w:rPr>
                  </w:pPr>
                </w:p>
              </w:tc>
              <w:tc>
                <w:tcPr>
                  <w:tcW w:w="726" w:type="pct"/>
                  <w:vAlign w:val="center"/>
                </w:tcPr>
                <w:p w14:paraId="4BCC5965">
                  <w:pPr>
                    <w:widowControl/>
                    <w:adjustRightInd w:val="0"/>
                    <w:snapToGrid w:val="0"/>
                    <w:jc w:val="center"/>
                    <w:rPr>
                      <w:rFonts w:hint="eastAsia" w:eastAsia="宋体"/>
                      <w:color w:val="auto"/>
                      <w:kern w:val="0"/>
                      <w:u w:val="single"/>
                      <w:lang w:val="en-US" w:eastAsia="zh-CN"/>
                    </w:rPr>
                  </w:pPr>
                  <w:r>
                    <w:rPr>
                      <w:color w:val="auto"/>
                      <w:kern w:val="0"/>
                      <w:u w:val="single"/>
                    </w:rPr>
                    <w:t>油罐</w:t>
                  </w:r>
                  <w:r>
                    <w:rPr>
                      <w:rFonts w:hint="eastAsia"/>
                      <w:u w:val="single"/>
                      <w:lang w:eastAsia="zh-CN"/>
                    </w:rPr>
                    <w:t>（</w:t>
                  </w:r>
                  <w:r>
                    <w:rPr>
                      <w:rFonts w:hint="eastAsia"/>
                      <w:u w:val="single"/>
                      <w:lang w:val="en-US" w:eastAsia="zh-CN"/>
                    </w:rPr>
                    <w:t>位于罩棚内</w:t>
                  </w:r>
                  <w:r>
                    <w:rPr>
                      <w:rFonts w:hint="eastAsia"/>
                      <w:u w:val="single"/>
                      <w:lang w:eastAsia="zh-CN"/>
                    </w:rPr>
                    <w:t>）</w:t>
                  </w:r>
                </w:p>
              </w:tc>
              <w:tc>
                <w:tcPr>
                  <w:tcW w:w="1667" w:type="pct"/>
                  <w:gridSpan w:val="2"/>
                  <w:vAlign w:val="center"/>
                </w:tcPr>
                <w:p w14:paraId="5BBE9087">
                  <w:pPr>
                    <w:widowControl/>
                    <w:adjustRightInd w:val="0"/>
                    <w:snapToGrid w:val="0"/>
                    <w:jc w:val="center"/>
                    <w:rPr>
                      <w:color w:val="auto"/>
                      <w:kern w:val="0"/>
                      <w:u w:val="single"/>
                    </w:rPr>
                  </w:pPr>
                  <w:r>
                    <w:rPr>
                      <w:rFonts w:hint="eastAsia"/>
                      <w:color w:val="auto"/>
                      <w:u w:val="single"/>
                    </w:rPr>
                    <w:t>卧式双层储油罐</w:t>
                  </w:r>
                  <w:r>
                    <w:rPr>
                      <w:rFonts w:hint="eastAsia"/>
                      <w:color w:val="auto"/>
                      <w:u w:val="single"/>
                      <w:lang w:val="en-US" w:eastAsia="zh-CN"/>
                    </w:rPr>
                    <w:t>总</w:t>
                  </w:r>
                  <w:r>
                    <w:rPr>
                      <w:color w:val="auto"/>
                      <w:u w:val="single"/>
                    </w:rPr>
                    <w:t>容积为1</w:t>
                  </w:r>
                  <w:r>
                    <w:rPr>
                      <w:rFonts w:hint="eastAsia"/>
                      <w:color w:val="auto"/>
                      <w:u w:val="single"/>
                      <w:lang w:val="en-US" w:eastAsia="zh-CN"/>
                    </w:rPr>
                    <w:t>40</w:t>
                  </w:r>
                  <w:r>
                    <w:rPr>
                      <w:color w:val="auto"/>
                      <w:u w:val="single"/>
                    </w:rPr>
                    <w:t>m</w:t>
                  </w:r>
                  <w:r>
                    <w:rPr>
                      <w:color w:val="auto"/>
                      <w:u w:val="single"/>
                      <w:vertAlign w:val="superscript"/>
                    </w:rPr>
                    <w:t>2</w:t>
                  </w:r>
                  <w:r>
                    <w:rPr>
                      <w:color w:val="auto"/>
                      <w:sz w:val="24"/>
                      <w:u w:val="single"/>
                    </w:rPr>
                    <w:t>，</w:t>
                  </w:r>
                  <w:r>
                    <w:rPr>
                      <w:color w:val="auto"/>
                      <w:u w:val="single"/>
                    </w:rPr>
                    <w:t>折合油罐总容积</w:t>
                  </w:r>
                  <w:r>
                    <w:rPr>
                      <w:rFonts w:hint="eastAsia"/>
                      <w:color w:val="auto"/>
                      <w:u w:val="single"/>
                      <w:lang w:val="en-US" w:eastAsia="zh-CN"/>
                    </w:rPr>
                    <w:t>115</w:t>
                  </w:r>
                  <w:r>
                    <w:rPr>
                      <w:color w:val="auto"/>
                      <w:u w:val="single"/>
                    </w:rPr>
                    <w:t>m</w:t>
                  </w:r>
                  <w:r>
                    <w:rPr>
                      <w:color w:val="auto"/>
                      <w:u w:val="single"/>
                      <w:vertAlign w:val="superscript"/>
                    </w:rPr>
                    <w:t>3</w:t>
                  </w:r>
                </w:p>
              </w:tc>
              <w:tc>
                <w:tcPr>
                  <w:tcW w:w="2178" w:type="pct"/>
                  <w:vAlign w:val="center"/>
                </w:tcPr>
                <w:p w14:paraId="207010FD">
                  <w:pPr>
                    <w:widowControl/>
                    <w:adjustRightInd w:val="0"/>
                    <w:snapToGrid w:val="0"/>
                    <w:jc w:val="left"/>
                    <w:rPr>
                      <w:rFonts w:hint="default" w:eastAsia="宋体"/>
                      <w:color w:val="auto"/>
                      <w:kern w:val="0"/>
                      <w:u w:val="single"/>
                      <w:lang w:val="en-US" w:eastAsia="zh-CN"/>
                    </w:rPr>
                  </w:pPr>
                  <w:r>
                    <w:rPr>
                      <w:color w:val="auto"/>
                      <w:kern w:val="0"/>
                      <w:u w:val="single"/>
                    </w:rPr>
                    <w:t>埋地油罐4个</w:t>
                  </w:r>
                  <w:r>
                    <w:rPr>
                      <w:rFonts w:hint="eastAsia"/>
                      <w:color w:val="auto"/>
                      <w:kern w:val="0"/>
                      <w:u w:val="single"/>
                      <w:lang w:eastAsia="zh-CN"/>
                    </w:rPr>
                    <w:t>，</w:t>
                  </w:r>
                  <w:r>
                    <w:rPr>
                      <w:rFonts w:hint="eastAsia"/>
                      <w:color w:val="auto"/>
                      <w:kern w:val="0"/>
                      <w:u w:val="single"/>
                      <w:lang w:val="en-US" w:eastAsia="zh-CN"/>
                    </w:rPr>
                    <w:t>其中：</w:t>
                  </w:r>
                </w:p>
                <w:p w14:paraId="2D4453B5">
                  <w:pPr>
                    <w:widowControl/>
                    <w:adjustRightInd w:val="0"/>
                    <w:snapToGrid w:val="0"/>
                    <w:jc w:val="left"/>
                    <w:rPr>
                      <w:color w:val="auto"/>
                      <w:kern w:val="0"/>
                      <w:u w:val="single"/>
                    </w:rPr>
                  </w:pPr>
                  <w:r>
                    <w:rPr>
                      <w:rFonts w:hint="eastAsia"/>
                      <w:color w:val="auto"/>
                      <w:kern w:val="0"/>
                      <w:u w:val="single"/>
                      <w:lang w:val="en-US" w:eastAsia="zh-CN"/>
                    </w:rPr>
                    <w:t>2</w:t>
                  </w:r>
                  <w:r>
                    <w:rPr>
                      <w:color w:val="auto"/>
                      <w:kern w:val="0"/>
                      <w:u w:val="single"/>
                    </w:rPr>
                    <w:t>个30m</w:t>
                  </w:r>
                  <w:r>
                    <w:rPr>
                      <w:color w:val="auto"/>
                      <w:kern w:val="0"/>
                      <w:u w:val="single"/>
                      <w:vertAlign w:val="superscript"/>
                    </w:rPr>
                    <w:t>3</w:t>
                  </w:r>
                  <w:r>
                    <w:rPr>
                      <w:color w:val="auto"/>
                      <w:kern w:val="0"/>
                      <w:u w:val="single"/>
                    </w:rPr>
                    <w:t>的</w:t>
                  </w:r>
                  <w:r>
                    <w:rPr>
                      <w:color w:val="auto"/>
                      <w:u w:val="single"/>
                    </w:rPr>
                    <w:t>92#汽油</w:t>
                  </w:r>
                  <w:r>
                    <w:rPr>
                      <w:color w:val="auto"/>
                      <w:kern w:val="0"/>
                      <w:u w:val="single"/>
                    </w:rPr>
                    <w:t>埋地储罐</w:t>
                  </w:r>
                  <w:r>
                    <w:rPr>
                      <w:color w:val="auto"/>
                      <w:u w:val="single"/>
                    </w:rPr>
                    <w:t>、</w:t>
                  </w:r>
                  <w:r>
                    <w:rPr>
                      <w:color w:val="auto"/>
                      <w:kern w:val="0"/>
                      <w:u w:val="single"/>
                    </w:rPr>
                    <w:t>1个30m</w:t>
                  </w:r>
                  <w:r>
                    <w:rPr>
                      <w:color w:val="auto"/>
                      <w:kern w:val="0"/>
                      <w:u w:val="single"/>
                      <w:vertAlign w:val="superscript"/>
                    </w:rPr>
                    <w:t>3</w:t>
                  </w:r>
                  <w:r>
                    <w:rPr>
                      <w:color w:val="auto"/>
                      <w:kern w:val="0"/>
                      <w:u w:val="single"/>
                    </w:rPr>
                    <w:t>的</w:t>
                  </w:r>
                  <w:r>
                    <w:rPr>
                      <w:color w:val="auto"/>
                      <w:u w:val="single"/>
                    </w:rPr>
                    <w:t>95#汽油</w:t>
                  </w:r>
                  <w:r>
                    <w:rPr>
                      <w:color w:val="auto"/>
                      <w:kern w:val="0"/>
                      <w:u w:val="single"/>
                    </w:rPr>
                    <w:t>埋地储罐</w:t>
                  </w:r>
                  <w:r>
                    <w:rPr>
                      <w:color w:val="auto"/>
                      <w:u w:val="single"/>
                    </w:rPr>
                    <w:t>、</w:t>
                  </w:r>
                  <w:r>
                    <w:rPr>
                      <w:rFonts w:hint="eastAsia"/>
                      <w:color w:val="auto"/>
                      <w:kern w:val="0"/>
                      <w:u w:val="single"/>
                      <w:lang w:val="en-US" w:eastAsia="zh-CN"/>
                    </w:rPr>
                    <w:t>1</w:t>
                  </w:r>
                  <w:r>
                    <w:rPr>
                      <w:color w:val="auto"/>
                      <w:kern w:val="0"/>
                      <w:u w:val="single"/>
                    </w:rPr>
                    <w:t>个</w:t>
                  </w:r>
                  <w:r>
                    <w:rPr>
                      <w:rFonts w:hint="eastAsia"/>
                      <w:color w:val="auto"/>
                      <w:kern w:val="0"/>
                      <w:u w:val="single"/>
                      <w:lang w:val="en-US" w:eastAsia="zh-CN"/>
                    </w:rPr>
                    <w:t>50</w:t>
                  </w:r>
                  <w:r>
                    <w:rPr>
                      <w:color w:val="auto"/>
                      <w:kern w:val="0"/>
                      <w:u w:val="single"/>
                    </w:rPr>
                    <w:t>m</w:t>
                  </w:r>
                  <w:r>
                    <w:rPr>
                      <w:color w:val="auto"/>
                      <w:kern w:val="0"/>
                      <w:u w:val="single"/>
                      <w:vertAlign w:val="superscript"/>
                    </w:rPr>
                    <w:t>3</w:t>
                  </w:r>
                  <w:r>
                    <w:rPr>
                      <w:color w:val="auto"/>
                      <w:kern w:val="0"/>
                      <w:u w:val="single"/>
                    </w:rPr>
                    <w:t>的0#柴油埋地储罐</w:t>
                  </w:r>
                </w:p>
              </w:tc>
            </w:tr>
            <w:tr w14:paraId="7A1C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23977B54">
                  <w:pPr>
                    <w:widowControl/>
                    <w:adjustRightInd w:val="0"/>
                    <w:snapToGrid w:val="0"/>
                    <w:jc w:val="left"/>
                    <w:rPr>
                      <w:color w:val="auto"/>
                      <w:kern w:val="0"/>
                      <w:u w:val="single"/>
                    </w:rPr>
                  </w:pPr>
                </w:p>
              </w:tc>
              <w:tc>
                <w:tcPr>
                  <w:tcW w:w="726" w:type="pct"/>
                  <w:vAlign w:val="center"/>
                </w:tcPr>
                <w:p w14:paraId="51ABFCD2">
                  <w:pPr>
                    <w:widowControl/>
                    <w:adjustRightInd w:val="0"/>
                    <w:snapToGrid w:val="0"/>
                    <w:jc w:val="center"/>
                    <w:rPr>
                      <w:color w:val="auto"/>
                      <w:kern w:val="0"/>
                      <w:u w:val="single"/>
                    </w:rPr>
                  </w:pPr>
                  <w:r>
                    <w:rPr>
                      <w:color w:val="auto"/>
                      <w:u w:val="single"/>
                    </w:rPr>
                    <w:t>加油机</w:t>
                  </w:r>
                  <w:r>
                    <w:rPr>
                      <w:rFonts w:hint="eastAsia"/>
                      <w:u w:val="single"/>
                      <w:lang w:eastAsia="zh-CN"/>
                    </w:rPr>
                    <w:t>（</w:t>
                  </w:r>
                  <w:r>
                    <w:rPr>
                      <w:rFonts w:hint="eastAsia"/>
                      <w:u w:val="single"/>
                      <w:lang w:val="en-US" w:eastAsia="zh-CN"/>
                    </w:rPr>
                    <w:t>位于罩棚内</w:t>
                  </w:r>
                  <w:r>
                    <w:rPr>
                      <w:rFonts w:hint="eastAsia"/>
                      <w:u w:val="single"/>
                      <w:lang w:eastAsia="zh-CN"/>
                    </w:rPr>
                    <w:t>）</w:t>
                  </w:r>
                </w:p>
              </w:tc>
              <w:tc>
                <w:tcPr>
                  <w:tcW w:w="1667" w:type="pct"/>
                  <w:gridSpan w:val="2"/>
                  <w:vAlign w:val="center"/>
                </w:tcPr>
                <w:p w14:paraId="75EFD7A4">
                  <w:pPr>
                    <w:widowControl/>
                    <w:adjustRightInd w:val="0"/>
                    <w:snapToGrid w:val="0"/>
                    <w:jc w:val="center"/>
                    <w:rPr>
                      <w:color w:val="auto"/>
                      <w:u w:val="single"/>
                    </w:rPr>
                  </w:pPr>
                  <w:r>
                    <w:rPr>
                      <w:color w:val="auto"/>
                      <w:u w:val="single"/>
                    </w:rPr>
                    <w:t>4台</w:t>
                  </w:r>
                </w:p>
              </w:tc>
              <w:tc>
                <w:tcPr>
                  <w:tcW w:w="2178" w:type="pct"/>
                  <w:vAlign w:val="center"/>
                </w:tcPr>
                <w:p w14:paraId="501EB746">
                  <w:pPr>
                    <w:widowControl/>
                    <w:adjustRightInd w:val="0"/>
                    <w:snapToGrid w:val="0"/>
                    <w:jc w:val="center"/>
                    <w:rPr>
                      <w:color w:val="auto"/>
                      <w:kern w:val="0"/>
                      <w:u w:val="single"/>
                    </w:rPr>
                  </w:pPr>
                  <w:r>
                    <w:rPr>
                      <w:rFonts w:hint="eastAsia"/>
                      <w:color w:val="auto"/>
                      <w:kern w:val="0"/>
                      <w:u w:val="single"/>
                    </w:rPr>
                    <w:t>4台四枪双油品潜油泵型加油机</w:t>
                  </w:r>
                </w:p>
              </w:tc>
            </w:tr>
            <w:tr w14:paraId="6DC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restart"/>
                  <w:vAlign w:val="center"/>
                </w:tcPr>
                <w:p w14:paraId="05DE2B7C">
                  <w:pPr>
                    <w:widowControl/>
                    <w:adjustRightInd w:val="0"/>
                    <w:snapToGrid w:val="0"/>
                    <w:jc w:val="center"/>
                    <w:rPr>
                      <w:color w:val="auto"/>
                      <w:kern w:val="0"/>
                      <w:u w:val="single"/>
                    </w:rPr>
                  </w:pPr>
                  <w:r>
                    <w:rPr>
                      <w:color w:val="auto"/>
                      <w:kern w:val="0"/>
                      <w:u w:val="single"/>
                    </w:rPr>
                    <w:t>辅助工程</w:t>
                  </w:r>
                </w:p>
              </w:tc>
              <w:tc>
                <w:tcPr>
                  <w:tcW w:w="726" w:type="pct"/>
                  <w:vAlign w:val="center"/>
                </w:tcPr>
                <w:p w14:paraId="3B1E1527">
                  <w:pPr>
                    <w:widowControl/>
                    <w:adjustRightInd w:val="0"/>
                    <w:snapToGrid w:val="0"/>
                    <w:jc w:val="center"/>
                    <w:rPr>
                      <w:color w:val="auto"/>
                      <w:kern w:val="0"/>
                      <w:u w:val="single"/>
                    </w:rPr>
                  </w:pPr>
                  <w:r>
                    <w:rPr>
                      <w:color w:val="auto"/>
                      <w:kern w:val="0"/>
                      <w:u w:val="single"/>
                    </w:rPr>
                    <w:t>站房</w:t>
                  </w:r>
                </w:p>
              </w:tc>
              <w:tc>
                <w:tcPr>
                  <w:tcW w:w="1667" w:type="pct"/>
                  <w:gridSpan w:val="2"/>
                  <w:vAlign w:val="center"/>
                </w:tcPr>
                <w:p w14:paraId="59F7630B">
                  <w:pPr>
                    <w:widowControl/>
                    <w:adjustRightInd w:val="0"/>
                    <w:snapToGrid w:val="0"/>
                    <w:jc w:val="center"/>
                    <w:rPr>
                      <w:color w:val="auto"/>
                      <w:kern w:val="0"/>
                      <w:u w:val="single"/>
                    </w:rPr>
                  </w:pPr>
                  <w:r>
                    <w:rPr>
                      <w:rFonts w:hint="eastAsia"/>
                      <w:color w:val="auto"/>
                      <w:u w:val="single"/>
                      <w:lang w:val="en-US" w:eastAsia="zh-CN"/>
                    </w:rPr>
                    <w:t>2</w:t>
                  </w:r>
                  <w:r>
                    <w:rPr>
                      <w:color w:val="auto"/>
                      <w:u w:val="single"/>
                    </w:rPr>
                    <w:t>F，</w:t>
                  </w:r>
                  <w:r>
                    <w:rPr>
                      <w:color w:val="auto"/>
                      <w:szCs w:val="21"/>
                      <w:u w:val="single"/>
                      <w:lang w:bidi="ar"/>
                    </w:rPr>
                    <w:t>砖混结构，</w:t>
                  </w:r>
                  <w:r>
                    <w:rPr>
                      <w:color w:val="auto"/>
                      <w:u w:val="single"/>
                    </w:rPr>
                    <w:t>建筑面积为</w:t>
                  </w:r>
                  <w:r>
                    <w:rPr>
                      <w:rFonts w:hint="eastAsia"/>
                      <w:b w:val="0"/>
                      <w:bCs w:val="0"/>
                      <w:kern w:val="0"/>
                      <w:szCs w:val="21"/>
                      <w:u w:val="single"/>
                      <w:lang w:val="en-US" w:eastAsia="zh-CN"/>
                    </w:rPr>
                    <w:t>225.50</w:t>
                  </w:r>
                  <w:r>
                    <w:rPr>
                      <w:color w:val="auto"/>
                      <w:u w:val="single"/>
                    </w:rPr>
                    <w:t>m</w:t>
                  </w:r>
                  <w:r>
                    <w:rPr>
                      <w:color w:val="auto"/>
                      <w:u w:val="single"/>
                      <w:vertAlign w:val="superscript"/>
                    </w:rPr>
                    <w:t>2</w:t>
                  </w:r>
                </w:p>
              </w:tc>
              <w:tc>
                <w:tcPr>
                  <w:tcW w:w="2178" w:type="pct"/>
                  <w:vAlign w:val="center"/>
                </w:tcPr>
                <w:p w14:paraId="6E9A85B4">
                  <w:pPr>
                    <w:widowControl/>
                    <w:adjustRightInd w:val="0"/>
                    <w:snapToGrid w:val="0"/>
                    <w:jc w:val="center"/>
                    <w:rPr>
                      <w:rFonts w:hint="default" w:eastAsia="宋体"/>
                      <w:color w:val="auto"/>
                      <w:kern w:val="0"/>
                      <w:u w:val="single"/>
                      <w:lang w:val="en-US" w:eastAsia="zh-CN"/>
                    </w:rPr>
                  </w:pPr>
                  <w:r>
                    <w:rPr>
                      <w:rFonts w:hint="eastAsia"/>
                      <w:color w:val="auto"/>
                      <w:kern w:val="0"/>
                      <w:u w:val="single"/>
                      <w:lang w:val="en-US" w:eastAsia="zh-CN"/>
                    </w:rPr>
                    <w:t>一层设有便利店、办公室、卫生间、储藏室；二层设有值班室、卫生间</w:t>
                  </w:r>
                </w:p>
              </w:tc>
            </w:tr>
            <w:tr w14:paraId="5819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1A439303">
                  <w:pPr>
                    <w:widowControl/>
                    <w:adjustRightInd w:val="0"/>
                    <w:snapToGrid w:val="0"/>
                    <w:jc w:val="center"/>
                    <w:rPr>
                      <w:color w:val="auto"/>
                      <w:kern w:val="0"/>
                      <w:u w:val="single"/>
                    </w:rPr>
                  </w:pPr>
                </w:p>
              </w:tc>
              <w:tc>
                <w:tcPr>
                  <w:tcW w:w="726" w:type="pct"/>
                  <w:vAlign w:val="center"/>
                </w:tcPr>
                <w:p w14:paraId="1BE2C116">
                  <w:pPr>
                    <w:widowControl/>
                    <w:adjustRightInd w:val="0"/>
                    <w:snapToGrid w:val="0"/>
                    <w:jc w:val="center"/>
                    <w:rPr>
                      <w:color w:val="auto"/>
                      <w:kern w:val="0"/>
                      <w:u w:val="single"/>
                    </w:rPr>
                  </w:pPr>
                  <w:r>
                    <w:rPr>
                      <w:color w:val="auto"/>
                      <w:kern w:val="0"/>
                      <w:u w:val="single"/>
                    </w:rPr>
                    <w:t>辅房</w:t>
                  </w:r>
                </w:p>
              </w:tc>
              <w:tc>
                <w:tcPr>
                  <w:tcW w:w="1667" w:type="pct"/>
                  <w:gridSpan w:val="2"/>
                  <w:vAlign w:val="center"/>
                </w:tcPr>
                <w:p w14:paraId="061C06F4">
                  <w:pPr>
                    <w:widowControl/>
                    <w:adjustRightInd w:val="0"/>
                    <w:snapToGrid w:val="0"/>
                    <w:jc w:val="center"/>
                    <w:rPr>
                      <w:color w:val="auto"/>
                      <w:kern w:val="0"/>
                      <w:u w:val="single"/>
                    </w:rPr>
                  </w:pPr>
                  <w:r>
                    <w:rPr>
                      <w:rFonts w:hint="eastAsia"/>
                      <w:color w:val="auto"/>
                      <w:u w:val="single"/>
                      <w:lang w:val="en-US" w:eastAsia="zh-CN"/>
                    </w:rPr>
                    <w:t>3</w:t>
                  </w:r>
                  <w:r>
                    <w:rPr>
                      <w:color w:val="auto"/>
                      <w:u w:val="single"/>
                    </w:rPr>
                    <w:t>F，</w:t>
                  </w:r>
                  <w:r>
                    <w:rPr>
                      <w:color w:val="auto"/>
                      <w:szCs w:val="21"/>
                      <w:u w:val="single"/>
                      <w:lang w:bidi="ar"/>
                    </w:rPr>
                    <w:t>砖混结构，</w:t>
                  </w:r>
                  <w:r>
                    <w:rPr>
                      <w:color w:val="auto"/>
                      <w:u w:val="single"/>
                    </w:rPr>
                    <w:t>建筑面积为</w:t>
                  </w:r>
                  <w:r>
                    <w:rPr>
                      <w:rFonts w:hint="eastAsia"/>
                      <w:b w:val="0"/>
                      <w:bCs w:val="0"/>
                      <w:szCs w:val="21"/>
                      <w:u w:val="single"/>
                      <w:lang w:val="en-US" w:eastAsia="zh-CN"/>
                    </w:rPr>
                    <w:t>336.00</w:t>
                  </w:r>
                  <w:r>
                    <w:rPr>
                      <w:color w:val="auto"/>
                      <w:u w:val="single"/>
                    </w:rPr>
                    <w:t>m</w:t>
                  </w:r>
                  <w:r>
                    <w:rPr>
                      <w:color w:val="auto"/>
                      <w:u w:val="single"/>
                      <w:vertAlign w:val="superscript"/>
                    </w:rPr>
                    <w:t>2</w:t>
                  </w:r>
                </w:p>
              </w:tc>
              <w:tc>
                <w:tcPr>
                  <w:tcW w:w="2178" w:type="pct"/>
                  <w:vAlign w:val="center"/>
                </w:tcPr>
                <w:p w14:paraId="1368D941">
                  <w:pPr>
                    <w:widowControl/>
                    <w:adjustRightInd w:val="0"/>
                    <w:snapToGrid w:val="0"/>
                    <w:jc w:val="center"/>
                    <w:rPr>
                      <w:rFonts w:hint="default" w:eastAsia="宋体"/>
                      <w:color w:val="auto"/>
                      <w:kern w:val="0"/>
                      <w:u w:val="single"/>
                      <w:lang w:val="en-US" w:eastAsia="zh-CN"/>
                    </w:rPr>
                  </w:pPr>
                  <w:r>
                    <w:rPr>
                      <w:rFonts w:hint="eastAsia"/>
                      <w:color w:val="auto"/>
                      <w:kern w:val="0"/>
                      <w:u w:val="single"/>
                      <w:lang w:val="en-US" w:eastAsia="zh-CN"/>
                    </w:rPr>
                    <w:t>一层设有值班室、卫生间、餐厅、杂物间、配电间、发电房；二层、三层设有值班室、卫生间、活动室</w:t>
                  </w:r>
                </w:p>
              </w:tc>
            </w:tr>
            <w:tr w14:paraId="0028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7E275B37">
                  <w:pPr>
                    <w:widowControl/>
                    <w:adjustRightInd w:val="0"/>
                    <w:snapToGrid w:val="0"/>
                    <w:jc w:val="center"/>
                    <w:rPr>
                      <w:color w:val="auto"/>
                      <w:kern w:val="0"/>
                      <w:u w:val="single"/>
                    </w:rPr>
                  </w:pPr>
                </w:p>
              </w:tc>
              <w:tc>
                <w:tcPr>
                  <w:tcW w:w="726" w:type="pct"/>
                  <w:vAlign w:val="center"/>
                </w:tcPr>
                <w:p w14:paraId="27B4D0AB">
                  <w:pPr>
                    <w:widowControl/>
                    <w:adjustRightInd w:val="0"/>
                    <w:snapToGrid w:val="0"/>
                    <w:jc w:val="center"/>
                    <w:rPr>
                      <w:rFonts w:hint="default" w:eastAsia="宋体"/>
                      <w:color w:val="auto"/>
                      <w:kern w:val="0"/>
                      <w:u w:val="single"/>
                      <w:lang w:val="en-US" w:eastAsia="zh-CN"/>
                    </w:rPr>
                  </w:pPr>
                  <w:r>
                    <w:rPr>
                      <w:rFonts w:hint="eastAsia"/>
                      <w:color w:val="auto"/>
                      <w:kern w:val="0"/>
                      <w:u w:val="single"/>
                      <w:lang w:val="en-US" w:eastAsia="zh-CN"/>
                    </w:rPr>
                    <w:t>洗车机</w:t>
                  </w:r>
                </w:p>
              </w:tc>
              <w:tc>
                <w:tcPr>
                  <w:tcW w:w="1667" w:type="pct"/>
                  <w:gridSpan w:val="2"/>
                  <w:vAlign w:val="center"/>
                </w:tcPr>
                <w:p w14:paraId="03C43036">
                  <w:pPr>
                    <w:widowControl/>
                    <w:adjustRightInd w:val="0"/>
                    <w:snapToGrid w:val="0"/>
                    <w:jc w:val="center"/>
                    <w:rPr>
                      <w:rFonts w:hint="default" w:eastAsia="宋体"/>
                      <w:color w:val="auto"/>
                      <w:u w:val="single"/>
                      <w:lang w:val="en-US" w:eastAsia="zh-CN"/>
                    </w:rPr>
                  </w:pPr>
                  <w:r>
                    <w:rPr>
                      <w:rFonts w:hint="eastAsia"/>
                      <w:color w:val="auto"/>
                      <w:u w:val="single"/>
                      <w:lang w:val="en-US" w:eastAsia="zh-CN"/>
                    </w:rPr>
                    <w:t>1台，占地面积42m</w:t>
                  </w:r>
                  <w:r>
                    <w:rPr>
                      <w:rFonts w:hint="eastAsia"/>
                      <w:color w:val="auto"/>
                      <w:u w:val="single"/>
                      <w:vertAlign w:val="superscript"/>
                      <w:lang w:val="en-US" w:eastAsia="zh-CN"/>
                    </w:rPr>
                    <w:t>2</w:t>
                  </w:r>
                </w:p>
              </w:tc>
              <w:tc>
                <w:tcPr>
                  <w:tcW w:w="2178" w:type="pct"/>
                  <w:vAlign w:val="center"/>
                </w:tcPr>
                <w:p w14:paraId="6B92E66B">
                  <w:pPr>
                    <w:widowControl/>
                    <w:adjustRightInd w:val="0"/>
                    <w:snapToGrid w:val="0"/>
                    <w:jc w:val="center"/>
                    <w:rPr>
                      <w:rFonts w:hint="default"/>
                      <w:color w:val="auto"/>
                      <w:kern w:val="0"/>
                      <w:u w:val="single"/>
                      <w:lang w:val="en-US" w:eastAsia="zh-CN"/>
                    </w:rPr>
                  </w:pPr>
                  <w:r>
                    <w:rPr>
                      <w:rFonts w:hint="eastAsia"/>
                      <w:color w:val="auto"/>
                      <w:kern w:val="0"/>
                      <w:u w:val="single"/>
                      <w:lang w:val="en-US" w:eastAsia="zh-CN"/>
                    </w:rPr>
                    <w:t>采用自动洗车机，仅清洗车辆外部</w:t>
                  </w:r>
                </w:p>
              </w:tc>
            </w:tr>
            <w:tr w14:paraId="0F30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restart"/>
                  <w:vAlign w:val="center"/>
                </w:tcPr>
                <w:p w14:paraId="3BF1357A">
                  <w:pPr>
                    <w:widowControl/>
                    <w:adjustRightInd w:val="0"/>
                    <w:snapToGrid w:val="0"/>
                    <w:jc w:val="center"/>
                    <w:rPr>
                      <w:color w:val="auto"/>
                      <w:kern w:val="0"/>
                      <w:u w:val="single"/>
                    </w:rPr>
                  </w:pPr>
                  <w:r>
                    <w:rPr>
                      <w:color w:val="auto"/>
                      <w:kern w:val="0"/>
                      <w:u w:val="single"/>
                    </w:rPr>
                    <w:t>公用工程</w:t>
                  </w:r>
                </w:p>
              </w:tc>
              <w:tc>
                <w:tcPr>
                  <w:tcW w:w="726" w:type="pct"/>
                  <w:vAlign w:val="center"/>
                </w:tcPr>
                <w:p w14:paraId="1669BCC6">
                  <w:pPr>
                    <w:widowControl/>
                    <w:adjustRightInd w:val="0"/>
                    <w:snapToGrid w:val="0"/>
                    <w:jc w:val="center"/>
                    <w:rPr>
                      <w:color w:val="auto"/>
                      <w:kern w:val="0"/>
                      <w:u w:val="single"/>
                    </w:rPr>
                  </w:pPr>
                  <w:r>
                    <w:rPr>
                      <w:color w:val="auto"/>
                      <w:kern w:val="0"/>
                      <w:u w:val="single"/>
                    </w:rPr>
                    <w:t>供电</w:t>
                  </w:r>
                </w:p>
              </w:tc>
              <w:tc>
                <w:tcPr>
                  <w:tcW w:w="3846" w:type="pct"/>
                  <w:gridSpan w:val="3"/>
                  <w:vAlign w:val="center"/>
                </w:tcPr>
                <w:p w14:paraId="5D3A668F">
                  <w:pPr>
                    <w:widowControl/>
                    <w:adjustRightInd w:val="0"/>
                    <w:snapToGrid w:val="0"/>
                    <w:jc w:val="center"/>
                    <w:rPr>
                      <w:color w:val="auto"/>
                      <w:kern w:val="0"/>
                      <w:u w:val="single"/>
                    </w:rPr>
                  </w:pPr>
                  <w:r>
                    <w:rPr>
                      <w:color w:val="auto"/>
                      <w:u w:val="single"/>
                    </w:rPr>
                    <w:t>本项目由市政供电电源接入，自备箱式变电站，同时</w:t>
                  </w:r>
                  <w:r>
                    <w:rPr>
                      <w:rFonts w:hint="eastAsia"/>
                      <w:color w:val="auto"/>
                      <w:u w:val="single"/>
                      <w:lang w:val="en-US" w:eastAsia="zh-CN"/>
                    </w:rPr>
                    <w:t>设有</w:t>
                  </w:r>
                  <w:r>
                    <w:rPr>
                      <w:color w:val="auto"/>
                      <w:u w:val="single"/>
                    </w:rPr>
                    <w:t>备用</w:t>
                  </w:r>
                  <w:r>
                    <w:rPr>
                      <w:rFonts w:hint="eastAsia"/>
                      <w:color w:val="auto"/>
                      <w:u w:val="single"/>
                    </w:rPr>
                    <w:t>柴油发电机</w:t>
                  </w:r>
                </w:p>
              </w:tc>
            </w:tr>
            <w:tr w14:paraId="6838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2CF5C570">
                  <w:pPr>
                    <w:widowControl/>
                    <w:adjustRightInd w:val="0"/>
                    <w:snapToGrid w:val="0"/>
                    <w:jc w:val="center"/>
                    <w:rPr>
                      <w:color w:val="auto"/>
                      <w:kern w:val="0"/>
                      <w:u w:val="single"/>
                    </w:rPr>
                  </w:pPr>
                </w:p>
              </w:tc>
              <w:tc>
                <w:tcPr>
                  <w:tcW w:w="726" w:type="pct"/>
                  <w:vAlign w:val="center"/>
                </w:tcPr>
                <w:p w14:paraId="61C2F65D">
                  <w:pPr>
                    <w:widowControl/>
                    <w:adjustRightInd w:val="0"/>
                    <w:snapToGrid w:val="0"/>
                    <w:jc w:val="center"/>
                    <w:rPr>
                      <w:color w:val="auto"/>
                      <w:kern w:val="0"/>
                      <w:u w:val="single"/>
                    </w:rPr>
                  </w:pPr>
                  <w:r>
                    <w:rPr>
                      <w:color w:val="auto"/>
                      <w:u w:val="single"/>
                    </w:rPr>
                    <w:t>供水</w:t>
                  </w:r>
                </w:p>
              </w:tc>
              <w:tc>
                <w:tcPr>
                  <w:tcW w:w="3846" w:type="pct"/>
                  <w:gridSpan w:val="3"/>
                  <w:vAlign w:val="center"/>
                </w:tcPr>
                <w:p w14:paraId="534E85DB">
                  <w:pPr>
                    <w:widowControl/>
                    <w:adjustRightInd w:val="0"/>
                    <w:snapToGrid w:val="0"/>
                    <w:jc w:val="center"/>
                    <w:rPr>
                      <w:color w:val="auto"/>
                      <w:u w:val="single"/>
                    </w:rPr>
                  </w:pPr>
                  <w:r>
                    <w:rPr>
                      <w:color w:val="auto"/>
                      <w:u w:val="single"/>
                    </w:rPr>
                    <w:t>本项目给水采用市政自来水供给</w:t>
                  </w:r>
                </w:p>
              </w:tc>
            </w:tr>
            <w:tr w14:paraId="0227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61EA0B1C">
                  <w:pPr>
                    <w:widowControl/>
                    <w:adjustRightInd w:val="0"/>
                    <w:snapToGrid w:val="0"/>
                    <w:jc w:val="left"/>
                    <w:rPr>
                      <w:color w:val="auto"/>
                      <w:kern w:val="0"/>
                      <w:u w:val="single"/>
                    </w:rPr>
                  </w:pPr>
                </w:p>
              </w:tc>
              <w:tc>
                <w:tcPr>
                  <w:tcW w:w="726" w:type="pct"/>
                  <w:vAlign w:val="center"/>
                </w:tcPr>
                <w:p w14:paraId="784AC4C5">
                  <w:pPr>
                    <w:widowControl/>
                    <w:adjustRightInd w:val="0"/>
                    <w:snapToGrid w:val="0"/>
                    <w:jc w:val="center"/>
                    <w:rPr>
                      <w:color w:val="auto"/>
                      <w:kern w:val="0"/>
                      <w:u w:val="single"/>
                    </w:rPr>
                  </w:pPr>
                  <w:r>
                    <w:rPr>
                      <w:color w:val="auto"/>
                      <w:kern w:val="0"/>
                      <w:u w:val="single"/>
                    </w:rPr>
                    <w:t>消防</w:t>
                  </w:r>
                </w:p>
              </w:tc>
              <w:tc>
                <w:tcPr>
                  <w:tcW w:w="3846" w:type="pct"/>
                  <w:gridSpan w:val="3"/>
                  <w:vAlign w:val="center"/>
                </w:tcPr>
                <w:p w14:paraId="4D2A2F5B">
                  <w:pPr>
                    <w:widowControl/>
                    <w:adjustRightInd w:val="0"/>
                    <w:snapToGrid w:val="0"/>
                    <w:jc w:val="center"/>
                    <w:rPr>
                      <w:rFonts w:hint="default" w:eastAsia="宋体"/>
                      <w:color w:val="auto"/>
                      <w:kern w:val="0"/>
                      <w:u w:val="single"/>
                      <w:lang w:val="en-US" w:eastAsia="zh-CN"/>
                    </w:rPr>
                  </w:pPr>
                  <w:r>
                    <w:rPr>
                      <w:color w:val="auto"/>
                      <w:u w:val="single"/>
                    </w:rPr>
                    <w:t>消防砂池1处，容积为2m</w:t>
                  </w:r>
                  <w:r>
                    <w:rPr>
                      <w:color w:val="auto"/>
                      <w:u w:val="single"/>
                      <w:vertAlign w:val="superscript"/>
                    </w:rPr>
                    <w:t>3</w:t>
                  </w:r>
                  <w:r>
                    <w:rPr>
                      <w:color w:val="auto"/>
                      <w:u w:val="single"/>
                    </w:rPr>
                    <w:t>，</w:t>
                  </w:r>
                  <w:r>
                    <w:rPr>
                      <w:rFonts w:hint="eastAsia"/>
                      <w:color w:val="auto"/>
                      <w:u w:val="single"/>
                      <w:lang w:val="en-US" w:eastAsia="zh-CN"/>
                    </w:rPr>
                    <w:t>36只手提式干粉灭火器、35kg推车式灭火器2台、灭火毯5块、消防器材箱1座、消防沙箱1座、灭火器箱4座</w:t>
                  </w:r>
                </w:p>
              </w:tc>
            </w:tr>
            <w:tr w14:paraId="7207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restart"/>
                  <w:vAlign w:val="center"/>
                </w:tcPr>
                <w:p w14:paraId="44B9C3E9">
                  <w:pPr>
                    <w:widowControl/>
                    <w:adjustRightInd w:val="0"/>
                    <w:snapToGrid w:val="0"/>
                    <w:jc w:val="center"/>
                    <w:rPr>
                      <w:color w:val="auto"/>
                      <w:u w:val="single"/>
                    </w:rPr>
                  </w:pPr>
                  <w:r>
                    <w:rPr>
                      <w:color w:val="auto"/>
                      <w:kern w:val="0"/>
                      <w:u w:val="single"/>
                    </w:rPr>
                    <w:t>环保工程</w:t>
                  </w:r>
                </w:p>
              </w:tc>
              <w:tc>
                <w:tcPr>
                  <w:tcW w:w="726" w:type="pct"/>
                  <w:vAlign w:val="center"/>
                </w:tcPr>
                <w:p w14:paraId="758746B1">
                  <w:pPr>
                    <w:widowControl/>
                    <w:adjustRightInd w:val="0"/>
                    <w:snapToGrid w:val="0"/>
                    <w:jc w:val="center"/>
                    <w:rPr>
                      <w:color w:val="auto"/>
                      <w:kern w:val="0"/>
                      <w:u w:val="single"/>
                    </w:rPr>
                  </w:pPr>
                  <w:r>
                    <w:rPr>
                      <w:color w:val="auto"/>
                      <w:u w:val="single"/>
                    </w:rPr>
                    <w:t>废水</w:t>
                  </w:r>
                </w:p>
              </w:tc>
              <w:tc>
                <w:tcPr>
                  <w:tcW w:w="3846" w:type="pct"/>
                  <w:gridSpan w:val="3"/>
                  <w:vAlign w:val="center"/>
                </w:tcPr>
                <w:p w14:paraId="619A18CE">
                  <w:pPr>
                    <w:widowControl/>
                    <w:adjustRightInd w:val="0"/>
                    <w:snapToGrid w:val="0"/>
                    <w:jc w:val="center"/>
                    <w:rPr>
                      <w:color w:val="auto"/>
                      <w:kern w:val="0"/>
                      <w:highlight w:val="none"/>
                      <w:u w:val="single"/>
                    </w:rPr>
                  </w:pPr>
                  <w:r>
                    <w:rPr>
                      <w:rFonts w:hint="eastAsia"/>
                      <w:color w:val="auto"/>
                      <w:kern w:val="0"/>
                      <w:highlight w:val="none"/>
                      <w:u w:val="single"/>
                      <w:lang w:val="en-US" w:eastAsia="zh-CN"/>
                    </w:rPr>
                    <w:t>员工</w:t>
                  </w:r>
                  <w:r>
                    <w:rPr>
                      <w:color w:val="auto"/>
                      <w:kern w:val="0"/>
                      <w:highlight w:val="none"/>
                      <w:u w:val="single"/>
                    </w:rPr>
                    <w:t>生活污水</w:t>
                  </w:r>
                  <w:r>
                    <w:rPr>
                      <w:rFonts w:hint="eastAsia"/>
                      <w:color w:val="auto"/>
                      <w:kern w:val="0"/>
                      <w:highlight w:val="none"/>
                      <w:u w:val="single"/>
                      <w:lang w:val="en-US" w:eastAsia="zh-CN"/>
                    </w:rPr>
                    <w:t>经隔油池处理后</w:t>
                  </w:r>
                  <w:r>
                    <w:rPr>
                      <w:rFonts w:hint="eastAsia"/>
                      <w:color w:val="auto"/>
                      <w:kern w:val="0"/>
                      <w:szCs w:val="21"/>
                      <w:highlight w:val="none"/>
                      <w:u w:val="single"/>
                      <w:lang w:val="en-US" w:eastAsia="zh-CN"/>
                    </w:rPr>
                    <w:t>和</w:t>
                  </w:r>
                  <w:r>
                    <w:rPr>
                      <w:rFonts w:hint="eastAsia"/>
                      <w:color w:val="auto"/>
                      <w:kern w:val="0"/>
                      <w:highlight w:val="none"/>
                      <w:u w:val="single"/>
                      <w:lang w:eastAsia="zh-CN"/>
                    </w:rPr>
                    <w:t>公共卫生间废水</w:t>
                  </w:r>
                  <w:r>
                    <w:rPr>
                      <w:rFonts w:hint="eastAsia"/>
                      <w:color w:val="auto"/>
                      <w:kern w:val="0"/>
                      <w:highlight w:val="none"/>
                      <w:u w:val="single"/>
                      <w:lang w:val="en-US" w:eastAsia="zh-CN"/>
                    </w:rPr>
                    <w:t>一起经</w:t>
                  </w:r>
                  <w:r>
                    <w:rPr>
                      <w:color w:val="auto"/>
                      <w:kern w:val="0"/>
                      <w:szCs w:val="21"/>
                      <w:highlight w:val="none"/>
                      <w:u w:val="single"/>
                    </w:rPr>
                    <w:t>化粪池（</w:t>
                  </w:r>
                  <w:r>
                    <w:rPr>
                      <w:rFonts w:hint="eastAsia"/>
                      <w:color w:val="auto"/>
                      <w:szCs w:val="21"/>
                      <w:highlight w:val="none"/>
                      <w:u w:val="single"/>
                      <w:lang w:val="en-US" w:eastAsia="zh-CN"/>
                    </w:rPr>
                    <w:t>2</w:t>
                  </w:r>
                  <w:r>
                    <w:rPr>
                      <w:color w:val="auto"/>
                      <w:szCs w:val="21"/>
                      <w:highlight w:val="none"/>
                      <w:u w:val="single"/>
                    </w:rPr>
                    <w:t>m</w:t>
                  </w:r>
                  <w:r>
                    <w:rPr>
                      <w:color w:val="auto"/>
                      <w:szCs w:val="21"/>
                      <w:highlight w:val="none"/>
                      <w:u w:val="single"/>
                      <w:vertAlign w:val="superscript"/>
                    </w:rPr>
                    <w:t>3</w:t>
                  </w:r>
                  <w:r>
                    <w:rPr>
                      <w:color w:val="auto"/>
                      <w:kern w:val="0"/>
                      <w:szCs w:val="21"/>
                      <w:highlight w:val="none"/>
                      <w:u w:val="single"/>
                    </w:rPr>
                    <w:t>）处理</w:t>
                  </w:r>
                  <w:r>
                    <w:rPr>
                      <w:rFonts w:hint="eastAsia"/>
                      <w:color w:val="auto"/>
                      <w:kern w:val="0"/>
                      <w:szCs w:val="21"/>
                      <w:highlight w:val="none"/>
                      <w:u w:val="single"/>
                      <w:lang w:eastAsia="zh-CN"/>
                    </w:rPr>
                    <w:t>，地面清洁废水</w:t>
                  </w:r>
                  <w:r>
                    <w:rPr>
                      <w:color w:val="auto"/>
                      <w:kern w:val="0"/>
                      <w:szCs w:val="21"/>
                      <w:highlight w:val="none"/>
                      <w:u w:val="single"/>
                    </w:rPr>
                    <w:t>、初期雨水</w:t>
                  </w:r>
                  <w:r>
                    <w:rPr>
                      <w:rFonts w:hint="eastAsia"/>
                      <w:color w:val="auto"/>
                      <w:kern w:val="0"/>
                      <w:szCs w:val="21"/>
                      <w:highlight w:val="none"/>
                      <w:u w:val="single"/>
                      <w:lang w:eastAsia="zh-CN"/>
                    </w:rPr>
                    <w:t>、</w:t>
                  </w:r>
                  <w:r>
                    <w:rPr>
                      <w:rFonts w:hint="eastAsia"/>
                      <w:color w:val="auto"/>
                      <w:kern w:val="0"/>
                      <w:szCs w:val="21"/>
                      <w:highlight w:val="none"/>
                      <w:u w:val="single"/>
                      <w:lang w:val="en-US" w:eastAsia="zh-CN"/>
                    </w:rPr>
                    <w:t>洗车废水</w:t>
                  </w:r>
                  <w:r>
                    <w:rPr>
                      <w:color w:val="auto"/>
                      <w:kern w:val="0"/>
                      <w:szCs w:val="21"/>
                      <w:highlight w:val="none"/>
                      <w:u w:val="single"/>
                    </w:rPr>
                    <w:t>经隔油</w:t>
                  </w:r>
                  <w:r>
                    <w:rPr>
                      <w:rFonts w:hint="eastAsia"/>
                      <w:color w:val="auto"/>
                      <w:kern w:val="0"/>
                      <w:szCs w:val="21"/>
                      <w:highlight w:val="none"/>
                      <w:u w:val="single"/>
                      <w:lang w:val="en-US" w:eastAsia="zh-CN"/>
                    </w:rPr>
                    <w:t>沉淀</w:t>
                  </w:r>
                  <w:r>
                    <w:rPr>
                      <w:color w:val="auto"/>
                      <w:kern w:val="0"/>
                      <w:szCs w:val="21"/>
                      <w:highlight w:val="none"/>
                      <w:u w:val="single"/>
                    </w:rPr>
                    <w:t>池（</w:t>
                  </w:r>
                  <w:r>
                    <w:rPr>
                      <w:rFonts w:hint="eastAsia"/>
                      <w:color w:val="auto"/>
                      <w:szCs w:val="21"/>
                      <w:highlight w:val="none"/>
                      <w:u w:val="single"/>
                      <w:lang w:val="en-US" w:eastAsia="zh-CN"/>
                    </w:rPr>
                    <w:t>2</w:t>
                  </w:r>
                  <w:r>
                    <w:rPr>
                      <w:color w:val="auto"/>
                      <w:szCs w:val="21"/>
                      <w:highlight w:val="none"/>
                      <w:u w:val="single"/>
                    </w:rPr>
                    <w:t>0m</w:t>
                  </w:r>
                  <w:r>
                    <w:rPr>
                      <w:color w:val="auto"/>
                      <w:szCs w:val="21"/>
                      <w:highlight w:val="none"/>
                      <w:u w:val="single"/>
                      <w:vertAlign w:val="superscript"/>
                    </w:rPr>
                    <w:t>3</w:t>
                  </w:r>
                  <w:r>
                    <w:rPr>
                      <w:color w:val="auto"/>
                      <w:kern w:val="0"/>
                      <w:szCs w:val="21"/>
                      <w:highlight w:val="none"/>
                      <w:u w:val="single"/>
                    </w:rPr>
                    <w:t>）预处理后</w:t>
                  </w:r>
                  <w:r>
                    <w:rPr>
                      <w:rFonts w:hint="eastAsia"/>
                      <w:color w:val="auto"/>
                      <w:kern w:val="0"/>
                      <w:szCs w:val="21"/>
                      <w:highlight w:val="none"/>
                      <w:u w:val="single"/>
                    </w:rPr>
                    <w:t>，经厂区总排口</w:t>
                  </w:r>
                  <w:r>
                    <w:rPr>
                      <w:rFonts w:hint="eastAsia"/>
                      <w:color w:val="auto"/>
                      <w:kern w:val="0"/>
                      <w:highlight w:val="none"/>
                      <w:u w:val="single"/>
                    </w:rPr>
                    <w:t>排入污水管网</w:t>
                  </w:r>
                  <w:r>
                    <w:rPr>
                      <w:color w:val="auto"/>
                      <w:kern w:val="0"/>
                      <w:highlight w:val="none"/>
                      <w:u w:val="single"/>
                    </w:rPr>
                    <w:t>，进入</w:t>
                  </w:r>
                  <w:r>
                    <w:rPr>
                      <w:rFonts w:hint="eastAsia"/>
                      <w:color w:val="auto"/>
                      <w:kern w:val="0"/>
                      <w:highlight w:val="none"/>
                      <w:u w:val="single"/>
                      <w:lang w:eastAsia="zh-CN"/>
                    </w:rPr>
                    <w:t>祁阳市城北污水处理厂</w:t>
                  </w:r>
                  <w:r>
                    <w:rPr>
                      <w:rFonts w:hint="eastAsia"/>
                      <w:color w:val="auto"/>
                      <w:kern w:val="0"/>
                      <w:highlight w:val="none"/>
                      <w:u w:val="single"/>
                      <w:lang w:val="en-US" w:eastAsia="zh-CN"/>
                    </w:rPr>
                    <w:t>处理</w:t>
                  </w:r>
                </w:p>
              </w:tc>
            </w:tr>
            <w:tr w14:paraId="1F09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6BFE1F37">
                  <w:pPr>
                    <w:widowControl/>
                    <w:adjustRightInd w:val="0"/>
                    <w:snapToGrid w:val="0"/>
                    <w:jc w:val="left"/>
                    <w:rPr>
                      <w:color w:val="auto"/>
                      <w:kern w:val="0"/>
                      <w:u w:val="single"/>
                    </w:rPr>
                  </w:pPr>
                </w:p>
              </w:tc>
              <w:tc>
                <w:tcPr>
                  <w:tcW w:w="726" w:type="pct"/>
                  <w:vMerge w:val="restart"/>
                  <w:vAlign w:val="center"/>
                </w:tcPr>
                <w:p w14:paraId="24038EDB">
                  <w:pPr>
                    <w:widowControl/>
                    <w:adjustRightInd w:val="0"/>
                    <w:snapToGrid w:val="0"/>
                    <w:jc w:val="center"/>
                    <w:rPr>
                      <w:color w:val="auto"/>
                      <w:kern w:val="0"/>
                      <w:u w:val="single"/>
                    </w:rPr>
                  </w:pPr>
                  <w:r>
                    <w:rPr>
                      <w:color w:val="auto"/>
                      <w:u w:val="single"/>
                    </w:rPr>
                    <w:t>废气</w:t>
                  </w:r>
                </w:p>
              </w:tc>
              <w:tc>
                <w:tcPr>
                  <w:tcW w:w="1270" w:type="pct"/>
                  <w:vAlign w:val="center"/>
                </w:tcPr>
                <w:p w14:paraId="3CA52AC4">
                  <w:pPr>
                    <w:adjustRightInd w:val="0"/>
                    <w:snapToGrid w:val="0"/>
                    <w:jc w:val="center"/>
                    <w:rPr>
                      <w:rFonts w:hint="default" w:eastAsia="宋体"/>
                      <w:color w:val="auto"/>
                      <w:kern w:val="0"/>
                      <w:u w:val="single"/>
                      <w:lang w:val="en-US" w:eastAsia="zh-CN"/>
                    </w:rPr>
                  </w:pPr>
                  <w:r>
                    <w:rPr>
                      <w:color w:val="auto"/>
                      <w:u w:val="single"/>
                    </w:rPr>
                    <w:t>卸油、加油</w:t>
                  </w:r>
                  <w:r>
                    <w:rPr>
                      <w:rFonts w:hint="eastAsia"/>
                      <w:color w:val="auto"/>
                      <w:u w:val="single"/>
                      <w:lang w:eastAsia="zh-CN"/>
                    </w:rPr>
                    <w:t>、</w:t>
                  </w:r>
                  <w:r>
                    <w:rPr>
                      <w:rFonts w:hint="eastAsia"/>
                      <w:color w:val="auto"/>
                      <w:u w:val="single"/>
                      <w:lang w:val="en-US" w:eastAsia="zh-CN"/>
                    </w:rPr>
                    <w:t>储油</w:t>
                  </w:r>
                </w:p>
              </w:tc>
              <w:tc>
                <w:tcPr>
                  <w:tcW w:w="2575" w:type="pct"/>
                  <w:gridSpan w:val="2"/>
                  <w:vAlign w:val="center"/>
                </w:tcPr>
                <w:p w14:paraId="727D1C6C">
                  <w:pPr>
                    <w:adjustRightInd w:val="0"/>
                    <w:snapToGrid w:val="0"/>
                    <w:jc w:val="center"/>
                    <w:rPr>
                      <w:rFonts w:hint="default" w:eastAsia="宋体"/>
                      <w:color w:val="auto"/>
                      <w:kern w:val="0"/>
                      <w:u w:val="single"/>
                      <w:lang w:val="en-US" w:eastAsia="zh-CN"/>
                    </w:rPr>
                  </w:pPr>
                  <w:r>
                    <w:rPr>
                      <w:color w:val="auto"/>
                      <w:u w:val="single"/>
                    </w:rPr>
                    <w:t>一次油气回收系统：</w:t>
                  </w:r>
                  <w:r>
                    <w:rPr>
                      <w:rFonts w:hint="eastAsia"/>
                      <w:color w:val="auto"/>
                      <w:u w:val="single"/>
                      <w:lang w:val="en-US" w:eastAsia="zh-CN"/>
                    </w:rPr>
                    <w:t>卸油时采用</w:t>
                  </w:r>
                  <w:r>
                    <w:rPr>
                      <w:color w:val="auto"/>
                      <w:u w:val="single"/>
                    </w:rPr>
                    <w:t>一套油气回收系统。二次油气回收系统：</w:t>
                  </w:r>
                  <w:r>
                    <w:rPr>
                      <w:rFonts w:hint="eastAsia"/>
                      <w:color w:val="auto"/>
                      <w:u w:val="single"/>
                    </w:rPr>
                    <w:t>4台四枪双油品潜油泵型加油机</w:t>
                  </w:r>
                  <w:r>
                    <w:rPr>
                      <w:color w:val="auto"/>
                      <w:u w:val="single"/>
                    </w:rPr>
                    <w:t>分别配置油气回收加油枪和真空泵。</w:t>
                  </w:r>
                  <w:r>
                    <w:rPr>
                      <w:rFonts w:hint="eastAsia"/>
                      <w:color w:val="auto"/>
                      <w:u w:val="single"/>
                      <w:lang w:val="en-US" w:eastAsia="zh-CN"/>
                    </w:rPr>
                    <w:t>三次油气回收系统：汽油密闭储存、设油气回收监测系统和油气处理装置对储油过程中油气进行回收</w:t>
                  </w:r>
                </w:p>
              </w:tc>
            </w:tr>
            <w:tr w14:paraId="5D9A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332EDDA1">
                  <w:pPr>
                    <w:widowControl/>
                    <w:adjustRightInd w:val="0"/>
                    <w:snapToGrid w:val="0"/>
                    <w:jc w:val="left"/>
                    <w:rPr>
                      <w:color w:val="auto"/>
                      <w:kern w:val="0"/>
                      <w:u w:val="single"/>
                    </w:rPr>
                  </w:pPr>
                </w:p>
              </w:tc>
              <w:tc>
                <w:tcPr>
                  <w:tcW w:w="726" w:type="pct"/>
                  <w:vMerge w:val="continue"/>
                  <w:vAlign w:val="center"/>
                </w:tcPr>
                <w:p w14:paraId="27A3E17F">
                  <w:pPr>
                    <w:widowControl/>
                    <w:adjustRightInd w:val="0"/>
                    <w:snapToGrid w:val="0"/>
                    <w:jc w:val="center"/>
                    <w:rPr>
                      <w:color w:val="auto"/>
                      <w:u w:val="single"/>
                    </w:rPr>
                  </w:pPr>
                </w:p>
              </w:tc>
              <w:tc>
                <w:tcPr>
                  <w:tcW w:w="1270" w:type="pct"/>
                  <w:vAlign w:val="center"/>
                </w:tcPr>
                <w:p w14:paraId="11B6663A">
                  <w:pPr>
                    <w:adjustRightInd w:val="0"/>
                    <w:snapToGrid w:val="0"/>
                    <w:jc w:val="center"/>
                    <w:rPr>
                      <w:color w:val="auto"/>
                      <w:u w:val="single"/>
                    </w:rPr>
                  </w:pPr>
                  <w:r>
                    <w:rPr>
                      <w:rFonts w:hint="eastAsia"/>
                      <w:color w:val="auto"/>
                      <w:u w:val="single"/>
                    </w:rPr>
                    <w:t>备用柴油发电机废气</w:t>
                  </w:r>
                </w:p>
              </w:tc>
              <w:tc>
                <w:tcPr>
                  <w:tcW w:w="2575" w:type="pct"/>
                  <w:gridSpan w:val="2"/>
                  <w:vAlign w:val="center"/>
                </w:tcPr>
                <w:p w14:paraId="7C73D4FF">
                  <w:pPr>
                    <w:adjustRightInd w:val="0"/>
                    <w:snapToGrid w:val="0"/>
                    <w:jc w:val="center"/>
                    <w:rPr>
                      <w:rFonts w:hint="default" w:eastAsia="宋体"/>
                      <w:color w:val="auto"/>
                      <w:spacing w:val="6"/>
                      <w:u w:val="single"/>
                      <w:lang w:val="en-US" w:eastAsia="zh-CN"/>
                    </w:rPr>
                  </w:pPr>
                  <w:r>
                    <w:rPr>
                      <w:rFonts w:hint="eastAsia"/>
                      <w:color w:val="auto"/>
                      <w:spacing w:val="6"/>
                      <w:u w:val="single"/>
                    </w:rPr>
                    <w:t>采用轻质柴油</w:t>
                  </w:r>
                  <w:r>
                    <w:rPr>
                      <w:rFonts w:hint="eastAsia"/>
                      <w:color w:val="auto"/>
                      <w:spacing w:val="6"/>
                      <w:u w:val="single"/>
                      <w:lang w:eastAsia="zh-CN"/>
                    </w:rPr>
                    <w:t>，</w:t>
                  </w:r>
                  <w:r>
                    <w:rPr>
                      <w:rFonts w:hint="eastAsia"/>
                      <w:color w:val="auto"/>
                      <w:spacing w:val="6"/>
                      <w:u w:val="single"/>
                      <w:lang w:val="en-US" w:eastAsia="zh-CN"/>
                    </w:rPr>
                    <w:t>加强通风</w:t>
                  </w:r>
                </w:p>
              </w:tc>
            </w:tr>
            <w:tr w14:paraId="39F7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12D88D4C">
                  <w:pPr>
                    <w:widowControl/>
                    <w:adjustRightInd w:val="0"/>
                    <w:snapToGrid w:val="0"/>
                    <w:jc w:val="left"/>
                    <w:rPr>
                      <w:color w:val="auto"/>
                      <w:kern w:val="0"/>
                      <w:u w:val="single"/>
                    </w:rPr>
                  </w:pPr>
                </w:p>
              </w:tc>
              <w:tc>
                <w:tcPr>
                  <w:tcW w:w="726" w:type="pct"/>
                  <w:vMerge w:val="continue"/>
                  <w:vAlign w:val="center"/>
                </w:tcPr>
                <w:p w14:paraId="6552B3BF">
                  <w:pPr>
                    <w:widowControl/>
                    <w:adjustRightInd w:val="0"/>
                    <w:snapToGrid w:val="0"/>
                    <w:jc w:val="center"/>
                    <w:rPr>
                      <w:color w:val="auto"/>
                      <w:u w:val="single"/>
                    </w:rPr>
                  </w:pPr>
                </w:p>
              </w:tc>
              <w:tc>
                <w:tcPr>
                  <w:tcW w:w="1270" w:type="pct"/>
                  <w:vAlign w:val="center"/>
                </w:tcPr>
                <w:p w14:paraId="1947F64B">
                  <w:pPr>
                    <w:adjustRightInd w:val="0"/>
                    <w:snapToGrid w:val="0"/>
                    <w:jc w:val="center"/>
                    <w:rPr>
                      <w:rFonts w:hint="default" w:eastAsia="宋体"/>
                      <w:color w:val="auto"/>
                      <w:u w:val="single"/>
                      <w:lang w:val="en-US" w:eastAsia="zh-CN"/>
                    </w:rPr>
                  </w:pPr>
                  <w:r>
                    <w:rPr>
                      <w:rFonts w:hint="eastAsia"/>
                      <w:color w:val="auto"/>
                      <w:u w:val="single"/>
                      <w:lang w:val="en-US" w:eastAsia="zh-CN"/>
                    </w:rPr>
                    <w:t>食堂油烟</w:t>
                  </w:r>
                </w:p>
              </w:tc>
              <w:tc>
                <w:tcPr>
                  <w:tcW w:w="2575" w:type="pct"/>
                  <w:gridSpan w:val="2"/>
                  <w:vAlign w:val="center"/>
                </w:tcPr>
                <w:p w14:paraId="014A5329">
                  <w:pPr>
                    <w:adjustRightInd w:val="0"/>
                    <w:snapToGrid w:val="0"/>
                    <w:jc w:val="center"/>
                    <w:rPr>
                      <w:color w:val="auto"/>
                      <w:spacing w:val="6"/>
                      <w:u w:val="single"/>
                    </w:rPr>
                  </w:pPr>
                  <w:r>
                    <w:rPr>
                      <w:rFonts w:hint="eastAsia"/>
                      <w:color w:val="auto"/>
                      <w:spacing w:val="6"/>
                      <w:u w:val="single"/>
                    </w:rPr>
                    <w:t>油烟废气收集后经油烟净化器处理达标后引至楼顶排放</w:t>
                  </w:r>
                </w:p>
              </w:tc>
            </w:tr>
            <w:tr w14:paraId="2A40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46312F3C">
                  <w:pPr>
                    <w:widowControl/>
                    <w:adjustRightInd w:val="0"/>
                    <w:snapToGrid w:val="0"/>
                    <w:jc w:val="left"/>
                    <w:rPr>
                      <w:color w:val="auto"/>
                      <w:kern w:val="0"/>
                      <w:u w:val="single"/>
                    </w:rPr>
                  </w:pPr>
                </w:p>
              </w:tc>
              <w:tc>
                <w:tcPr>
                  <w:tcW w:w="726" w:type="pct"/>
                  <w:vMerge w:val="continue"/>
                  <w:vAlign w:val="center"/>
                </w:tcPr>
                <w:p w14:paraId="6FDD0F1B">
                  <w:pPr>
                    <w:widowControl/>
                    <w:adjustRightInd w:val="0"/>
                    <w:snapToGrid w:val="0"/>
                    <w:jc w:val="center"/>
                    <w:rPr>
                      <w:color w:val="auto"/>
                      <w:u w:val="single"/>
                    </w:rPr>
                  </w:pPr>
                </w:p>
              </w:tc>
              <w:tc>
                <w:tcPr>
                  <w:tcW w:w="1270" w:type="pct"/>
                  <w:vAlign w:val="center"/>
                </w:tcPr>
                <w:p w14:paraId="5E2A612F">
                  <w:pPr>
                    <w:adjustRightInd w:val="0"/>
                    <w:snapToGrid w:val="0"/>
                    <w:jc w:val="center"/>
                    <w:rPr>
                      <w:color w:val="auto"/>
                      <w:u w:val="single"/>
                    </w:rPr>
                  </w:pPr>
                  <w:r>
                    <w:rPr>
                      <w:color w:val="auto"/>
                      <w:u w:val="single"/>
                    </w:rPr>
                    <w:t>汽车尾气</w:t>
                  </w:r>
                </w:p>
              </w:tc>
              <w:tc>
                <w:tcPr>
                  <w:tcW w:w="2575" w:type="pct"/>
                  <w:gridSpan w:val="2"/>
                  <w:vAlign w:val="center"/>
                </w:tcPr>
                <w:p w14:paraId="3263F207">
                  <w:pPr>
                    <w:adjustRightInd w:val="0"/>
                    <w:snapToGrid w:val="0"/>
                    <w:jc w:val="center"/>
                    <w:rPr>
                      <w:color w:val="auto"/>
                      <w:kern w:val="0"/>
                      <w:u w:val="single"/>
                    </w:rPr>
                  </w:pPr>
                  <w:r>
                    <w:rPr>
                      <w:color w:val="auto"/>
                      <w:spacing w:val="6"/>
                      <w:u w:val="single"/>
                    </w:rPr>
                    <w:t>自然通风</w:t>
                  </w:r>
                </w:p>
              </w:tc>
            </w:tr>
            <w:tr w14:paraId="423E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436A7A91">
                  <w:pPr>
                    <w:widowControl/>
                    <w:adjustRightInd w:val="0"/>
                    <w:snapToGrid w:val="0"/>
                    <w:jc w:val="left"/>
                    <w:rPr>
                      <w:color w:val="auto"/>
                      <w:kern w:val="0"/>
                      <w:u w:val="single"/>
                    </w:rPr>
                  </w:pPr>
                </w:p>
              </w:tc>
              <w:tc>
                <w:tcPr>
                  <w:tcW w:w="726" w:type="pct"/>
                  <w:vMerge w:val="restart"/>
                  <w:vAlign w:val="center"/>
                </w:tcPr>
                <w:p w14:paraId="7C8B32E2">
                  <w:pPr>
                    <w:widowControl/>
                    <w:adjustRightInd w:val="0"/>
                    <w:snapToGrid w:val="0"/>
                    <w:jc w:val="center"/>
                    <w:rPr>
                      <w:color w:val="auto"/>
                      <w:u w:val="single"/>
                    </w:rPr>
                  </w:pPr>
                  <w:r>
                    <w:rPr>
                      <w:color w:val="auto"/>
                      <w:u w:val="single"/>
                    </w:rPr>
                    <w:t>固废</w:t>
                  </w:r>
                </w:p>
              </w:tc>
              <w:tc>
                <w:tcPr>
                  <w:tcW w:w="1270" w:type="pct"/>
                  <w:vAlign w:val="center"/>
                </w:tcPr>
                <w:p w14:paraId="6D1A6070">
                  <w:pPr>
                    <w:autoSpaceDE w:val="0"/>
                    <w:autoSpaceDN w:val="0"/>
                    <w:adjustRightInd w:val="0"/>
                    <w:snapToGrid w:val="0"/>
                    <w:spacing w:line="240" w:lineRule="atLeast"/>
                    <w:jc w:val="center"/>
                    <w:rPr>
                      <w:rFonts w:hint="default" w:eastAsia="宋体"/>
                      <w:color w:val="auto"/>
                      <w:u w:val="single"/>
                      <w:lang w:val="en-US" w:eastAsia="zh-CN"/>
                    </w:rPr>
                  </w:pPr>
                  <w:r>
                    <w:rPr>
                      <w:rFonts w:hint="eastAsia"/>
                      <w:color w:val="auto"/>
                      <w:u w:val="single"/>
                      <w:lang w:val="en-US" w:eastAsia="zh-CN"/>
                    </w:rPr>
                    <w:t>隔油沉淀池</w:t>
                  </w:r>
                  <w:r>
                    <w:rPr>
                      <w:color w:val="auto"/>
                      <w:u w:val="single"/>
                    </w:rPr>
                    <w:t>油泥、含油抹布和手套</w:t>
                  </w:r>
                  <w:r>
                    <w:rPr>
                      <w:rFonts w:hint="eastAsia"/>
                      <w:color w:val="auto"/>
                      <w:u w:val="single"/>
                      <w:lang w:eastAsia="zh-CN"/>
                    </w:rPr>
                    <w:t>、</w:t>
                  </w:r>
                  <w:r>
                    <w:rPr>
                      <w:rFonts w:hint="eastAsia"/>
                      <w:color w:val="auto"/>
                      <w:u w:val="single"/>
                      <w:lang w:val="en-US" w:eastAsia="zh-CN"/>
                    </w:rPr>
                    <w:t>废活性炭</w:t>
                  </w:r>
                </w:p>
              </w:tc>
              <w:tc>
                <w:tcPr>
                  <w:tcW w:w="2575" w:type="pct"/>
                  <w:gridSpan w:val="2"/>
                  <w:vAlign w:val="center"/>
                </w:tcPr>
                <w:p w14:paraId="63F814F7">
                  <w:pPr>
                    <w:widowControl/>
                    <w:adjustRightInd w:val="0"/>
                    <w:snapToGrid w:val="0"/>
                    <w:jc w:val="center"/>
                    <w:rPr>
                      <w:color w:val="auto"/>
                      <w:kern w:val="0"/>
                      <w:u w:val="single"/>
                    </w:rPr>
                  </w:pPr>
                  <w:r>
                    <w:rPr>
                      <w:color w:val="auto"/>
                      <w:kern w:val="0"/>
                      <w:u w:val="single"/>
                    </w:rPr>
                    <w:t>在辅房设置专门的危废暂存间（5m</w:t>
                  </w:r>
                  <w:r>
                    <w:rPr>
                      <w:color w:val="auto"/>
                      <w:kern w:val="0"/>
                      <w:u w:val="single"/>
                      <w:vertAlign w:val="superscript"/>
                    </w:rPr>
                    <w:t>2</w:t>
                  </w:r>
                  <w:r>
                    <w:rPr>
                      <w:color w:val="auto"/>
                      <w:kern w:val="0"/>
                      <w:u w:val="single"/>
                    </w:rPr>
                    <w:t>）委托有资质的单位进行集中处置</w:t>
                  </w:r>
                </w:p>
              </w:tc>
            </w:tr>
            <w:tr w14:paraId="53A0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16BAAFCC">
                  <w:pPr>
                    <w:widowControl/>
                    <w:adjustRightInd w:val="0"/>
                    <w:snapToGrid w:val="0"/>
                    <w:jc w:val="left"/>
                    <w:rPr>
                      <w:color w:val="auto"/>
                      <w:kern w:val="0"/>
                      <w:u w:val="single"/>
                    </w:rPr>
                  </w:pPr>
                </w:p>
              </w:tc>
              <w:tc>
                <w:tcPr>
                  <w:tcW w:w="726" w:type="pct"/>
                  <w:vMerge w:val="continue"/>
                  <w:vAlign w:val="center"/>
                </w:tcPr>
                <w:p w14:paraId="5FA3613C">
                  <w:pPr>
                    <w:widowControl/>
                    <w:adjustRightInd w:val="0"/>
                    <w:snapToGrid w:val="0"/>
                    <w:jc w:val="center"/>
                    <w:rPr>
                      <w:color w:val="auto"/>
                      <w:u w:val="single"/>
                    </w:rPr>
                  </w:pPr>
                </w:p>
              </w:tc>
              <w:tc>
                <w:tcPr>
                  <w:tcW w:w="1270" w:type="pct"/>
                  <w:vAlign w:val="center"/>
                </w:tcPr>
                <w:p w14:paraId="2E1FA465">
                  <w:pPr>
                    <w:autoSpaceDE w:val="0"/>
                    <w:autoSpaceDN w:val="0"/>
                    <w:adjustRightInd w:val="0"/>
                    <w:snapToGrid w:val="0"/>
                    <w:spacing w:line="240" w:lineRule="atLeast"/>
                    <w:jc w:val="center"/>
                    <w:rPr>
                      <w:color w:val="auto"/>
                      <w:u w:val="single"/>
                    </w:rPr>
                  </w:pPr>
                  <w:r>
                    <w:rPr>
                      <w:color w:val="auto"/>
                      <w:u w:val="single"/>
                    </w:rPr>
                    <w:t>油罐废油渣</w:t>
                  </w:r>
                </w:p>
              </w:tc>
              <w:tc>
                <w:tcPr>
                  <w:tcW w:w="2575" w:type="pct"/>
                  <w:gridSpan w:val="2"/>
                  <w:vAlign w:val="center"/>
                </w:tcPr>
                <w:p w14:paraId="69BEA7A4">
                  <w:pPr>
                    <w:widowControl/>
                    <w:adjustRightInd w:val="0"/>
                    <w:snapToGrid w:val="0"/>
                    <w:jc w:val="center"/>
                    <w:rPr>
                      <w:color w:val="auto"/>
                      <w:kern w:val="0"/>
                      <w:u w:val="single"/>
                    </w:rPr>
                  </w:pPr>
                  <w:r>
                    <w:rPr>
                      <w:color w:val="auto"/>
                      <w:kern w:val="0"/>
                      <w:u w:val="single"/>
                    </w:rPr>
                    <w:t>委托有资质的专业公司清理后立即运走处理，</w:t>
                  </w:r>
                  <w:r>
                    <w:rPr>
                      <w:rFonts w:hint="eastAsia"/>
                      <w:color w:val="auto"/>
                      <w:kern w:val="0"/>
                      <w:u w:val="single"/>
                    </w:rPr>
                    <w:t>不在站内暂存</w:t>
                  </w:r>
                </w:p>
              </w:tc>
            </w:tr>
            <w:tr w14:paraId="0002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4E575DBA">
                  <w:pPr>
                    <w:widowControl/>
                    <w:adjustRightInd w:val="0"/>
                    <w:snapToGrid w:val="0"/>
                    <w:jc w:val="left"/>
                    <w:rPr>
                      <w:color w:val="auto"/>
                      <w:kern w:val="0"/>
                      <w:u w:val="single"/>
                    </w:rPr>
                  </w:pPr>
                </w:p>
              </w:tc>
              <w:tc>
                <w:tcPr>
                  <w:tcW w:w="726" w:type="pct"/>
                  <w:vMerge w:val="continue"/>
                  <w:vAlign w:val="center"/>
                </w:tcPr>
                <w:p w14:paraId="6C3D272D">
                  <w:pPr>
                    <w:widowControl/>
                    <w:adjustRightInd w:val="0"/>
                    <w:snapToGrid w:val="0"/>
                    <w:jc w:val="center"/>
                    <w:rPr>
                      <w:color w:val="auto"/>
                      <w:u w:val="single"/>
                    </w:rPr>
                  </w:pPr>
                </w:p>
              </w:tc>
              <w:tc>
                <w:tcPr>
                  <w:tcW w:w="1270" w:type="pct"/>
                  <w:vAlign w:val="center"/>
                </w:tcPr>
                <w:p w14:paraId="4A530051">
                  <w:pPr>
                    <w:autoSpaceDE w:val="0"/>
                    <w:autoSpaceDN w:val="0"/>
                    <w:adjustRightInd w:val="0"/>
                    <w:snapToGrid w:val="0"/>
                    <w:spacing w:line="240" w:lineRule="atLeast"/>
                    <w:jc w:val="center"/>
                    <w:rPr>
                      <w:color w:val="auto"/>
                      <w:u w:val="single"/>
                    </w:rPr>
                  </w:pPr>
                  <w:r>
                    <w:rPr>
                      <w:color w:val="auto"/>
                      <w:u w:val="single"/>
                    </w:rPr>
                    <w:t>生活垃圾</w:t>
                  </w:r>
                </w:p>
              </w:tc>
              <w:tc>
                <w:tcPr>
                  <w:tcW w:w="2575" w:type="pct"/>
                  <w:gridSpan w:val="2"/>
                  <w:vAlign w:val="center"/>
                </w:tcPr>
                <w:p w14:paraId="7DBF8232">
                  <w:pPr>
                    <w:widowControl/>
                    <w:adjustRightInd w:val="0"/>
                    <w:snapToGrid w:val="0"/>
                    <w:jc w:val="center"/>
                    <w:rPr>
                      <w:color w:val="auto"/>
                      <w:kern w:val="0"/>
                      <w:u w:val="single"/>
                    </w:rPr>
                  </w:pPr>
                  <w:r>
                    <w:rPr>
                      <w:color w:val="auto"/>
                      <w:u w:val="single"/>
                    </w:rPr>
                    <w:t>统一收集，委托环卫部门及时清运</w:t>
                  </w:r>
                </w:p>
              </w:tc>
            </w:tr>
            <w:tr w14:paraId="6137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Merge w:val="continue"/>
                  <w:vAlign w:val="center"/>
                </w:tcPr>
                <w:p w14:paraId="7E812822">
                  <w:pPr>
                    <w:widowControl/>
                    <w:adjustRightInd w:val="0"/>
                    <w:snapToGrid w:val="0"/>
                    <w:jc w:val="left"/>
                    <w:rPr>
                      <w:color w:val="auto"/>
                      <w:kern w:val="0"/>
                      <w:u w:val="single"/>
                    </w:rPr>
                  </w:pPr>
                </w:p>
              </w:tc>
              <w:tc>
                <w:tcPr>
                  <w:tcW w:w="726" w:type="pct"/>
                  <w:vAlign w:val="center"/>
                </w:tcPr>
                <w:p w14:paraId="4F4A9C3C">
                  <w:pPr>
                    <w:widowControl/>
                    <w:adjustRightInd w:val="0"/>
                    <w:snapToGrid w:val="0"/>
                    <w:jc w:val="center"/>
                    <w:rPr>
                      <w:rFonts w:hint="default" w:eastAsia="宋体"/>
                      <w:color w:val="auto"/>
                      <w:u w:val="single"/>
                      <w:lang w:val="en-US" w:eastAsia="zh-CN"/>
                    </w:rPr>
                  </w:pPr>
                  <w:r>
                    <w:rPr>
                      <w:rFonts w:hint="eastAsia"/>
                      <w:color w:val="auto"/>
                      <w:u w:val="single"/>
                      <w:lang w:val="en-US" w:eastAsia="zh-CN"/>
                    </w:rPr>
                    <w:t>环境风险</w:t>
                  </w:r>
                </w:p>
              </w:tc>
              <w:tc>
                <w:tcPr>
                  <w:tcW w:w="3846" w:type="pct"/>
                  <w:gridSpan w:val="3"/>
                  <w:vAlign w:val="center"/>
                </w:tcPr>
                <w:p w14:paraId="55FA9D14">
                  <w:pPr>
                    <w:widowControl/>
                    <w:adjustRightInd w:val="0"/>
                    <w:snapToGrid w:val="0"/>
                    <w:jc w:val="center"/>
                    <w:rPr>
                      <w:color w:val="auto"/>
                      <w:u w:val="single"/>
                    </w:rPr>
                  </w:pPr>
                  <w:r>
                    <w:rPr>
                      <w:rFonts w:hint="eastAsia"/>
                      <w:color w:val="auto"/>
                      <w:u w:val="single"/>
                    </w:rPr>
                    <w:t>按要求进行防渗，项目拟在埋地油罐区</w:t>
                  </w:r>
                  <w:r>
                    <w:rPr>
                      <w:rFonts w:hint="eastAsia"/>
                      <w:color w:val="auto"/>
                      <w:u w:val="single"/>
                      <w:lang w:val="en-US" w:eastAsia="zh-CN"/>
                    </w:rPr>
                    <w:t>旁</w:t>
                  </w:r>
                  <w:r>
                    <w:rPr>
                      <w:rFonts w:hint="eastAsia"/>
                      <w:color w:val="auto"/>
                      <w:u w:val="single"/>
                    </w:rPr>
                    <w:t>设置1座地下水监测井及时掌握区内地下水污染情况。项目土壤影响源主要为汽油柴油储罐区、加油卸油区、污水处理设施，项目汽油柴油储罐为双层储罐，项目拟在加油卸油区、污水处理设备、管道、污水储存及处理构筑物采取防渗及硬化，站区进行防渗，加油站对每个油罐配备液位仪，实时监控油品有无渗漏；且定期会对油罐进行清罐作业。</w:t>
                  </w:r>
                </w:p>
              </w:tc>
            </w:tr>
            <w:tr w14:paraId="7B14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pct"/>
                  <w:vAlign w:val="center"/>
                </w:tcPr>
                <w:p w14:paraId="08395F25">
                  <w:pPr>
                    <w:widowControl/>
                    <w:adjustRightInd w:val="0"/>
                    <w:snapToGrid w:val="0"/>
                    <w:jc w:val="center"/>
                    <w:rPr>
                      <w:color w:val="auto"/>
                      <w:kern w:val="0"/>
                      <w:u w:val="single"/>
                    </w:rPr>
                  </w:pPr>
                  <w:r>
                    <w:rPr>
                      <w:color w:val="auto"/>
                      <w:kern w:val="0"/>
                      <w:u w:val="single"/>
                    </w:rPr>
                    <w:t>储运工程</w:t>
                  </w:r>
                </w:p>
              </w:tc>
              <w:tc>
                <w:tcPr>
                  <w:tcW w:w="4572" w:type="pct"/>
                  <w:gridSpan w:val="4"/>
                  <w:vAlign w:val="center"/>
                </w:tcPr>
                <w:p w14:paraId="11135662">
                  <w:pPr>
                    <w:widowControl/>
                    <w:adjustRightInd w:val="0"/>
                    <w:snapToGrid w:val="0"/>
                    <w:jc w:val="center"/>
                    <w:rPr>
                      <w:color w:val="auto"/>
                      <w:kern w:val="0"/>
                      <w:u w:val="single"/>
                    </w:rPr>
                  </w:pPr>
                  <w:r>
                    <w:rPr>
                      <w:color w:val="auto"/>
                      <w:kern w:val="0"/>
                      <w:u w:val="single"/>
                    </w:rPr>
                    <w:t>运输采用专用车辆</w:t>
                  </w:r>
                </w:p>
              </w:tc>
            </w:tr>
          </w:tbl>
          <w:p w14:paraId="6F53BAF1">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b/>
                <w:bCs/>
              </w:rPr>
            </w:pPr>
            <w:r>
              <w:rPr>
                <w:rFonts w:hint="eastAsia"/>
                <w:b/>
                <w:bCs/>
                <w:lang w:val="en-US" w:eastAsia="zh-CN"/>
              </w:rPr>
              <w:t xml:space="preserve">2.3 </w:t>
            </w:r>
            <w:r>
              <w:rPr>
                <w:b/>
                <w:bCs/>
              </w:rPr>
              <w:t>主要销售方案</w:t>
            </w:r>
          </w:p>
          <w:p w14:paraId="224231A9">
            <w:pPr>
              <w:pStyle w:val="11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lang w:val="en-US" w:eastAsia="zh-CN"/>
              </w:rPr>
            </w:pPr>
            <w:r>
              <w:t>本项目为92#、95#</w:t>
            </w:r>
            <w:r>
              <w:rPr>
                <w:rFonts w:hint="eastAsia"/>
                <w:lang w:val="en-US" w:eastAsia="zh-CN"/>
              </w:rPr>
              <w:t>汽油</w:t>
            </w:r>
            <w:r>
              <w:t>及0#柴油等成品油的销售</w:t>
            </w:r>
            <w:r>
              <w:rPr>
                <w:rFonts w:hint="eastAsia"/>
                <w:lang w:eastAsia="zh-CN"/>
              </w:rPr>
              <w:t>，</w:t>
            </w:r>
            <w:r>
              <w:t>具体销售方案见下表</w:t>
            </w:r>
            <w:r>
              <w:rPr>
                <w:rFonts w:hint="eastAsia"/>
                <w:lang w:val="en-US" w:eastAsia="zh-CN"/>
              </w:rPr>
              <w:t>：</w:t>
            </w:r>
          </w:p>
          <w:p w14:paraId="24DCA7EE">
            <w:pPr>
              <w:pStyle w:val="118"/>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sz w:val="24"/>
                <w:szCs w:val="24"/>
              </w:rPr>
            </w:pPr>
            <w:r>
              <w:rPr>
                <w:b/>
                <w:sz w:val="24"/>
                <w:szCs w:val="24"/>
              </w:rPr>
              <w:t>表2-3 项目产品销售方案一览表</w:t>
            </w:r>
          </w:p>
          <w:tbl>
            <w:tblPr>
              <w:tblStyle w:val="51"/>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43"/>
              <w:gridCol w:w="1313"/>
              <w:gridCol w:w="947"/>
              <w:gridCol w:w="1393"/>
              <w:gridCol w:w="1725"/>
              <w:gridCol w:w="2054"/>
            </w:tblGrid>
            <w:tr w14:paraId="54F316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4" w:hRule="atLeast"/>
                <w:jc w:val="center"/>
              </w:trPr>
              <w:tc>
                <w:tcPr>
                  <w:tcW w:w="563" w:type="pct"/>
                  <w:vAlign w:val="center"/>
                </w:tcPr>
                <w:p w14:paraId="3016F1F1">
                  <w:pPr>
                    <w:jc w:val="center"/>
                    <w:rPr>
                      <w:b/>
                      <w:bCs/>
                    </w:rPr>
                  </w:pPr>
                  <w:r>
                    <w:rPr>
                      <w:b/>
                      <w:bCs/>
                    </w:rPr>
                    <w:t>序号</w:t>
                  </w:r>
                </w:p>
              </w:tc>
              <w:tc>
                <w:tcPr>
                  <w:tcW w:w="783" w:type="pct"/>
                  <w:vAlign w:val="center"/>
                </w:tcPr>
                <w:p w14:paraId="06A1A604">
                  <w:pPr>
                    <w:jc w:val="center"/>
                    <w:rPr>
                      <w:b/>
                      <w:bCs/>
                    </w:rPr>
                  </w:pPr>
                  <w:r>
                    <w:rPr>
                      <w:b/>
                      <w:bCs/>
                    </w:rPr>
                    <w:t>物料名称</w:t>
                  </w:r>
                </w:p>
              </w:tc>
              <w:tc>
                <w:tcPr>
                  <w:tcW w:w="565" w:type="pct"/>
                  <w:vAlign w:val="center"/>
                </w:tcPr>
                <w:p w14:paraId="77EB678C">
                  <w:pPr>
                    <w:jc w:val="center"/>
                    <w:rPr>
                      <w:b/>
                      <w:bCs/>
                    </w:rPr>
                  </w:pPr>
                  <w:r>
                    <w:rPr>
                      <w:b/>
                      <w:bCs/>
                    </w:rPr>
                    <w:t>规格</w:t>
                  </w:r>
                </w:p>
              </w:tc>
              <w:tc>
                <w:tcPr>
                  <w:tcW w:w="831" w:type="pct"/>
                  <w:vAlign w:val="center"/>
                </w:tcPr>
                <w:p w14:paraId="2B67E09D">
                  <w:pPr>
                    <w:jc w:val="center"/>
                    <w:rPr>
                      <w:b/>
                      <w:bCs/>
                    </w:rPr>
                  </w:pPr>
                  <w:r>
                    <w:rPr>
                      <w:b/>
                      <w:bCs/>
                    </w:rPr>
                    <w:t>销售量</w:t>
                  </w:r>
                </w:p>
              </w:tc>
              <w:tc>
                <w:tcPr>
                  <w:tcW w:w="1029" w:type="pct"/>
                  <w:vAlign w:val="center"/>
                </w:tcPr>
                <w:p w14:paraId="341DD34F">
                  <w:pPr>
                    <w:jc w:val="center"/>
                    <w:rPr>
                      <w:b/>
                      <w:bCs/>
                    </w:rPr>
                  </w:pPr>
                  <w:r>
                    <w:rPr>
                      <w:b/>
                      <w:bCs/>
                    </w:rPr>
                    <w:t>运输方式</w:t>
                  </w:r>
                </w:p>
              </w:tc>
              <w:tc>
                <w:tcPr>
                  <w:tcW w:w="1225" w:type="pct"/>
                  <w:vAlign w:val="center"/>
                </w:tcPr>
                <w:p w14:paraId="292E419A">
                  <w:pPr>
                    <w:jc w:val="center"/>
                    <w:rPr>
                      <w:b/>
                      <w:bCs/>
                    </w:rPr>
                  </w:pPr>
                  <w:r>
                    <w:rPr>
                      <w:b/>
                      <w:bCs/>
                    </w:rPr>
                    <w:t>来源</w:t>
                  </w:r>
                </w:p>
              </w:tc>
            </w:tr>
            <w:tr w14:paraId="527C18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563" w:type="pct"/>
                  <w:vAlign w:val="center"/>
                </w:tcPr>
                <w:p w14:paraId="60C138AB">
                  <w:pPr>
                    <w:jc w:val="center"/>
                  </w:pPr>
                  <w:r>
                    <w:t>1</w:t>
                  </w:r>
                </w:p>
              </w:tc>
              <w:tc>
                <w:tcPr>
                  <w:tcW w:w="783" w:type="pct"/>
                  <w:vAlign w:val="center"/>
                </w:tcPr>
                <w:p w14:paraId="2ADAD981">
                  <w:pPr>
                    <w:jc w:val="center"/>
                  </w:pPr>
                  <w:r>
                    <w:t>柴油</w:t>
                  </w:r>
                </w:p>
              </w:tc>
              <w:tc>
                <w:tcPr>
                  <w:tcW w:w="565" w:type="pct"/>
                  <w:vAlign w:val="center"/>
                </w:tcPr>
                <w:p w14:paraId="384244BB">
                  <w:pPr>
                    <w:jc w:val="center"/>
                  </w:pPr>
                  <w:r>
                    <w:t>0＃</w:t>
                  </w:r>
                </w:p>
              </w:tc>
              <w:tc>
                <w:tcPr>
                  <w:tcW w:w="831" w:type="pct"/>
                  <w:vAlign w:val="center"/>
                </w:tcPr>
                <w:p w14:paraId="63D04469">
                  <w:pPr>
                    <w:jc w:val="center"/>
                  </w:pPr>
                  <w:r>
                    <w:rPr>
                      <w:rFonts w:hint="eastAsia"/>
                      <w:lang w:val="en-US" w:eastAsia="zh-CN"/>
                    </w:rPr>
                    <w:t>360</w:t>
                  </w:r>
                  <w:r>
                    <w:t>t</w:t>
                  </w:r>
                </w:p>
              </w:tc>
              <w:tc>
                <w:tcPr>
                  <w:tcW w:w="1029" w:type="pct"/>
                  <w:vAlign w:val="center"/>
                </w:tcPr>
                <w:p w14:paraId="30BDB821">
                  <w:pPr>
                    <w:jc w:val="center"/>
                  </w:pPr>
                  <w:r>
                    <w:t>油罐车、公路</w:t>
                  </w:r>
                </w:p>
              </w:tc>
              <w:tc>
                <w:tcPr>
                  <w:tcW w:w="1225" w:type="pct"/>
                  <w:vMerge w:val="restart"/>
                  <w:vAlign w:val="center"/>
                </w:tcPr>
                <w:p w14:paraId="2DF8EED1">
                  <w:pPr>
                    <w:spacing w:line="360" w:lineRule="auto"/>
                    <w:jc w:val="center"/>
                  </w:pPr>
                  <w:r>
                    <w:t>外购</w:t>
                  </w:r>
                </w:p>
              </w:tc>
            </w:tr>
            <w:tr w14:paraId="283BC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563" w:type="pct"/>
                  <w:vMerge w:val="restart"/>
                  <w:vAlign w:val="center"/>
                </w:tcPr>
                <w:p w14:paraId="6DCC422E">
                  <w:pPr>
                    <w:jc w:val="center"/>
                  </w:pPr>
                  <w:r>
                    <w:t>2</w:t>
                  </w:r>
                </w:p>
              </w:tc>
              <w:tc>
                <w:tcPr>
                  <w:tcW w:w="783" w:type="pct"/>
                  <w:vMerge w:val="restart"/>
                  <w:vAlign w:val="center"/>
                </w:tcPr>
                <w:p w14:paraId="52A48C12">
                  <w:pPr>
                    <w:jc w:val="center"/>
                  </w:pPr>
                  <w:r>
                    <w:t>汽油</w:t>
                  </w:r>
                </w:p>
              </w:tc>
              <w:tc>
                <w:tcPr>
                  <w:tcW w:w="565" w:type="pct"/>
                  <w:vAlign w:val="center"/>
                </w:tcPr>
                <w:p w14:paraId="57E324C7">
                  <w:pPr>
                    <w:jc w:val="center"/>
                  </w:pPr>
                  <w:r>
                    <w:t>92＃</w:t>
                  </w:r>
                </w:p>
              </w:tc>
              <w:tc>
                <w:tcPr>
                  <w:tcW w:w="831" w:type="pct"/>
                  <w:vAlign w:val="center"/>
                </w:tcPr>
                <w:p w14:paraId="06DFA557">
                  <w:pPr>
                    <w:jc w:val="center"/>
                  </w:pPr>
                  <w:r>
                    <w:rPr>
                      <w:rFonts w:hint="eastAsia"/>
                      <w:lang w:val="en-US" w:eastAsia="zh-CN"/>
                    </w:rPr>
                    <w:t>500</w:t>
                  </w:r>
                  <w:r>
                    <w:t>t</w:t>
                  </w:r>
                </w:p>
              </w:tc>
              <w:tc>
                <w:tcPr>
                  <w:tcW w:w="1029" w:type="pct"/>
                  <w:vAlign w:val="center"/>
                </w:tcPr>
                <w:p w14:paraId="50A8FB52">
                  <w:pPr>
                    <w:jc w:val="center"/>
                  </w:pPr>
                  <w:r>
                    <w:t>油罐车、公路</w:t>
                  </w:r>
                </w:p>
              </w:tc>
              <w:tc>
                <w:tcPr>
                  <w:tcW w:w="1225" w:type="pct"/>
                  <w:vMerge w:val="continue"/>
                  <w:vAlign w:val="center"/>
                </w:tcPr>
                <w:p w14:paraId="137A3435">
                  <w:pPr>
                    <w:spacing w:line="360" w:lineRule="auto"/>
                    <w:jc w:val="center"/>
                  </w:pPr>
                </w:p>
              </w:tc>
            </w:tr>
            <w:tr w14:paraId="3A34A2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563" w:type="pct"/>
                  <w:vMerge w:val="continue"/>
                  <w:vAlign w:val="center"/>
                </w:tcPr>
                <w:p w14:paraId="269B7BD7">
                  <w:pPr>
                    <w:jc w:val="center"/>
                  </w:pPr>
                </w:p>
              </w:tc>
              <w:tc>
                <w:tcPr>
                  <w:tcW w:w="783" w:type="pct"/>
                  <w:vMerge w:val="continue"/>
                  <w:vAlign w:val="center"/>
                </w:tcPr>
                <w:p w14:paraId="1FFA6304">
                  <w:pPr>
                    <w:jc w:val="center"/>
                  </w:pPr>
                </w:p>
              </w:tc>
              <w:tc>
                <w:tcPr>
                  <w:tcW w:w="565" w:type="pct"/>
                  <w:vAlign w:val="center"/>
                </w:tcPr>
                <w:p w14:paraId="4420F04F">
                  <w:pPr>
                    <w:jc w:val="center"/>
                  </w:pPr>
                  <w:r>
                    <w:t>95＃</w:t>
                  </w:r>
                </w:p>
              </w:tc>
              <w:tc>
                <w:tcPr>
                  <w:tcW w:w="831" w:type="pct"/>
                  <w:vAlign w:val="center"/>
                </w:tcPr>
                <w:p w14:paraId="422E845C">
                  <w:pPr>
                    <w:jc w:val="center"/>
                  </w:pPr>
                  <w:r>
                    <w:rPr>
                      <w:rFonts w:hint="eastAsia"/>
                      <w:lang w:val="en-US" w:eastAsia="zh-CN"/>
                    </w:rPr>
                    <w:t>220</w:t>
                  </w:r>
                  <w:r>
                    <w:t>t</w:t>
                  </w:r>
                </w:p>
              </w:tc>
              <w:tc>
                <w:tcPr>
                  <w:tcW w:w="1029" w:type="pct"/>
                  <w:vAlign w:val="center"/>
                </w:tcPr>
                <w:p w14:paraId="542F9E38">
                  <w:pPr>
                    <w:jc w:val="center"/>
                  </w:pPr>
                  <w:r>
                    <w:t>油罐车、公路</w:t>
                  </w:r>
                </w:p>
              </w:tc>
              <w:tc>
                <w:tcPr>
                  <w:tcW w:w="1225" w:type="pct"/>
                  <w:vMerge w:val="continue"/>
                  <w:vAlign w:val="center"/>
                </w:tcPr>
                <w:p w14:paraId="13A342D5">
                  <w:pPr>
                    <w:spacing w:line="360" w:lineRule="auto"/>
                    <w:jc w:val="center"/>
                  </w:pPr>
                </w:p>
              </w:tc>
            </w:tr>
          </w:tbl>
          <w:p w14:paraId="7821B881">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b/>
                <w:bCs/>
                <w:color w:val="auto"/>
                <w:szCs w:val="21"/>
                <w:u w:val="none"/>
              </w:rPr>
            </w:pPr>
            <w:r>
              <w:rPr>
                <w:rFonts w:hint="eastAsia"/>
                <w:b/>
                <w:bCs/>
                <w:lang w:val="en-US" w:eastAsia="zh-CN"/>
              </w:rPr>
              <w:t xml:space="preserve">2.4 </w:t>
            </w:r>
            <w:r>
              <w:rPr>
                <w:b/>
                <w:bCs/>
                <w:color w:val="auto"/>
                <w:szCs w:val="21"/>
                <w:u w:val="none"/>
              </w:rPr>
              <w:t>主要原辅材料及能耗情况</w:t>
            </w:r>
          </w:p>
          <w:p w14:paraId="244C55A3">
            <w:pPr>
              <w:pStyle w:val="118"/>
              <w:spacing w:line="240" w:lineRule="auto"/>
              <w:ind w:firstLine="0"/>
              <w:jc w:val="center"/>
              <w:rPr>
                <w:color w:val="auto"/>
                <w:sz w:val="24"/>
                <w:szCs w:val="24"/>
                <w:u w:val="single"/>
              </w:rPr>
            </w:pPr>
            <w:r>
              <w:rPr>
                <w:rFonts w:hint="eastAsia"/>
                <w:b/>
                <w:bCs/>
                <w:color w:val="auto"/>
                <w:sz w:val="24"/>
                <w:szCs w:val="24"/>
                <w:u w:val="single"/>
                <w:lang w:val="en-US" w:eastAsia="zh-CN"/>
              </w:rPr>
              <w:t>表</w:t>
            </w:r>
            <w:r>
              <w:rPr>
                <w:b/>
                <w:bCs/>
                <w:color w:val="auto"/>
                <w:sz w:val="24"/>
                <w:szCs w:val="24"/>
                <w:u w:val="single"/>
              </w:rPr>
              <w:t>2-4 项目主要原辅材料及能耗一览表</w:t>
            </w:r>
          </w:p>
          <w:tbl>
            <w:tblPr>
              <w:tblStyle w:val="51"/>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06"/>
              <w:gridCol w:w="1119"/>
              <w:gridCol w:w="925"/>
              <w:gridCol w:w="866"/>
              <w:gridCol w:w="1735"/>
              <w:gridCol w:w="3124"/>
            </w:tblGrid>
            <w:tr w14:paraId="33880D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1" w:hRule="atLeast"/>
                <w:jc w:val="center"/>
              </w:trPr>
              <w:tc>
                <w:tcPr>
                  <w:tcW w:w="362" w:type="pct"/>
                  <w:vAlign w:val="center"/>
                </w:tcPr>
                <w:p w14:paraId="65BC791F">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序号</w:t>
                  </w:r>
                </w:p>
              </w:tc>
              <w:tc>
                <w:tcPr>
                  <w:tcW w:w="668" w:type="pct"/>
                  <w:vAlign w:val="center"/>
                </w:tcPr>
                <w:p w14:paraId="1920844E">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名称</w:t>
                  </w:r>
                </w:p>
              </w:tc>
              <w:tc>
                <w:tcPr>
                  <w:tcW w:w="552" w:type="pct"/>
                  <w:vAlign w:val="center"/>
                </w:tcPr>
                <w:p w14:paraId="03FB4404">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消耗量</w:t>
                  </w:r>
                </w:p>
              </w:tc>
              <w:tc>
                <w:tcPr>
                  <w:tcW w:w="517" w:type="pct"/>
                  <w:vAlign w:val="center"/>
                </w:tcPr>
                <w:p w14:paraId="377EA8AE">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单位</w:t>
                  </w:r>
                </w:p>
              </w:tc>
              <w:tc>
                <w:tcPr>
                  <w:tcW w:w="1036" w:type="pct"/>
                  <w:vAlign w:val="center"/>
                </w:tcPr>
                <w:p w14:paraId="4F41E10B">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最大储存量</w:t>
                  </w:r>
                </w:p>
              </w:tc>
              <w:tc>
                <w:tcPr>
                  <w:tcW w:w="1864" w:type="pct"/>
                  <w:vAlign w:val="center"/>
                </w:tcPr>
                <w:p w14:paraId="10AB89A2">
                  <w:pPr>
                    <w:keepNext w:val="0"/>
                    <w:keepLines w:val="0"/>
                    <w:pageBreakBefore w:val="0"/>
                    <w:kinsoku/>
                    <w:wordWrap/>
                    <w:overflowPunct/>
                    <w:topLinePunct/>
                    <w:autoSpaceDE/>
                    <w:autoSpaceDN/>
                    <w:bidi w:val="0"/>
                    <w:adjustRightInd w:val="0"/>
                    <w:snapToGrid w:val="0"/>
                    <w:ind w:firstLineChars="0"/>
                    <w:jc w:val="center"/>
                    <w:textAlignment w:val="auto"/>
                    <w:rPr>
                      <w:b/>
                      <w:color w:val="auto"/>
                      <w:szCs w:val="21"/>
                      <w:u w:val="single"/>
                    </w:rPr>
                  </w:pPr>
                  <w:r>
                    <w:rPr>
                      <w:b/>
                      <w:color w:val="auto"/>
                      <w:szCs w:val="21"/>
                      <w:u w:val="single"/>
                    </w:rPr>
                    <w:t>备注</w:t>
                  </w:r>
                </w:p>
              </w:tc>
            </w:tr>
            <w:tr w14:paraId="07BAF2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vAlign w:val="center"/>
                </w:tcPr>
                <w:p w14:paraId="6BC4DC50">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b w:val="0"/>
                      <w:bCs/>
                      <w:color w:val="auto"/>
                      <w:szCs w:val="21"/>
                      <w:u w:val="single"/>
                    </w:rPr>
                    <w:t>主要原辅材料</w:t>
                  </w:r>
                </w:p>
              </w:tc>
            </w:tr>
            <w:tr w14:paraId="4F9B15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362" w:type="pct"/>
                  <w:vAlign w:val="center"/>
                </w:tcPr>
                <w:p w14:paraId="67834098">
                  <w:pPr>
                    <w:pStyle w:val="104"/>
                    <w:keepNext w:val="0"/>
                    <w:keepLines w:val="0"/>
                    <w:pageBreakBefore w:val="0"/>
                    <w:numPr>
                      <w:ilvl w:val="0"/>
                      <w:numId w:val="3"/>
                    </w:numPr>
                    <w:kinsoku/>
                    <w:wordWrap/>
                    <w:overflowPunct/>
                    <w:autoSpaceDE/>
                    <w:autoSpaceDN/>
                    <w:bidi w:val="0"/>
                    <w:adjustRightInd w:val="0"/>
                    <w:snapToGrid w:val="0"/>
                    <w:spacing w:before="0" w:beforeLines="0" w:after="0" w:afterLines="0"/>
                    <w:ind w:firstLineChars="0"/>
                    <w:textAlignment w:val="auto"/>
                    <w:rPr>
                      <w:rFonts w:ascii="Times New Roman" w:hAnsi="Times New Roman" w:cs="Times New Roman"/>
                      <w:color w:val="auto"/>
                      <w:u w:val="single"/>
                    </w:rPr>
                  </w:pPr>
                </w:p>
              </w:tc>
              <w:tc>
                <w:tcPr>
                  <w:tcW w:w="668" w:type="pct"/>
                  <w:vAlign w:val="center"/>
                </w:tcPr>
                <w:p w14:paraId="7D051CFC">
                  <w:pPr>
                    <w:keepNext w:val="0"/>
                    <w:keepLines w:val="0"/>
                    <w:pageBreakBefore w:val="0"/>
                    <w:widowControl/>
                    <w:kinsoku/>
                    <w:wordWrap/>
                    <w:overflowPunct/>
                    <w:topLinePunct/>
                    <w:autoSpaceDE/>
                    <w:autoSpaceDN/>
                    <w:bidi w:val="0"/>
                    <w:adjustRightInd w:val="0"/>
                    <w:snapToGrid w:val="0"/>
                    <w:ind w:firstLineChars="0"/>
                    <w:jc w:val="center"/>
                    <w:textAlignment w:val="auto"/>
                    <w:rPr>
                      <w:color w:val="auto"/>
                      <w:kern w:val="0"/>
                      <w:szCs w:val="21"/>
                      <w:u w:val="single"/>
                    </w:rPr>
                  </w:pPr>
                  <w:r>
                    <w:rPr>
                      <w:rFonts w:hint="eastAsia"/>
                      <w:color w:val="auto"/>
                      <w:szCs w:val="21"/>
                      <w:u w:val="single"/>
                    </w:rPr>
                    <w:t>92#</w:t>
                  </w:r>
                  <w:r>
                    <w:rPr>
                      <w:color w:val="auto"/>
                      <w:szCs w:val="21"/>
                      <w:u w:val="single"/>
                    </w:rPr>
                    <w:t>汽油</w:t>
                  </w:r>
                </w:p>
              </w:tc>
              <w:tc>
                <w:tcPr>
                  <w:tcW w:w="552" w:type="pct"/>
                  <w:vAlign w:val="center"/>
                </w:tcPr>
                <w:p w14:paraId="267AFBF8">
                  <w:pPr>
                    <w:keepNext w:val="0"/>
                    <w:keepLines w:val="0"/>
                    <w:pageBreakBefore w:val="0"/>
                    <w:widowControl/>
                    <w:kinsoku/>
                    <w:wordWrap/>
                    <w:overflowPunct/>
                    <w:topLinePunct/>
                    <w:autoSpaceDE/>
                    <w:autoSpaceDN/>
                    <w:bidi w:val="0"/>
                    <w:adjustRightInd w:val="0"/>
                    <w:snapToGrid w:val="0"/>
                    <w:ind w:firstLineChars="0"/>
                    <w:jc w:val="center"/>
                    <w:textAlignment w:val="auto"/>
                    <w:rPr>
                      <w:rFonts w:hint="default" w:eastAsia="宋体"/>
                      <w:color w:val="auto"/>
                      <w:kern w:val="0"/>
                      <w:szCs w:val="21"/>
                      <w:u w:val="single"/>
                      <w:lang w:val="en-US" w:eastAsia="zh-CN"/>
                    </w:rPr>
                  </w:pPr>
                  <w:r>
                    <w:rPr>
                      <w:rFonts w:hint="eastAsia"/>
                      <w:color w:val="auto"/>
                      <w:kern w:val="0"/>
                      <w:szCs w:val="21"/>
                      <w:u w:val="single"/>
                      <w:lang w:val="en-US" w:eastAsia="zh-CN"/>
                    </w:rPr>
                    <w:t>500</w:t>
                  </w:r>
                </w:p>
              </w:tc>
              <w:tc>
                <w:tcPr>
                  <w:tcW w:w="517" w:type="pct"/>
                  <w:vAlign w:val="center"/>
                </w:tcPr>
                <w:p w14:paraId="6DD0EF1B">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t/a</w:t>
                  </w:r>
                </w:p>
              </w:tc>
              <w:tc>
                <w:tcPr>
                  <w:tcW w:w="1737" w:type="dxa"/>
                  <w:vAlign w:val="center"/>
                </w:tcPr>
                <w:p w14:paraId="0CE5F18A">
                  <w:pPr>
                    <w:jc w:val="center"/>
                    <w:rPr>
                      <w:rFonts w:hint="default" w:eastAsia="宋体"/>
                      <w:color w:val="auto"/>
                      <w:szCs w:val="21"/>
                      <w:highlight w:val="yellow"/>
                      <w:u w:val="single"/>
                      <w:lang w:val="en-US" w:eastAsia="zh-CN"/>
                    </w:rPr>
                  </w:pPr>
                  <w:r>
                    <w:rPr>
                      <w:rFonts w:hint="eastAsia"/>
                      <w:color w:val="auto"/>
                      <w:szCs w:val="21"/>
                      <w:highlight w:val="none"/>
                      <w:u w:val="single"/>
                      <w:lang w:val="en-US" w:eastAsia="zh-CN"/>
                    </w:rPr>
                    <w:t>40.5t</w:t>
                  </w:r>
                </w:p>
              </w:tc>
              <w:tc>
                <w:tcPr>
                  <w:tcW w:w="1864" w:type="pct"/>
                  <w:vAlign w:val="center"/>
                </w:tcPr>
                <w:p w14:paraId="0E41682B">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92#</w:t>
                  </w:r>
                </w:p>
              </w:tc>
            </w:tr>
            <w:tr w14:paraId="41347D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362" w:type="pct"/>
                  <w:vAlign w:val="center"/>
                </w:tcPr>
                <w:p w14:paraId="0B11A9FB">
                  <w:pPr>
                    <w:pStyle w:val="104"/>
                    <w:keepNext w:val="0"/>
                    <w:keepLines w:val="0"/>
                    <w:pageBreakBefore w:val="0"/>
                    <w:numPr>
                      <w:ilvl w:val="0"/>
                      <w:numId w:val="3"/>
                    </w:numPr>
                    <w:kinsoku/>
                    <w:wordWrap/>
                    <w:overflowPunct/>
                    <w:autoSpaceDE/>
                    <w:autoSpaceDN/>
                    <w:bidi w:val="0"/>
                    <w:adjustRightInd w:val="0"/>
                    <w:snapToGrid w:val="0"/>
                    <w:spacing w:before="0" w:beforeLines="0" w:after="0" w:afterLines="0"/>
                    <w:ind w:firstLineChars="0"/>
                    <w:textAlignment w:val="auto"/>
                    <w:rPr>
                      <w:rFonts w:ascii="Times New Roman" w:hAnsi="Times New Roman" w:cs="Times New Roman"/>
                      <w:color w:val="auto"/>
                      <w:u w:val="single"/>
                    </w:rPr>
                  </w:pPr>
                </w:p>
              </w:tc>
              <w:tc>
                <w:tcPr>
                  <w:tcW w:w="668" w:type="pct"/>
                  <w:vAlign w:val="center"/>
                </w:tcPr>
                <w:p w14:paraId="4DA6F16A">
                  <w:pPr>
                    <w:keepNext w:val="0"/>
                    <w:keepLines w:val="0"/>
                    <w:pageBreakBefore w:val="0"/>
                    <w:widowControl/>
                    <w:kinsoku/>
                    <w:wordWrap/>
                    <w:overflowPunct/>
                    <w:topLinePunct/>
                    <w:autoSpaceDE/>
                    <w:autoSpaceDN/>
                    <w:bidi w:val="0"/>
                    <w:adjustRightInd w:val="0"/>
                    <w:snapToGrid w:val="0"/>
                    <w:ind w:firstLineChars="0"/>
                    <w:jc w:val="center"/>
                    <w:textAlignment w:val="auto"/>
                    <w:rPr>
                      <w:color w:val="auto"/>
                      <w:szCs w:val="21"/>
                      <w:u w:val="single"/>
                    </w:rPr>
                  </w:pPr>
                  <w:r>
                    <w:rPr>
                      <w:rFonts w:hint="eastAsia"/>
                      <w:color w:val="auto"/>
                      <w:szCs w:val="21"/>
                      <w:u w:val="single"/>
                      <w:lang w:val="en-US" w:eastAsia="zh-CN"/>
                    </w:rPr>
                    <w:t>95#</w:t>
                  </w:r>
                  <w:r>
                    <w:rPr>
                      <w:color w:val="auto"/>
                      <w:szCs w:val="21"/>
                      <w:u w:val="single"/>
                    </w:rPr>
                    <w:t>汽油</w:t>
                  </w:r>
                </w:p>
              </w:tc>
              <w:tc>
                <w:tcPr>
                  <w:tcW w:w="552" w:type="pct"/>
                  <w:vAlign w:val="center"/>
                </w:tcPr>
                <w:p w14:paraId="08891ED2">
                  <w:pPr>
                    <w:keepNext w:val="0"/>
                    <w:keepLines w:val="0"/>
                    <w:pageBreakBefore w:val="0"/>
                    <w:widowControl/>
                    <w:kinsoku/>
                    <w:wordWrap/>
                    <w:overflowPunct/>
                    <w:topLinePunct/>
                    <w:autoSpaceDE/>
                    <w:autoSpaceDN/>
                    <w:bidi w:val="0"/>
                    <w:adjustRightInd w:val="0"/>
                    <w:snapToGrid w:val="0"/>
                    <w:ind w:firstLineChars="0"/>
                    <w:jc w:val="center"/>
                    <w:textAlignment w:val="auto"/>
                    <w:rPr>
                      <w:rFonts w:hint="default"/>
                      <w:color w:val="auto"/>
                      <w:kern w:val="0"/>
                      <w:szCs w:val="21"/>
                      <w:u w:val="single"/>
                      <w:lang w:val="en-US" w:eastAsia="zh-CN"/>
                    </w:rPr>
                  </w:pPr>
                  <w:r>
                    <w:rPr>
                      <w:rFonts w:hint="eastAsia"/>
                      <w:color w:val="auto"/>
                      <w:kern w:val="0"/>
                      <w:szCs w:val="21"/>
                      <w:u w:val="single"/>
                      <w:lang w:val="en-US" w:eastAsia="zh-CN"/>
                    </w:rPr>
                    <w:t>220</w:t>
                  </w:r>
                </w:p>
              </w:tc>
              <w:tc>
                <w:tcPr>
                  <w:tcW w:w="517" w:type="pct"/>
                  <w:vAlign w:val="center"/>
                </w:tcPr>
                <w:p w14:paraId="64940CEA">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t/a</w:t>
                  </w:r>
                </w:p>
              </w:tc>
              <w:tc>
                <w:tcPr>
                  <w:tcW w:w="1737" w:type="dxa"/>
                  <w:vAlign w:val="center"/>
                </w:tcPr>
                <w:p w14:paraId="341D1E91">
                  <w:pPr>
                    <w:jc w:val="center"/>
                    <w:rPr>
                      <w:rFonts w:hint="default"/>
                      <w:u w:val="single"/>
                      <w:lang w:val="en-US" w:eastAsia="zh-CN"/>
                    </w:rPr>
                  </w:pPr>
                  <w:r>
                    <w:rPr>
                      <w:rFonts w:hint="eastAsia"/>
                      <w:u w:val="single"/>
                      <w:lang w:val="en-US" w:eastAsia="zh-CN"/>
                    </w:rPr>
                    <w:t>20.25</w:t>
                  </w:r>
                </w:p>
              </w:tc>
              <w:tc>
                <w:tcPr>
                  <w:tcW w:w="1864" w:type="pct"/>
                  <w:vAlign w:val="center"/>
                </w:tcPr>
                <w:p w14:paraId="30202B58">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9</w:t>
                  </w:r>
                  <w:r>
                    <w:rPr>
                      <w:rFonts w:hint="eastAsia"/>
                      <w:color w:val="auto"/>
                      <w:szCs w:val="21"/>
                      <w:u w:val="single"/>
                      <w:lang w:val="en-US" w:eastAsia="zh-CN"/>
                    </w:rPr>
                    <w:t>5</w:t>
                  </w:r>
                  <w:r>
                    <w:rPr>
                      <w:color w:val="auto"/>
                      <w:szCs w:val="21"/>
                      <w:u w:val="single"/>
                    </w:rPr>
                    <w:t>#</w:t>
                  </w:r>
                </w:p>
              </w:tc>
            </w:tr>
            <w:tr w14:paraId="61A0CF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1" w:hRule="atLeast"/>
                <w:jc w:val="center"/>
              </w:trPr>
              <w:tc>
                <w:tcPr>
                  <w:tcW w:w="362" w:type="pct"/>
                  <w:vAlign w:val="center"/>
                </w:tcPr>
                <w:p w14:paraId="58067108">
                  <w:pPr>
                    <w:pStyle w:val="104"/>
                    <w:keepNext w:val="0"/>
                    <w:keepLines w:val="0"/>
                    <w:pageBreakBefore w:val="0"/>
                    <w:numPr>
                      <w:ilvl w:val="0"/>
                      <w:numId w:val="3"/>
                    </w:numPr>
                    <w:kinsoku/>
                    <w:wordWrap/>
                    <w:overflowPunct/>
                    <w:autoSpaceDE/>
                    <w:autoSpaceDN/>
                    <w:bidi w:val="0"/>
                    <w:adjustRightInd w:val="0"/>
                    <w:snapToGrid w:val="0"/>
                    <w:spacing w:before="0" w:beforeLines="0" w:after="0" w:afterLines="0"/>
                    <w:ind w:firstLineChars="0"/>
                    <w:textAlignment w:val="auto"/>
                    <w:rPr>
                      <w:rFonts w:ascii="Times New Roman" w:hAnsi="Times New Roman" w:cs="Times New Roman"/>
                      <w:color w:val="auto"/>
                      <w:u w:val="single"/>
                    </w:rPr>
                  </w:pPr>
                </w:p>
              </w:tc>
              <w:tc>
                <w:tcPr>
                  <w:tcW w:w="668" w:type="pct"/>
                  <w:vAlign w:val="center"/>
                </w:tcPr>
                <w:p w14:paraId="6B29D445">
                  <w:pPr>
                    <w:keepNext w:val="0"/>
                    <w:keepLines w:val="0"/>
                    <w:pageBreakBefore w:val="0"/>
                    <w:widowControl/>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柴油</w:t>
                  </w:r>
                </w:p>
              </w:tc>
              <w:tc>
                <w:tcPr>
                  <w:tcW w:w="552" w:type="pct"/>
                  <w:vAlign w:val="center"/>
                </w:tcPr>
                <w:p w14:paraId="5E538FBD">
                  <w:pPr>
                    <w:keepNext w:val="0"/>
                    <w:keepLines w:val="0"/>
                    <w:pageBreakBefore w:val="0"/>
                    <w:widowControl/>
                    <w:kinsoku/>
                    <w:wordWrap/>
                    <w:overflowPunct/>
                    <w:topLinePunct/>
                    <w:autoSpaceDE/>
                    <w:autoSpaceDN/>
                    <w:bidi w:val="0"/>
                    <w:adjustRightInd w:val="0"/>
                    <w:snapToGrid w:val="0"/>
                    <w:ind w:firstLineChars="0"/>
                    <w:jc w:val="center"/>
                    <w:textAlignment w:val="auto"/>
                    <w:rPr>
                      <w:rFonts w:hint="default" w:eastAsia="宋体"/>
                      <w:color w:val="auto"/>
                      <w:szCs w:val="21"/>
                      <w:u w:val="single"/>
                      <w:lang w:val="en-US" w:eastAsia="zh-CN"/>
                    </w:rPr>
                  </w:pPr>
                  <w:r>
                    <w:rPr>
                      <w:rFonts w:hint="eastAsia"/>
                      <w:color w:val="auto"/>
                      <w:szCs w:val="21"/>
                      <w:u w:val="single"/>
                      <w:lang w:val="en-US" w:eastAsia="zh-CN"/>
                    </w:rPr>
                    <w:t>360</w:t>
                  </w:r>
                </w:p>
              </w:tc>
              <w:tc>
                <w:tcPr>
                  <w:tcW w:w="517" w:type="pct"/>
                  <w:vAlign w:val="center"/>
                </w:tcPr>
                <w:p w14:paraId="68CD1F21">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t/a</w:t>
                  </w:r>
                </w:p>
              </w:tc>
              <w:tc>
                <w:tcPr>
                  <w:tcW w:w="1737" w:type="dxa"/>
                  <w:vAlign w:val="center"/>
                </w:tcPr>
                <w:p w14:paraId="4E4584E0">
                  <w:pPr>
                    <w:jc w:val="center"/>
                    <w:rPr>
                      <w:color w:val="auto"/>
                      <w:szCs w:val="21"/>
                      <w:highlight w:val="yellow"/>
                      <w:u w:val="single"/>
                    </w:rPr>
                  </w:pPr>
                  <w:r>
                    <w:rPr>
                      <w:rFonts w:hint="eastAsia"/>
                      <w:u w:val="single"/>
                      <w:lang w:val="en-US" w:eastAsia="zh-CN"/>
                    </w:rPr>
                    <w:t>38.7t</w:t>
                  </w:r>
                </w:p>
              </w:tc>
              <w:tc>
                <w:tcPr>
                  <w:tcW w:w="1864" w:type="pct"/>
                  <w:vAlign w:val="center"/>
                </w:tcPr>
                <w:p w14:paraId="20B889E6">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0#柴油</w:t>
                  </w:r>
                </w:p>
              </w:tc>
            </w:tr>
            <w:tr w14:paraId="731387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vAlign w:val="center"/>
                </w:tcPr>
                <w:p w14:paraId="56988FEE">
                  <w:pPr>
                    <w:keepNext w:val="0"/>
                    <w:keepLines w:val="0"/>
                    <w:pageBreakBefore w:val="0"/>
                    <w:kinsoku/>
                    <w:wordWrap/>
                    <w:overflowPunct/>
                    <w:topLinePunct/>
                    <w:autoSpaceDE/>
                    <w:autoSpaceDN/>
                    <w:bidi w:val="0"/>
                    <w:adjustRightInd w:val="0"/>
                    <w:snapToGrid w:val="0"/>
                    <w:ind w:firstLineChars="0"/>
                    <w:jc w:val="center"/>
                    <w:textAlignment w:val="auto"/>
                    <w:rPr>
                      <w:b/>
                      <w:color w:val="auto"/>
                      <w:kern w:val="0"/>
                      <w:szCs w:val="21"/>
                      <w:u w:val="single"/>
                    </w:rPr>
                  </w:pPr>
                  <w:r>
                    <w:rPr>
                      <w:b w:val="0"/>
                      <w:bCs/>
                      <w:color w:val="auto"/>
                      <w:kern w:val="0"/>
                      <w:szCs w:val="21"/>
                      <w:u w:val="single"/>
                    </w:rPr>
                    <w:t>能源</w:t>
                  </w:r>
                </w:p>
              </w:tc>
            </w:tr>
            <w:tr w14:paraId="55E10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2" w:type="pct"/>
                  <w:vAlign w:val="center"/>
                </w:tcPr>
                <w:p w14:paraId="73E09462">
                  <w:pPr>
                    <w:pStyle w:val="104"/>
                    <w:keepNext w:val="0"/>
                    <w:keepLines w:val="0"/>
                    <w:pageBreakBefore w:val="0"/>
                    <w:numPr>
                      <w:ilvl w:val="0"/>
                      <w:numId w:val="3"/>
                    </w:numPr>
                    <w:kinsoku/>
                    <w:wordWrap/>
                    <w:overflowPunct/>
                    <w:autoSpaceDE/>
                    <w:autoSpaceDN/>
                    <w:bidi w:val="0"/>
                    <w:adjustRightInd w:val="0"/>
                    <w:snapToGrid w:val="0"/>
                    <w:spacing w:before="0" w:beforeLines="0" w:after="0" w:afterLines="0"/>
                    <w:ind w:firstLineChars="0"/>
                    <w:textAlignment w:val="auto"/>
                    <w:rPr>
                      <w:rFonts w:ascii="Times New Roman" w:hAnsi="Times New Roman" w:cs="Times New Roman"/>
                      <w:color w:val="auto"/>
                      <w:u w:val="single"/>
                    </w:rPr>
                  </w:pPr>
                </w:p>
              </w:tc>
              <w:tc>
                <w:tcPr>
                  <w:tcW w:w="668" w:type="pct"/>
                  <w:vAlign w:val="center"/>
                </w:tcPr>
                <w:p w14:paraId="0EB47681">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水</w:t>
                  </w:r>
                </w:p>
              </w:tc>
              <w:tc>
                <w:tcPr>
                  <w:tcW w:w="552" w:type="pct"/>
                  <w:vAlign w:val="center"/>
                </w:tcPr>
                <w:p w14:paraId="796B63D5">
                  <w:pPr>
                    <w:keepNext w:val="0"/>
                    <w:keepLines w:val="0"/>
                    <w:pageBreakBefore w:val="0"/>
                    <w:kinsoku/>
                    <w:wordWrap/>
                    <w:overflowPunct/>
                    <w:topLinePunct/>
                    <w:autoSpaceDE/>
                    <w:autoSpaceDN/>
                    <w:bidi w:val="0"/>
                    <w:adjustRightInd w:val="0"/>
                    <w:snapToGrid w:val="0"/>
                    <w:ind w:firstLineChars="0"/>
                    <w:jc w:val="center"/>
                    <w:textAlignment w:val="auto"/>
                    <w:rPr>
                      <w:rFonts w:hint="default" w:eastAsia="宋体"/>
                      <w:color w:val="auto"/>
                      <w:szCs w:val="21"/>
                      <w:u w:val="single"/>
                      <w:lang w:val="en-US" w:eastAsia="zh-CN"/>
                    </w:rPr>
                  </w:pPr>
                  <w:r>
                    <w:rPr>
                      <w:rFonts w:hint="eastAsia"/>
                      <w:color w:val="auto"/>
                      <w:szCs w:val="21"/>
                      <w:u w:val="single"/>
                      <w:lang w:val="en-US" w:eastAsia="zh-CN"/>
                    </w:rPr>
                    <w:t>1045.85</w:t>
                  </w:r>
                </w:p>
              </w:tc>
              <w:tc>
                <w:tcPr>
                  <w:tcW w:w="517" w:type="pct"/>
                  <w:vAlign w:val="center"/>
                </w:tcPr>
                <w:p w14:paraId="6DD5B9E8">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m³/a</w:t>
                  </w:r>
                </w:p>
              </w:tc>
              <w:tc>
                <w:tcPr>
                  <w:tcW w:w="1036" w:type="pct"/>
                  <w:vAlign w:val="center"/>
                </w:tcPr>
                <w:p w14:paraId="23327D91">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w:t>
                  </w:r>
                </w:p>
              </w:tc>
              <w:tc>
                <w:tcPr>
                  <w:tcW w:w="1864" w:type="pct"/>
                  <w:vAlign w:val="center"/>
                </w:tcPr>
                <w:p w14:paraId="1AC3BA2D">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由市政自来水管网供给</w:t>
                  </w:r>
                </w:p>
              </w:tc>
            </w:tr>
            <w:tr w14:paraId="21300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2" w:type="pct"/>
                  <w:vAlign w:val="center"/>
                </w:tcPr>
                <w:p w14:paraId="7E6F3E95">
                  <w:pPr>
                    <w:pStyle w:val="104"/>
                    <w:keepNext w:val="0"/>
                    <w:keepLines w:val="0"/>
                    <w:pageBreakBefore w:val="0"/>
                    <w:numPr>
                      <w:ilvl w:val="0"/>
                      <w:numId w:val="3"/>
                    </w:numPr>
                    <w:kinsoku/>
                    <w:wordWrap/>
                    <w:overflowPunct/>
                    <w:autoSpaceDE/>
                    <w:autoSpaceDN/>
                    <w:bidi w:val="0"/>
                    <w:adjustRightInd w:val="0"/>
                    <w:snapToGrid w:val="0"/>
                    <w:spacing w:before="0" w:beforeLines="0" w:after="0" w:afterLines="0"/>
                    <w:ind w:firstLineChars="0"/>
                    <w:textAlignment w:val="auto"/>
                    <w:rPr>
                      <w:rFonts w:ascii="Times New Roman" w:hAnsi="Times New Roman" w:cs="Times New Roman"/>
                      <w:color w:val="auto"/>
                      <w:u w:val="single"/>
                    </w:rPr>
                  </w:pPr>
                </w:p>
              </w:tc>
              <w:tc>
                <w:tcPr>
                  <w:tcW w:w="668" w:type="pct"/>
                  <w:vAlign w:val="center"/>
                </w:tcPr>
                <w:p w14:paraId="17D4E2AC">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电</w:t>
                  </w:r>
                </w:p>
              </w:tc>
              <w:tc>
                <w:tcPr>
                  <w:tcW w:w="552" w:type="pct"/>
                  <w:vAlign w:val="center"/>
                </w:tcPr>
                <w:p w14:paraId="69ED66F4">
                  <w:pPr>
                    <w:keepNext w:val="0"/>
                    <w:keepLines w:val="0"/>
                    <w:pageBreakBefore w:val="0"/>
                    <w:kinsoku/>
                    <w:wordWrap/>
                    <w:overflowPunct/>
                    <w:topLinePunct/>
                    <w:autoSpaceDE/>
                    <w:autoSpaceDN/>
                    <w:bidi w:val="0"/>
                    <w:adjustRightInd w:val="0"/>
                    <w:snapToGrid w:val="0"/>
                    <w:ind w:firstLineChars="0"/>
                    <w:jc w:val="center"/>
                    <w:textAlignment w:val="auto"/>
                    <w:rPr>
                      <w:rFonts w:hint="eastAsia" w:eastAsia="宋体"/>
                      <w:color w:val="auto"/>
                      <w:szCs w:val="21"/>
                      <w:u w:val="single"/>
                      <w:lang w:eastAsia="zh-CN"/>
                    </w:rPr>
                  </w:pPr>
                  <w:r>
                    <w:rPr>
                      <w:rFonts w:hint="eastAsia"/>
                      <w:color w:val="auto"/>
                      <w:szCs w:val="21"/>
                      <w:u w:val="single"/>
                      <w:lang w:val="en-US" w:eastAsia="zh-CN"/>
                    </w:rPr>
                    <w:t>2</w:t>
                  </w:r>
                </w:p>
              </w:tc>
              <w:tc>
                <w:tcPr>
                  <w:tcW w:w="517" w:type="pct"/>
                  <w:vAlign w:val="center"/>
                </w:tcPr>
                <w:p w14:paraId="57A59E55">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万度/a</w:t>
                  </w:r>
                </w:p>
              </w:tc>
              <w:tc>
                <w:tcPr>
                  <w:tcW w:w="1036" w:type="pct"/>
                  <w:vAlign w:val="center"/>
                </w:tcPr>
                <w:p w14:paraId="5F534298">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w:t>
                  </w:r>
                </w:p>
              </w:tc>
              <w:tc>
                <w:tcPr>
                  <w:tcW w:w="1864" w:type="pct"/>
                  <w:vAlign w:val="center"/>
                </w:tcPr>
                <w:p w14:paraId="6CE18167">
                  <w:pPr>
                    <w:keepNext w:val="0"/>
                    <w:keepLines w:val="0"/>
                    <w:pageBreakBefore w:val="0"/>
                    <w:kinsoku/>
                    <w:wordWrap/>
                    <w:overflowPunct/>
                    <w:topLinePunct/>
                    <w:autoSpaceDE/>
                    <w:autoSpaceDN/>
                    <w:bidi w:val="0"/>
                    <w:adjustRightInd w:val="0"/>
                    <w:snapToGrid w:val="0"/>
                    <w:ind w:firstLineChars="0"/>
                    <w:jc w:val="center"/>
                    <w:textAlignment w:val="auto"/>
                    <w:rPr>
                      <w:color w:val="auto"/>
                      <w:szCs w:val="21"/>
                      <w:u w:val="single"/>
                    </w:rPr>
                  </w:pPr>
                  <w:r>
                    <w:rPr>
                      <w:color w:val="auto"/>
                      <w:szCs w:val="21"/>
                      <w:u w:val="single"/>
                    </w:rPr>
                    <w:t>由市政供电系统供给</w:t>
                  </w:r>
                </w:p>
              </w:tc>
            </w:tr>
          </w:tbl>
          <w:p w14:paraId="7F3E16EC">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spacing w:val="-2"/>
                <w:sz w:val="24"/>
              </w:rPr>
            </w:pPr>
            <w:r>
              <w:rPr>
                <w:spacing w:val="-2"/>
                <w:sz w:val="24"/>
              </w:rPr>
              <w:t>主要原辅材料理化性质：</w:t>
            </w:r>
          </w:p>
          <w:p w14:paraId="0CD3E796">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spacing w:val="-2"/>
                <w:sz w:val="24"/>
              </w:rPr>
            </w:pPr>
            <w:r>
              <w:rPr>
                <w:spacing w:val="-2"/>
                <w:sz w:val="24"/>
              </w:rPr>
              <w:t>①柴油</w:t>
            </w:r>
          </w:p>
          <w:p w14:paraId="34BF9F28">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spacing w:val="-2"/>
                <w:sz w:val="24"/>
              </w:rPr>
            </w:pPr>
            <w:r>
              <w:rPr>
                <w:spacing w:val="-2"/>
                <w:sz w:val="24"/>
              </w:rPr>
              <w:t>柴油又称油渣，是石油提炼后的一种油质的产物。它由不同的碳氢化合物混合组成。它的主要成分是含10到22个碳原子的链烷、环烷或芳烃。柴油的化学和物理特性位于汽油和重油之间，沸点在170℃至390℃间，比重为0.82-0.845kg/l。项目销售的柴油主要为0#柴油。0#柴油为粘性的棕色液体，熔点-18℃，沸点在282-338℃，闪点38℃，引燃湿度257℃，相对密度0.86-0.90（水=1）之间，本次评价取0.86，属低毒物类物质，主要有麻醉和刺激作用。柴油禁忌物为强氧化剂及卤素，遇明火、高热或与氧化剂接触，有引起燃烧爆炸的危险。若遇高热，容器内压增大，有开裂和爆炸的危险。</w:t>
            </w:r>
          </w:p>
          <w:p w14:paraId="58848411">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spacing w:val="-2"/>
                <w:sz w:val="24"/>
              </w:rPr>
            </w:pPr>
            <w:r>
              <w:rPr>
                <w:spacing w:val="-2"/>
                <w:sz w:val="24"/>
              </w:rPr>
              <w:t>柴油的毒性类似于煤油，但由于添加剂（如硫化酯类）的影响，毒性可能比煤油略大，主要有麻醉和刺激作用。未见职业中毒的报道。毒性健康影响：柴油为高沸点成份，故使用时由于蒸汽所致的毒性机会较小。柴油的雾滴吸入后可致吸入性肺炎。皮肤接触柴油可致接触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4-苯并芘。柴油对人体侵入途径：皮肤吸收为主、呼吸道吸入。本项目销售0#号柴油。</w:t>
            </w:r>
          </w:p>
          <w:p w14:paraId="3EB304B1">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spacing w:val="-2"/>
                <w:sz w:val="24"/>
              </w:rPr>
            </w:pPr>
            <w:r>
              <w:rPr>
                <w:spacing w:val="-2"/>
                <w:sz w:val="24"/>
              </w:rPr>
              <w:t>②汽油</w:t>
            </w:r>
          </w:p>
          <w:p w14:paraId="3F2FB926">
            <w:pPr>
              <w:pStyle w:val="118"/>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b/>
                <w:bCs/>
              </w:rPr>
            </w:pPr>
            <w:r>
              <w:rPr>
                <w:spacing w:val="-2"/>
              </w:rPr>
              <w:t>无色或淡黄易挥发液体，具有特殊臭味。闪点-60℃，自然点250℃，沸点30-205℃，易燃。是应用于点燃式发动机（即汽油）的专料。密度一般在0.71-0.75g/cm</w:t>
            </w:r>
            <w:r>
              <w:rPr>
                <w:spacing w:val="-2"/>
                <w:vertAlign w:val="superscript"/>
              </w:rPr>
              <w:t>3</w:t>
            </w:r>
            <w:r>
              <w:rPr>
                <w:spacing w:val="-2"/>
              </w:rPr>
              <w:t>之间，本次评价取0.75。汽油按用途分航空汽油与车用汽油，本项目加油站销售的一般为车用汽油</w:t>
            </w:r>
            <w:r>
              <w:rPr>
                <w:rFonts w:hint="eastAsia"/>
                <w:spacing w:val="-2"/>
                <w:lang w:eastAsia="zh-CN"/>
              </w:rPr>
              <w:t>，</w:t>
            </w:r>
            <w:r>
              <w:rPr>
                <w:spacing w:val="-2"/>
              </w:rPr>
              <w:t>本项目销售92号、95号</w:t>
            </w:r>
            <w:r>
              <w:rPr>
                <w:rFonts w:hint="eastAsia"/>
                <w:spacing w:val="-2"/>
                <w:lang w:val="en-US" w:eastAsia="zh-CN"/>
              </w:rPr>
              <w:t>汽油</w:t>
            </w:r>
            <w:r>
              <w:rPr>
                <w:spacing w:val="-2"/>
              </w:rPr>
              <w:t>。</w:t>
            </w:r>
          </w:p>
          <w:p w14:paraId="6229FA80">
            <w:pPr>
              <w:keepNext w:val="0"/>
              <w:keepLines w:val="0"/>
              <w:widowControl/>
              <w:suppressLineNumbers w:val="0"/>
              <w:spacing w:line="360" w:lineRule="auto"/>
              <w:ind w:firstLine="480" w:firstLineChars="200"/>
              <w:jc w:val="left"/>
              <w:rPr>
                <w:sz w:val="24"/>
                <w:szCs w:val="24"/>
                <w:u w:val="none"/>
              </w:rPr>
            </w:pPr>
            <w:r>
              <w:rPr>
                <w:rFonts w:hint="eastAsia" w:ascii="宋体" w:hAnsi="宋体" w:eastAsia="宋体" w:cs="宋体"/>
                <w:color w:val="auto"/>
                <w:kern w:val="0"/>
                <w:sz w:val="24"/>
                <w:szCs w:val="24"/>
                <w:u w:val="none"/>
                <w:lang w:val="en-US" w:eastAsia="zh-CN" w:bidi="ar"/>
              </w:rPr>
              <w:t>毒性：低毒类：急性毒性</w:t>
            </w:r>
            <w:r>
              <w:rPr>
                <w:rFonts w:hint="default" w:ascii="Times New Roman" w:hAnsi="Times New Roman" w:eastAsia="宋体" w:cs="Times New Roman"/>
                <w:color w:val="auto"/>
                <w:kern w:val="0"/>
                <w:sz w:val="24"/>
                <w:szCs w:val="24"/>
                <w:u w:val="none"/>
                <w:lang w:val="en-US" w:eastAsia="zh-CN" w:bidi="ar"/>
              </w:rPr>
              <w:t>:LD5067000mg/kg(</w:t>
            </w:r>
            <w:r>
              <w:rPr>
                <w:rFonts w:hint="eastAsia" w:ascii="宋体" w:hAnsi="宋体" w:eastAsia="宋体" w:cs="宋体"/>
                <w:color w:val="auto"/>
                <w:kern w:val="0"/>
                <w:sz w:val="24"/>
                <w:szCs w:val="24"/>
                <w:u w:val="none"/>
                <w:lang w:val="en-US" w:eastAsia="zh-CN" w:bidi="ar"/>
              </w:rPr>
              <w:t>小鼠经口</w:t>
            </w:r>
            <w:r>
              <w:rPr>
                <w:rFonts w:hint="default" w:ascii="Times New Roman" w:hAnsi="Times New Roman" w:eastAsia="宋体" w:cs="Times New Roman"/>
                <w:color w:val="auto"/>
                <w:kern w:val="0"/>
                <w:sz w:val="24"/>
                <w:szCs w:val="24"/>
                <w:u w:val="none"/>
                <w:lang w:val="en-US" w:eastAsia="zh-CN" w:bidi="ar"/>
              </w:rPr>
              <w:t>)</w:t>
            </w:r>
            <w:r>
              <w:rPr>
                <w:rFonts w:hint="eastAsia" w:ascii="宋体" w:hAnsi="宋体" w:eastAsia="宋体" w:cs="宋体"/>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LC50103000mg/m</w:t>
            </w:r>
            <w:r>
              <w:rPr>
                <w:rFonts w:hint="default" w:ascii="Times New Roman" w:hAnsi="Times New Roman" w:eastAsia="宋体" w:cs="Times New Roman"/>
                <w:color w:val="auto"/>
                <w:kern w:val="0"/>
                <w:sz w:val="24"/>
                <w:szCs w:val="24"/>
                <w:u w:val="none"/>
                <w:vertAlign w:val="superscript"/>
                <w:lang w:val="en-US" w:eastAsia="zh-CN" w:bidi="ar"/>
              </w:rPr>
              <w:t>3</w:t>
            </w:r>
            <w:r>
              <w:rPr>
                <w:rFonts w:hint="eastAsia" w:ascii="宋体" w:hAnsi="宋体" w:eastAsia="宋体" w:cs="宋体"/>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2h(</w:t>
            </w:r>
            <w:r>
              <w:rPr>
                <w:rFonts w:hint="eastAsia" w:ascii="宋体" w:hAnsi="宋体" w:eastAsia="宋体" w:cs="宋体"/>
                <w:color w:val="auto"/>
                <w:kern w:val="0"/>
                <w:sz w:val="24"/>
                <w:szCs w:val="24"/>
                <w:u w:val="none"/>
                <w:lang w:val="en-US" w:eastAsia="zh-CN" w:bidi="ar"/>
              </w:rPr>
              <w:t>小鼠吸入</w:t>
            </w:r>
            <w:r>
              <w:rPr>
                <w:rFonts w:hint="default" w:ascii="Times New Roman" w:hAnsi="Times New Roman" w:eastAsia="宋体" w:cs="Times New Roman"/>
                <w:color w:val="auto"/>
                <w:kern w:val="0"/>
                <w:sz w:val="24"/>
                <w:szCs w:val="24"/>
                <w:u w:val="none"/>
                <w:lang w:val="en-US" w:eastAsia="zh-CN" w:bidi="ar"/>
              </w:rPr>
              <w:t>)</w:t>
            </w:r>
            <w:r>
              <w:rPr>
                <w:rFonts w:hint="eastAsia" w:ascii="宋体" w:hAnsi="宋体" w:eastAsia="宋体" w:cs="宋体"/>
                <w:color w:val="auto"/>
                <w:kern w:val="0"/>
                <w:sz w:val="24"/>
                <w:szCs w:val="24"/>
                <w:u w:val="none"/>
                <w:lang w:val="en-US" w:eastAsia="zh-CN" w:bidi="ar"/>
              </w:rPr>
              <w:t>刺激性：人经眼：</w:t>
            </w:r>
            <w:r>
              <w:rPr>
                <w:rFonts w:hint="default" w:ascii="Times New Roman" w:hAnsi="Times New Roman" w:eastAsia="宋体" w:cs="Times New Roman"/>
                <w:color w:val="auto"/>
                <w:kern w:val="0"/>
                <w:sz w:val="24"/>
                <w:szCs w:val="24"/>
                <w:u w:val="none"/>
                <w:lang w:val="en-US" w:eastAsia="zh-CN" w:bidi="ar"/>
              </w:rPr>
              <w:t>140ppm(8h)</w:t>
            </w:r>
            <w:r>
              <w:rPr>
                <w:rFonts w:hint="eastAsia" w:ascii="宋体" w:hAnsi="宋体" w:eastAsia="宋体" w:cs="宋体"/>
                <w:color w:val="auto"/>
                <w:kern w:val="0"/>
                <w:sz w:val="24"/>
                <w:szCs w:val="24"/>
                <w:u w:val="none"/>
                <w:lang w:val="en-US" w:eastAsia="zh-CN" w:bidi="ar"/>
              </w:rPr>
              <w:t>，轻度刺激；亚急性和慢性毒性：大鼠吸入</w:t>
            </w:r>
            <w:r>
              <w:rPr>
                <w:rFonts w:hint="default" w:ascii="Times New Roman" w:hAnsi="Times New Roman" w:eastAsia="宋体" w:cs="Times New Roman"/>
                <w:color w:val="auto"/>
                <w:kern w:val="0"/>
                <w:sz w:val="24"/>
                <w:szCs w:val="24"/>
                <w:u w:val="none"/>
                <w:lang w:val="en-US" w:eastAsia="zh-CN" w:bidi="ar"/>
              </w:rPr>
              <w:t>3g/m</w:t>
            </w:r>
            <w:r>
              <w:rPr>
                <w:rFonts w:hint="default" w:ascii="Times New Roman" w:hAnsi="Times New Roman" w:eastAsia="宋体" w:cs="Times New Roman"/>
                <w:color w:val="auto"/>
                <w:kern w:val="0"/>
                <w:sz w:val="24"/>
                <w:szCs w:val="24"/>
                <w:u w:val="none"/>
                <w:vertAlign w:val="superscript"/>
                <w:lang w:val="en-US" w:eastAsia="zh-CN" w:bidi="ar"/>
              </w:rPr>
              <w:t>3</w:t>
            </w:r>
            <w:r>
              <w:rPr>
                <w:rFonts w:hint="eastAsia" w:ascii="宋体" w:hAnsi="宋体" w:eastAsia="宋体" w:cs="宋体"/>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12-24h/d</w:t>
            </w:r>
            <w:r>
              <w:rPr>
                <w:rFonts w:hint="eastAsia" w:ascii="宋体" w:hAnsi="宋体" w:eastAsia="宋体" w:cs="宋体"/>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78d(120#</w:t>
            </w:r>
            <w:r>
              <w:rPr>
                <w:rFonts w:hint="eastAsia" w:ascii="宋体" w:hAnsi="宋体" w:eastAsia="宋体" w:cs="宋体"/>
                <w:color w:val="auto"/>
                <w:kern w:val="0"/>
                <w:sz w:val="24"/>
                <w:szCs w:val="24"/>
                <w:u w:val="none"/>
                <w:lang w:val="en-US" w:eastAsia="zh-CN" w:bidi="ar"/>
              </w:rPr>
              <w:t>溶剂汽油</w:t>
            </w:r>
            <w:r>
              <w:rPr>
                <w:rFonts w:hint="default" w:ascii="Times New Roman" w:hAnsi="Times New Roman" w:eastAsia="宋体" w:cs="Times New Roman"/>
                <w:color w:val="auto"/>
                <w:kern w:val="0"/>
                <w:sz w:val="24"/>
                <w:szCs w:val="24"/>
                <w:u w:val="none"/>
                <w:lang w:val="en-US" w:eastAsia="zh-CN" w:bidi="ar"/>
              </w:rPr>
              <w:t>)</w:t>
            </w:r>
            <w:r>
              <w:rPr>
                <w:rFonts w:hint="eastAsia" w:ascii="宋体" w:hAnsi="宋体" w:eastAsia="宋体" w:cs="宋体"/>
                <w:color w:val="auto"/>
                <w:kern w:val="0"/>
                <w:sz w:val="24"/>
                <w:szCs w:val="24"/>
                <w:u w:val="none"/>
                <w:lang w:val="en-US" w:eastAsia="zh-CN" w:bidi="ar"/>
              </w:rPr>
              <w:t>，未见中毒症状；大鼠吸入</w:t>
            </w:r>
            <w:r>
              <w:rPr>
                <w:rFonts w:hint="default" w:ascii="Times New Roman" w:hAnsi="Times New Roman" w:eastAsia="宋体" w:cs="Times New Roman"/>
                <w:color w:val="auto"/>
                <w:kern w:val="0"/>
                <w:sz w:val="24"/>
                <w:szCs w:val="24"/>
                <w:u w:val="none"/>
                <w:lang w:val="en-US" w:eastAsia="zh-CN" w:bidi="ar"/>
              </w:rPr>
              <w:t>2500mg/m</w:t>
            </w:r>
            <w:r>
              <w:rPr>
                <w:rFonts w:hint="default" w:ascii="Times New Roman" w:hAnsi="Times New Roman" w:eastAsia="宋体" w:cs="Times New Roman"/>
                <w:color w:val="auto"/>
                <w:kern w:val="0"/>
                <w:sz w:val="24"/>
                <w:szCs w:val="24"/>
                <w:u w:val="none"/>
                <w:vertAlign w:val="superscript"/>
                <w:lang w:val="en-US" w:eastAsia="zh-CN" w:bidi="ar"/>
              </w:rPr>
              <w:t>3</w:t>
            </w:r>
            <w:r>
              <w:rPr>
                <w:rFonts w:hint="eastAsia" w:ascii="宋体" w:hAnsi="宋体" w:eastAsia="宋体" w:cs="宋体"/>
                <w:color w:val="auto"/>
                <w:kern w:val="0"/>
                <w:sz w:val="24"/>
                <w:szCs w:val="24"/>
                <w:u w:val="none"/>
                <w:lang w:val="en-US" w:eastAsia="zh-CN" w:bidi="ar"/>
              </w:rPr>
              <w:t>；危险特性：极易燃烧。其蒸气与空气可形成爆炸性混合物。遇明火、高热极易燃烧爆炸。与氧化剂能发生强烈反应。其蒸气比空气重，能在较低处扩散到相当远的地方，遇明火会引着回燃。燃烧</w:t>
            </w:r>
            <w:r>
              <w:rPr>
                <w:rFonts w:hint="default" w:ascii="Times New Roman" w:hAnsi="Times New Roman" w:eastAsia="宋体" w:cs="Times New Roman"/>
                <w:color w:val="auto"/>
                <w:kern w:val="0"/>
                <w:sz w:val="24"/>
                <w:szCs w:val="24"/>
                <w:u w:val="none"/>
                <w:lang w:val="en-US" w:eastAsia="zh-CN" w:bidi="ar"/>
              </w:rPr>
              <w:t>(</w:t>
            </w:r>
            <w:r>
              <w:rPr>
                <w:rFonts w:hint="eastAsia" w:ascii="宋体" w:hAnsi="宋体" w:eastAsia="宋体" w:cs="宋体"/>
                <w:color w:val="auto"/>
                <w:kern w:val="0"/>
                <w:sz w:val="24"/>
                <w:szCs w:val="24"/>
                <w:u w:val="none"/>
                <w:lang w:val="en-US" w:eastAsia="zh-CN" w:bidi="ar"/>
              </w:rPr>
              <w:t>分解</w:t>
            </w:r>
            <w:r>
              <w:rPr>
                <w:rFonts w:hint="default" w:ascii="Times New Roman" w:hAnsi="Times New Roman" w:eastAsia="宋体" w:cs="Times New Roman"/>
                <w:color w:val="auto"/>
                <w:kern w:val="0"/>
                <w:sz w:val="24"/>
                <w:szCs w:val="24"/>
                <w:u w:val="none"/>
                <w:lang w:val="en-US" w:eastAsia="zh-CN" w:bidi="ar"/>
              </w:rPr>
              <w:t>)</w:t>
            </w:r>
            <w:r>
              <w:rPr>
                <w:rFonts w:hint="eastAsia" w:ascii="宋体" w:hAnsi="宋体" w:eastAsia="宋体" w:cs="宋体"/>
                <w:color w:val="auto"/>
                <w:kern w:val="0"/>
                <w:sz w:val="24"/>
                <w:szCs w:val="24"/>
                <w:u w:val="none"/>
                <w:lang w:val="en-US" w:eastAsia="zh-CN" w:bidi="ar"/>
              </w:rPr>
              <w:t>产物：氧化碳、二氧化碳。</w:t>
            </w:r>
          </w:p>
          <w:p w14:paraId="473ACFFF">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pPr>
            <w:r>
              <w:rPr>
                <w:rFonts w:hint="eastAsia"/>
                <w:b/>
                <w:bCs/>
                <w:lang w:val="en-US" w:eastAsia="zh-CN"/>
              </w:rPr>
              <w:t xml:space="preserve">2.5 </w:t>
            </w:r>
            <w:r>
              <w:rPr>
                <w:b/>
                <w:bCs/>
              </w:rPr>
              <w:t>主要生产单元及生产设施</w:t>
            </w:r>
          </w:p>
          <w:p w14:paraId="42AC41FE">
            <w:pPr>
              <w:spacing w:line="240" w:lineRule="atLeast"/>
              <w:jc w:val="center"/>
              <w:rPr>
                <w:b/>
                <w:bCs/>
                <w:sz w:val="24"/>
                <w:szCs w:val="24"/>
              </w:rPr>
            </w:pPr>
            <w:r>
              <w:rPr>
                <w:b/>
                <w:bCs/>
                <w:sz w:val="24"/>
                <w:szCs w:val="24"/>
              </w:rPr>
              <w:t>表2-5 项目主要设备一览表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9"/>
              <w:gridCol w:w="2396"/>
              <w:gridCol w:w="1380"/>
              <w:gridCol w:w="580"/>
              <w:gridCol w:w="694"/>
              <w:gridCol w:w="2923"/>
            </w:tblGrid>
            <w:tr w14:paraId="48E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68EF686F">
                  <w:pPr>
                    <w:jc w:val="center"/>
                    <w:rPr>
                      <w:b/>
                      <w:szCs w:val="21"/>
                      <w:u w:val="none"/>
                    </w:rPr>
                  </w:pPr>
                  <w:r>
                    <w:rPr>
                      <w:b/>
                      <w:szCs w:val="21"/>
                      <w:u w:val="none"/>
                    </w:rPr>
                    <w:t>序号</w:t>
                  </w:r>
                </w:p>
              </w:tc>
              <w:tc>
                <w:tcPr>
                  <w:tcW w:w="2396" w:type="dxa"/>
                  <w:tcMar>
                    <w:top w:w="20" w:type="dxa"/>
                    <w:left w:w="20" w:type="dxa"/>
                    <w:bottom w:w="0" w:type="dxa"/>
                    <w:right w:w="20" w:type="dxa"/>
                  </w:tcMar>
                  <w:vAlign w:val="center"/>
                </w:tcPr>
                <w:p w14:paraId="08FB52AA">
                  <w:pPr>
                    <w:jc w:val="center"/>
                    <w:rPr>
                      <w:b/>
                      <w:szCs w:val="21"/>
                      <w:u w:val="none"/>
                    </w:rPr>
                  </w:pPr>
                  <w:r>
                    <w:rPr>
                      <w:b/>
                      <w:szCs w:val="21"/>
                      <w:u w:val="none"/>
                    </w:rPr>
                    <w:t>设备名称</w:t>
                  </w:r>
                </w:p>
              </w:tc>
              <w:tc>
                <w:tcPr>
                  <w:tcW w:w="1380" w:type="dxa"/>
                  <w:tcMar>
                    <w:top w:w="20" w:type="dxa"/>
                    <w:left w:w="20" w:type="dxa"/>
                    <w:bottom w:w="0" w:type="dxa"/>
                    <w:right w:w="20" w:type="dxa"/>
                  </w:tcMar>
                  <w:vAlign w:val="center"/>
                </w:tcPr>
                <w:p w14:paraId="138A531A">
                  <w:pPr>
                    <w:jc w:val="center"/>
                    <w:rPr>
                      <w:b/>
                      <w:szCs w:val="21"/>
                      <w:u w:val="none"/>
                    </w:rPr>
                  </w:pPr>
                  <w:r>
                    <w:rPr>
                      <w:b/>
                      <w:szCs w:val="21"/>
                      <w:u w:val="none"/>
                    </w:rPr>
                    <w:t>型号或尺寸</w:t>
                  </w:r>
                </w:p>
              </w:tc>
              <w:tc>
                <w:tcPr>
                  <w:tcW w:w="580" w:type="dxa"/>
                  <w:tcMar>
                    <w:top w:w="20" w:type="dxa"/>
                    <w:left w:w="20" w:type="dxa"/>
                    <w:bottom w:w="0" w:type="dxa"/>
                    <w:right w:w="20" w:type="dxa"/>
                  </w:tcMar>
                  <w:vAlign w:val="center"/>
                </w:tcPr>
                <w:p w14:paraId="34A420FD">
                  <w:pPr>
                    <w:jc w:val="center"/>
                    <w:rPr>
                      <w:b/>
                      <w:szCs w:val="21"/>
                      <w:u w:val="none"/>
                    </w:rPr>
                  </w:pPr>
                  <w:r>
                    <w:rPr>
                      <w:b/>
                      <w:szCs w:val="21"/>
                      <w:u w:val="none"/>
                    </w:rPr>
                    <w:t>单位</w:t>
                  </w:r>
                </w:p>
              </w:tc>
              <w:tc>
                <w:tcPr>
                  <w:tcW w:w="694" w:type="dxa"/>
                  <w:tcMar>
                    <w:top w:w="20" w:type="dxa"/>
                    <w:left w:w="20" w:type="dxa"/>
                    <w:bottom w:w="0" w:type="dxa"/>
                    <w:right w:w="20" w:type="dxa"/>
                  </w:tcMar>
                  <w:vAlign w:val="center"/>
                </w:tcPr>
                <w:p w14:paraId="67B7CAEE">
                  <w:pPr>
                    <w:jc w:val="center"/>
                    <w:rPr>
                      <w:b/>
                      <w:szCs w:val="21"/>
                      <w:u w:val="none"/>
                    </w:rPr>
                  </w:pPr>
                  <w:r>
                    <w:rPr>
                      <w:b/>
                      <w:szCs w:val="21"/>
                      <w:u w:val="none"/>
                    </w:rPr>
                    <w:t>数量</w:t>
                  </w:r>
                </w:p>
              </w:tc>
              <w:tc>
                <w:tcPr>
                  <w:tcW w:w="2923" w:type="dxa"/>
                  <w:tcMar>
                    <w:top w:w="20" w:type="dxa"/>
                    <w:left w:w="20" w:type="dxa"/>
                    <w:bottom w:w="0" w:type="dxa"/>
                    <w:right w:w="20" w:type="dxa"/>
                  </w:tcMar>
                  <w:vAlign w:val="center"/>
                </w:tcPr>
                <w:p w14:paraId="5DA8E677">
                  <w:pPr>
                    <w:jc w:val="center"/>
                    <w:rPr>
                      <w:b/>
                      <w:szCs w:val="21"/>
                      <w:u w:val="none"/>
                    </w:rPr>
                  </w:pPr>
                  <w:r>
                    <w:rPr>
                      <w:b/>
                      <w:szCs w:val="21"/>
                      <w:u w:val="none"/>
                    </w:rPr>
                    <w:t>备注</w:t>
                  </w:r>
                </w:p>
              </w:tc>
            </w:tr>
            <w:tr w14:paraId="1C0E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vMerge w:val="restart"/>
                  <w:tcMar>
                    <w:top w:w="20" w:type="dxa"/>
                    <w:left w:w="20" w:type="dxa"/>
                    <w:bottom w:w="0" w:type="dxa"/>
                    <w:right w:w="20" w:type="dxa"/>
                  </w:tcMar>
                  <w:vAlign w:val="center"/>
                </w:tcPr>
                <w:p w14:paraId="4BD7E948">
                  <w:pPr>
                    <w:adjustRightInd w:val="0"/>
                    <w:snapToGrid w:val="0"/>
                    <w:jc w:val="center"/>
                    <w:rPr>
                      <w:u w:val="none"/>
                    </w:rPr>
                  </w:pPr>
                  <w:r>
                    <w:rPr>
                      <w:u w:val="none"/>
                    </w:rPr>
                    <w:t>1</w:t>
                  </w:r>
                </w:p>
              </w:tc>
              <w:tc>
                <w:tcPr>
                  <w:tcW w:w="2396" w:type="dxa"/>
                  <w:vMerge w:val="restart"/>
                  <w:tcMar>
                    <w:top w:w="20" w:type="dxa"/>
                    <w:left w:w="20" w:type="dxa"/>
                    <w:bottom w:w="0" w:type="dxa"/>
                    <w:right w:w="20" w:type="dxa"/>
                  </w:tcMar>
                  <w:vAlign w:val="center"/>
                </w:tcPr>
                <w:p w14:paraId="211F1E44">
                  <w:pPr>
                    <w:adjustRightInd w:val="0"/>
                    <w:snapToGrid w:val="0"/>
                    <w:jc w:val="center"/>
                    <w:rPr>
                      <w:u w:val="none"/>
                    </w:rPr>
                  </w:pPr>
                  <w:r>
                    <w:rPr>
                      <w:bCs/>
                      <w:kern w:val="0"/>
                      <w:u w:val="none"/>
                    </w:rPr>
                    <w:t>埋地油罐</w:t>
                  </w:r>
                </w:p>
              </w:tc>
              <w:tc>
                <w:tcPr>
                  <w:tcW w:w="1380" w:type="dxa"/>
                  <w:tcMar>
                    <w:top w:w="20" w:type="dxa"/>
                    <w:left w:w="20" w:type="dxa"/>
                    <w:bottom w:w="0" w:type="dxa"/>
                    <w:right w:w="20" w:type="dxa"/>
                  </w:tcMar>
                  <w:vAlign w:val="center"/>
                </w:tcPr>
                <w:p w14:paraId="6FEF0D12">
                  <w:pPr>
                    <w:adjustRightInd w:val="0"/>
                    <w:snapToGrid w:val="0"/>
                    <w:jc w:val="center"/>
                    <w:rPr>
                      <w:bCs/>
                      <w:kern w:val="0"/>
                      <w:u w:val="none"/>
                    </w:rPr>
                  </w:pPr>
                  <w:r>
                    <w:rPr>
                      <w:rFonts w:hint="eastAsia"/>
                      <w:color w:val="auto"/>
                      <w:u w:val="none"/>
                    </w:rPr>
                    <w:t>卧式双层储油罐</w:t>
                  </w:r>
                  <w:r>
                    <w:rPr>
                      <w:bCs/>
                      <w:kern w:val="0"/>
                      <w:u w:val="none"/>
                    </w:rPr>
                    <w:t>30m</w:t>
                  </w:r>
                  <w:r>
                    <w:rPr>
                      <w:bCs/>
                      <w:kern w:val="0"/>
                      <w:u w:val="none"/>
                      <w:vertAlign w:val="superscript"/>
                    </w:rPr>
                    <w:t>3</w:t>
                  </w:r>
                </w:p>
              </w:tc>
              <w:tc>
                <w:tcPr>
                  <w:tcW w:w="580" w:type="dxa"/>
                  <w:tcMar>
                    <w:top w:w="20" w:type="dxa"/>
                    <w:left w:w="20" w:type="dxa"/>
                    <w:bottom w:w="0" w:type="dxa"/>
                    <w:right w:w="20" w:type="dxa"/>
                  </w:tcMar>
                  <w:vAlign w:val="center"/>
                </w:tcPr>
                <w:p w14:paraId="6B626675">
                  <w:pPr>
                    <w:adjustRightInd w:val="0"/>
                    <w:snapToGrid w:val="0"/>
                    <w:jc w:val="center"/>
                    <w:rPr>
                      <w:bCs/>
                      <w:kern w:val="0"/>
                      <w:u w:val="none"/>
                    </w:rPr>
                  </w:pPr>
                  <w:r>
                    <w:rPr>
                      <w:bCs/>
                      <w:kern w:val="0"/>
                      <w:u w:val="none"/>
                    </w:rPr>
                    <w:t>个</w:t>
                  </w:r>
                </w:p>
              </w:tc>
              <w:tc>
                <w:tcPr>
                  <w:tcW w:w="694" w:type="dxa"/>
                  <w:tcMar>
                    <w:top w:w="20" w:type="dxa"/>
                    <w:left w:w="20" w:type="dxa"/>
                    <w:bottom w:w="0" w:type="dxa"/>
                    <w:right w:w="20" w:type="dxa"/>
                  </w:tcMar>
                  <w:vAlign w:val="center"/>
                </w:tcPr>
                <w:p w14:paraId="74ACBF6E">
                  <w:pPr>
                    <w:adjustRightInd w:val="0"/>
                    <w:snapToGrid w:val="0"/>
                    <w:jc w:val="center"/>
                    <w:rPr>
                      <w:rFonts w:hint="eastAsia" w:eastAsia="宋体"/>
                      <w:bCs/>
                      <w:kern w:val="0"/>
                      <w:u w:val="none"/>
                      <w:lang w:eastAsia="zh-CN"/>
                    </w:rPr>
                  </w:pPr>
                  <w:r>
                    <w:rPr>
                      <w:rFonts w:hint="eastAsia"/>
                      <w:bCs/>
                      <w:kern w:val="0"/>
                      <w:u w:val="none"/>
                      <w:lang w:val="en-US" w:eastAsia="zh-CN"/>
                    </w:rPr>
                    <w:t>2</w:t>
                  </w:r>
                </w:p>
              </w:tc>
              <w:tc>
                <w:tcPr>
                  <w:tcW w:w="2923" w:type="dxa"/>
                  <w:tcMar>
                    <w:top w:w="20" w:type="dxa"/>
                    <w:left w:w="20" w:type="dxa"/>
                    <w:bottom w:w="0" w:type="dxa"/>
                    <w:right w:w="20" w:type="dxa"/>
                  </w:tcMar>
                  <w:vAlign w:val="center"/>
                </w:tcPr>
                <w:p w14:paraId="4B0AB82E">
                  <w:pPr>
                    <w:pStyle w:val="205"/>
                    <w:adjustRightInd w:val="0"/>
                    <w:snapToGrid w:val="0"/>
                    <w:jc w:val="center"/>
                    <w:rPr>
                      <w:rFonts w:ascii="Times New Roman" w:hAnsi="Times New Roman"/>
                      <w:szCs w:val="21"/>
                      <w:u w:val="none"/>
                    </w:rPr>
                  </w:pPr>
                  <w:r>
                    <w:rPr>
                      <w:rFonts w:ascii="Times New Roman" w:hAnsi="Times New Roman"/>
                      <w:szCs w:val="21"/>
                      <w:u w:val="none"/>
                    </w:rPr>
                    <w:t>92#汽油</w:t>
                  </w:r>
                  <w:r>
                    <w:rPr>
                      <w:rFonts w:ascii="Times New Roman" w:hAnsi="Times New Roman"/>
                      <w:bCs/>
                      <w:kern w:val="0"/>
                      <w:szCs w:val="21"/>
                      <w:u w:val="none"/>
                    </w:rPr>
                    <w:t>埋地油罐</w:t>
                  </w:r>
                </w:p>
              </w:tc>
            </w:tr>
            <w:tr w14:paraId="4537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vMerge w:val="continue"/>
                  <w:tcMar>
                    <w:top w:w="20" w:type="dxa"/>
                    <w:left w:w="20" w:type="dxa"/>
                    <w:bottom w:w="0" w:type="dxa"/>
                    <w:right w:w="20" w:type="dxa"/>
                  </w:tcMar>
                  <w:vAlign w:val="center"/>
                </w:tcPr>
                <w:p w14:paraId="3E5D484D">
                  <w:pPr>
                    <w:adjustRightInd w:val="0"/>
                    <w:snapToGrid w:val="0"/>
                    <w:jc w:val="center"/>
                    <w:rPr>
                      <w:u w:val="none"/>
                    </w:rPr>
                  </w:pPr>
                </w:p>
              </w:tc>
              <w:tc>
                <w:tcPr>
                  <w:tcW w:w="2396" w:type="dxa"/>
                  <w:vMerge w:val="continue"/>
                  <w:tcMar>
                    <w:top w:w="20" w:type="dxa"/>
                    <w:left w:w="20" w:type="dxa"/>
                    <w:bottom w:w="0" w:type="dxa"/>
                    <w:right w:w="20" w:type="dxa"/>
                  </w:tcMar>
                  <w:vAlign w:val="center"/>
                </w:tcPr>
                <w:p w14:paraId="6B7262EE">
                  <w:pPr>
                    <w:adjustRightInd w:val="0"/>
                    <w:snapToGrid w:val="0"/>
                    <w:jc w:val="center"/>
                    <w:rPr>
                      <w:u w:val="none"/>
                    </w:rPr>
                  </w:pPr>
                </w:p>
              </w:tc>
              <w:tc>
                <w:tcPr>
                  <w:tcW w:w="1380" w:type="dxa"/>
                  <w:tcMar>
                    <w:top w:w="20" w:type="dxa"/>
                    <w:left w:w="20" w:type="dxa"/>
                    <w:bottom w:w="0" w:type="dxa"/>
                    <w:right w:w="20" w:type="dxa"/>
                  </w:tcMar>
                  <w:vAlign w:val="center"/>
                </w:tcPr>
                <w:p w14:paraId="6486CB89">
                  <w:pPr>
                    <w:adjustRightInd w:val="0"/>
                    <w:snapToGrid w:val="0"/>
                    <w:jc w:val="center"/>
                    <w:rPr>
                      <w:bCs/>
                      <w:kern w:val="0"/>
                      <w:u w:val="none"/>
                    </w:rPr>
                  </w:pPr>
                  <w:r>
                    <w:rPr>
                      <w:rFonts w:hint="eastAsia"/>
                      <w:color w:val="auto"/>
                      <w:u w:val="none"/>
                    </w:rPr>
                    <w:t>卧式双层储油罐</w:t>
                  </w:r>
                  <w:r>
                    <w:rPr>
                      <w:bCs/>
                      <w:kern w:val="0"/>
                      <w:u w:val="none"/>
                    </w:rPr>
                    <w:t>30m</w:t>
                  </w:r>
                  <w:r>
                    <w:rPr>
                      <w:bCs/>
                      <w:kern w:val="0"/>
                      <w:u w:val="none"/>
                      <w:vertAlign w:val="superscript"/>
                    </w:rPr>
                    <w:t>3</w:t>
                  </w:r>
                </w:p>
              </w:tc>
              <w:tc>
                <w:tcPr>
                  <w:tcW w:w="580" w:type="dxa"/>
                  <w:tcMar>
                    <w:top w:w="20" w:type="dxa"/>
                    <w:left w:w="20" w:type="dxa"/>
                    <w:bottom w:w="0" w:type="dxa"/>
                    <w:right w:w="20" w:type="dxa"/>
                  </w:tcMar>
                  <w:vAlign w:val="center"/>
                </w:tcPr>
                <w:p w14:paraId="28919311">
                  <w:pPr>
                    <w:adjustRightInd w:val="0"/>
                    <w:snapToGrid w:val="0"/>
                    <w:jc w:val="center"/>
                    <w:rPr>
                      <w:bCs/>
                      <w:kern w:val="0"/>
                      <w:u w:val="none"/>
                    </w:rPr>
                  </w:pPr>
                  <w:r>
                    <w:rPr>
                      <w:bCs/>
                      <w:kern w:val="0"/>
                      <w:u w:val="none"/>
                    </w:rPr>
                    <w:t>个</w:t>
                  </w:r>
                </w:p>
              </w:tc>
              <w:tc>
                <w:tcPr>
                  <w:tcW w:w="694" w:type="dxa"/>
                  <w:tcMar>
                    <w:top w:w="20" w:type="dxa"/>
                    <w:left w:w="20" w:type="dxa"/>
                    <w:bottom w:w="0" w:type="dxa"/>
                    <w:right w:w="20" w:type="dxa"/>
                  </w:tcMar>
                  <w:vAlign w:val="center"/>
                </w:tcPr>
                <w:p w14:paraId="1C17B8BA">
                  <w:pPr>
                    <w:adjustRightInd w:val="0"/>
                    <w:snapToGrid w:val="0"/>
                    <w:jc w:val="center"/>
                    <w:rPr>
                      <w:bCs/>
                      <w:kern w:val="0"/>
                      <w:u w:val="none"/>
                    </w:rPr>
                  </w:pPr>
                  <w:r>
                    <w:rPr>
                      <w:bCs/>
                      <w:kern w:val="0"/>
                      <w:u w:val="none"/>
                    </w:rPr>
                    <w:t>1</w:t>
                  </w:r>
                </w:p>
              </w:tc>
              <w:tc>
                <w:tcPr>
                  <w:tcW w:w="2923" w:type="dxa"/>
                  <w:tcMar>
                    <w:top w:w="20" w:type="dxa"/>
                    <w:left w:w="20" w:type="dxa"/>
                    <w:bottom w:w="0" w:type="dxa"/>
                    <w:right w:w="20" w:type="dxa"/>
                  </w:tcMar>
                  <w:vAlign w:val="center"/>
                </w:tcPr>
                <w:p w14:paraId="68F662BE">
                  <w:pPr>
                    <w:adjustRightInd w:val="0"/>
                    <w:snapToGrid w:val="0"/>
                    <w:jc w:val="center"/>
                    <w:rPr>
                      <w:bCs/>
                      <w:kern w:val="0"/>
                      <w:u w:val="none"/>
                    </w:rPr>
                  </w:pPr>
                  <w:r>
                    <w:rPr>
                      <w:szCs w:val="21"/>
                      <w:u w:val="none"/>
                    </w:rPr>
                    <w:t>95#汽油</w:t>
                  </w:r>
                  <w:r>
                    <w:rPr>
                      <w:bCs/>
                      <w:kern w:val="0"/>
                      <w:szCs w:val="21"/>
                      <w:u w:val="none"/>
                    </w:rPr>
                    <w:t>埋地油罐</w:t>
                  </w:r>
                </w:p>
              </w:tc>
            </w:tr>
            <w:tr w14:paraId="3587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vMerge w:val="continue"/>
                  <w:tcMar>
                    <w:top w:w="20" w:type="dxa"/>
                    <w:left w:w="20" w:type="dxa"/>
                    <w:bottom w:w="0" w:type="dxa"/>
                    <w:right w:w="20" w:type="dxa"/>
                  </w:tcMar>
                  <w:vAlign w:val="center"/>
                </w:tcPr>
                <w:p w14:paraId="191E424A">
                  <w:pPr>
                    <w:adjustRightInd w:val="0"/>
                    <w:snapToGrid w:val="0"/>
                    <w:jc w:val="center"/>
                    <w:rPr>
                      <w:bCs/>
                      <w:kern w:val="0"/>
                      <w:u w:val="none"/>
                    </w:rPr>
                  </w:pPr>
                </w:p>
              </w:tc>
              <w:tc>
                <w:tcPr>
                  <w:tcW w:w="2396" w:type="dxa"/>
                  <w:vMerge w:val="continue"/>
                  <w:tcMar>
                    <w:top w:w="20" w:type="dxa"/>
                    <w:left w:w="20" w:type="dxa"/>
                    <w:bottom w:w="0" w:type="dxa"/>
                    <w:right w:w="20" w:type="dxa"/>
                  </w:tcMar>
                  <w:vAlign w:val="center"/>
                </w:tcPr>
                <w:p w14:paraId="3BF8D5B6">
                  <w:pPr>
                    <w:adjustRightInd w:val="0"/>
                    <w:snapToGrid w:val="0"/>
                    <w:jc w:val="center"/>
                    <w:rPr>
                      <w:bCs/>
                      <w:kern w:val="0"/>
                      <w:u w:val="none"/>
                    </w:rPr>
                  </w:pPr>
                </w:p>
              </w:tc>
              <w:tc>
                <w:tcPr>
                  <w:tcW w:w="1380" w:type="dxa"/>
                  <w:tcMar>
                    <w:top w:w="20" w:type="dxa"/>
                    <w:left w:w="20" w:type="dxa"/>
                    <w:bottom w:w="0" w:type="dxa"/>
                    <w:right w:w="20" w:type="dxa"/>
                  </w:tcMar>
                  <w:vAlign w:val="center"/>
                </w:tcPr>
                <w:p w14:paraId="305576FD">
                  <w:pPr>
                    <w:adjustRightInd w:val="0"/>
                    <w:snapToGrid w:val="0"/>
                    <w:jc w:val="center"/>
                    <w:rPr>
                      <w:bCs/>
                      <w:kern w:val="0"/>
                      <w:u w:val="none"/>
                    </w:rPr>
                  </w:pPr>
                  <w:r>
                    <w:rPr>
                      <w:rFonts w:hint="eastAsia"/>
                      <w:color w:val="auto"/>
                      <w:u w:val="none"/>
                    </w:rPr>
                    <w:t>卧式双层储油罐</w:t>
                  </w:r>
                  <w:r>
                    <w:rPr>
                      <w:rFonts w:hint="eastAsia"/>
                      <w:bCs/>
                      <w:kern w:val="0"/>
                      <w:u w:val="none"/>
                      <w:lang w:val="en-US" w:eastAsia="zh-CN"/>
                    </w:rPr>
                    <w:t>50</w:t>
                  </w:r>
                  <w:r>
                    <w:rPr>
                      <w:bCs/>
                      <w:kern w:val="0"/>
                      <w:u w:val="none"/>
                    </w:rPr>
                    <w:t>m</w:t>
                  </w:r>
                  <w:r>
                    <w:rPr>
                      <w:bCs/>
                      <w:kern w:val="0"/>
                      <w:u w:val="none"/>
                      <w:vertAlign w:val="superscript"/>
                    </w:rPr>
                    <w:t>3</w:t>
                  </w:r>
                </w:p>
              </w:tc>
              <w:tc>
                <w:tcPr>
                  <w:tcW w:w="580" w:type="dxa"/>
                  <w:tcMar>
                    <w:top w:w="20" w:type="dxa"/>
                    <w:left w:w="20" w:type="dxa"/>
                    <w:bottom w:w="0" w:type="dxa"/>
                    <w:right w:w="20" w:type="dxa"/>
                  </w:tcMar>
                  <w:vAlign w:val="center"/>
                </w:tcPr>
                <w:p w14:paraId="0C6B61BC">
                  <w:pPr>
                    <w:adjustRightInd w:val="0"/>
                    <w:snapToGrid w:val="0"/>
                    <w:jc w:val="center"/>
                    <w:rPr>
                      <w:bCs/>
                      <w:kern w:val="0"/>
                      <w:u w:val="none"/>
                    </w:rPr>
                  </w:pPr>
                  <w:r>
                    <w:rPr>
                      <w:bCs/>
                      <w:kern w:val="0"/>
                      <w:u w:val="none"/>
                    </w:rPr>
                    <w:t>个</w:t>
                  </w:r>
                </w:p>
              </w:tc>
              <w:tc>
                <w:tcPr>
                  <w:tcW w:w="694" w:type="dxa"/>
                  <w:tcMar>
                    <w:top w:w="20" w:type="dxa"/>
                    <w:left w:w="20" w:type="dxa"/>
                    <w:bottom w:w="0" w:type="dxa"/>
                    <w:right w:w="20" w:type="dxa"/>
                  </w:tcMar>
                  <w:vAlign w:val="center"/>
                </w:tcPr>
                <w:p w14:paraId="4910A939">
                  <w:pPr>
                    <w:adjustRightInd w:val="0"/>
                    <w:snapToGrid w:val="0"/>
                    <w:jc w:val="center"/>
                    <w:rPr>
                      <w:rFonts w:hint="eastAsia" w:eastAsia="宋体"/>
                      <w:bCs/>
                      <w:kern w:val="0"/>
                      <w:u w:val="none"/>
                      <w:lang w:eastAsia="zh-CN"/>
                    </w:rPr>
                  </w:pPr>
                  <w:r>
                    <w:rPr>
                      <w:rFonts w:hint="eastAsia"/>
                      <w:bCs/>
                      <w:kern w:val="0"/>
                      <w:u w:val="none"/>
                      <w:lang w:val="en-US" w:eastAsia="zh-CN"/>
                    </w:rPr>
                    <w:t>1</w:t>
                  </w:r>
                </w:p>
              </w:tc>
              <w:tc>
                <w:tcPr>
                  <w:tcW w:w="2923" w:type="dxa"/>
                  <w:tcMar>
                    <w:top w:w="20" w:type="dxa"/>
                    <w:left w:w="20" w:type="dxa"/>
                    <w:bottom w:w="0" w:type="dxa"/>
                    <w:right w:w="20" w:type="dxa"/>
                  </w:tcMar>
                  <w:vAlign w:val="center"/>
                </w:tcPr>
                <w:p w14:paraId="39B4E950">
                  <w:pPr>
                    <w:adjustRightInd w:val="0"/>
                    <w:snapToGrid w:val="0"/>
                    <w:jc w:val="center"/>
                    <w:rPr>
                      <w:bCs/>
                      <w:kern w:val="0"/>
                      <w:u w:val="none"/>
                    </w:rPr>
                  </w:pPr>
                  <w:r>
                    <w:rPr>
                      <w:bCs/>
                      <w:kern w:val="0"/>
                      <w:u w:val="none"/>
                    </w:rPr>
                    <w:t>0#柴油埋地油罐</w:t>
                  </w:r>
                </w:p>
              </w:tc>
            </w:tr>
            <w:tr w14:paraId="1165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4BAB4F29">
                  <w:pPr>
                    <w:adjustRightInd w:val="0"/>
                    <w:snapToGrid w:val="0"/>
                    <w:jc w:val="center"/>
                    <w:rPr>
                      <w:u w:val="none"/>
                    </w:rPr>
                  </w:pPr>
                  <w:r>
                    <w:rPr>
                      <w:u w:val="none"/>
                    </w:rPr>
                    <w:t>2</w:t>
                  </w:r>
                </w:p>
              </w:tc>
              <w:tc>
                <w:tcPr>
                  <w:tcW w:w="2396" w:type="dxa"/>
                  <w:tcMar>
                    <w:top w:w="20" w:type="dxa"/>
                    <w:left w:w="20" w:type="dxa"/>
                    <w:bottom w:w="0" w:type="dxa"/>
                    <w:right w:w="20" w:type="dxa"/>
                  </w:tcMar>
                  <w:vAlign w:val="center"/>
                </w:tcPr>
                <w:p w14:paraId="0DAF6515">
                  <w:pPr>
                    <w:adjustRightInd w:val="0"/>
                    <w:snapToGrid w:val="0"/>
                    <w:jc w:val="center"/>
                    <w:rPr>
                      <w:u w:val="none"/>
                    </w:rPr>
                  </w:pPr>
                  <w:r>
                    <w:rPr>
                      <w:u w:val="none"/>
                    </w:rPr>
                    <w:t>加油机</w:t>
                  </w:r>
                </w:p>
              </w:tc>
              <w:tc>
                <w:tcPr>
                  <w:tcW w:w="1380" w:type="dxa"/>
                  <w:tcMar>
                    <w:top w:w="20" w:type="dxa"/>
                    <w:left w:w="20" w:type="dxa"/>
                    <w:bottom w:w="0" w:type="dxa"/>
                    <w:right w:w="20" w:type="dxa"/>
                  </w:tcMar>
                  <w:vAlign w:val="center"/>
                </w:tcPr>
                <w:p w14:paraId="14D38E5C">
                  <w:pPr>
                    <w:adjustRightInd w:val="0"/>
                    <w:snapToGrid w:val="0"/>
                    <w:jc w:val="center"/>
                    <w:rPr>
                      <w:bCs/>
                      <w:kern w:val="0"/>
                      <w:u w:val="none"/>
                    </w:rPr>
                  </w:pPr>
                  <w:r>
                    <w:rPr>
                      <w:rFonts w:hint="eastAsia"/>
                      <w:color w:val="auto"/>
                      <w:kern w:val="0"/>
                      <w:u w:val="none"/>
                    </w:rPr>
                    <w:t>四枪双油品潜油泵型加油机</w:t>
                  </w:r>
                </w:p>
              </w:tc>
              <w:tc>
                <w:tcPr>
                  <w:tcW w:w="580" w:type="dxa"/>
                  <w:tcMar>
                    <w:top w:w="20" w:type="dxa"/>
                    <w:left w:w="20" w:type="dxa"/>
                    <w:bottom w:w="0" w:type="dxa"/>
                    <w:right w:w="20" w:type="dxa"/>
                  </w:tcMar>
                  <w:vAlign w:val="center"/>
                </w:tcPr>
                <w:p w14:paraId="57E8BF05">
                  <w:pPr>
                    <w:adjustRightInd w:val="0"/>
                    <w:snapToGrid w:val="0"/>
                    <w:jc w:val="center"/>
                    <w:rPr>
                      <w:bCs/>
                      <w:kern w:val="0"/>
                      <w:u w:val="none"/>
                    </w:rPr>
                  </w:pPr>
                  <w:r>
                    <w:rPr>
                      <w:bCs/>
                      <w:kern w:val="0"/>
                      <w:u w:val="none"/>
                    </w:rPr>
                    <w:t>台</w:t>
                  </w:r>
                </w:p>
              </w:tc>
              <w:tc>
                <w:tcPr>
                  <w:tcW w:w="694" w:type="dxa"/>
                  <w:tcMar>
                    <w:top w:w="20" w:type="dxa"/>
                    <w:left w:w="20" w:type="dxa"/>
                    <w:bottom w:w="0" w:type="dxa"/>
                    <w:right w:w="20" w:type="dxa"/>
                  </w:tcMar>
                  <w:vAlign w:val="center"/>
                </w:tcPr>
                <w:p w14:paraId="73C0EDAD">
                  <w:pPr>
                    <w:adjustRightInd w:val="0"/>
                    <w:snapToGrid w:val="0"/>
                    <w:jc w:val="center"/>
                    <w:rPr>
                      <w:rFonts w:hint="eastAsia" w:eastAsia="宋体"/>
                      <w:bCs/>
                      <w:kern w:val="0"/>
                      <w:u w:val="none"/>
                      <w:lang w:eastAsia="zh-CN"/>
                    </w:rPr>
                  </w:pPr>
                  <w:r>
                    <w:rPr>
                      <w:rFonts w:hint="eastAsia"/>
                      <w:bCs/>
                      <w:kern w:val="0"/>
                      <w:u w:val="none"/>
                      <w:lang w:val="en-US" w:eastAsia="zh-CN"/>
                    </w:rPr>
                    <w:t>4</w:t>
                  </w:r>
                </w:p>
              </w:tc>
              <w:tc>
                <w:tcPr>
                  <w:tcW w:w="2923" w:type="dxa"/>
                  <w:tcMar>
                    <w:top w:w="20" w:type="dxa"/>
                    <w:left w:w="20" w:type="dxa"/>
                    <w:bottom w:w="0" w:type="dxa"/>
                    <w:right w:w="20" w:type="dxa"/>
                  </w:tcMar>
                  <w:vAlign w:val="center"/>
                </w:tcPr>
                <w:p w14:paraId="0BB8B812">
                  <w:pPr>
                    <w:adjustRightInd w:val="0"/>
                    <w:snapToGrid w:val="0"/>
                    <w:jc w:val="center"/>
                    <w:rPr>
                      <w:rFonts w:hint="default" w:eastAsia="宋体"/>
                      <w:bCs/>
                      <w:kern w:val="0"/>
                      <w:u w:val="none"/>
                      <w:lang w:val="en-US" w:eastAsia="zh-CN"/>
                    </w:rPr>
                  </w:pPr>
                  <w:r>
                    <w:rPr>
                      <w:bCs/>
                      <w:kern w:val="0"/>
                      <w:u w:val="none"/>
                    </w:rPr>
                    <w:t>汽油</w:t>
                  </w:r>
                  <w:r>
                    <w:rPr>
                      <w:rFonts w:hint="eastAsia"/>
                      <w:bCs/>
                      <w:kern w:val="0"/>
                      <w:u w:val="none"/>
                      <w:lang w:eastAsia="zh-CN"/>
                    </w:rPr>
                    <w:t>、</w:t>
                  </w:r>
                  <w:r>
                    <w:rPr>
                      <w:rFonts w:hint="eastAsia"/>
                      <w:bCs/>
                      <w:kern w:val="0"/>
                      <w:u w:val="none"/>
                      <w:lang w:val="en-US" w:eastAsia="zh-CN"/>
                    </w:rPr>
                    <w:t>柴油</w:t>
                  </w:r>
                </w:p>
              </w:tc>
            </w:tr>
            <w:tr w14:paraId="4BAF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2F0E19D3">
                  <w:pPr>
                    <w:adjustRightInd w:val="0"/>
                    <w:snapToGrid w:val="0"/>
                    <w:jc w:val="center"/>
                    <w:rPr>
                      <w:u w:val="none"/>
                    </w:rPr>
                  </w:pPr>
                  <w:r>
                    <w:rPr>
                      <w:u w:val="none"/>
                    </w:rPr>
                    <w:t>3</w:t>
                  </w:r>
                </w:p>
              </w:tc>
              <w:tc>
                <w:tcPr>
                  <w:tcW w:w="2396" w:type="dxa"/>
                  <w:tcMar>
                    <w:top w:w="20" w:type="dxa"/>
                    <w:left w:w="20" w:type="dxa"/>
                    <w:bottom w:w="0" w:type="dxa"/>
                    <w:right w:w="20" w:type="dxa"/>
                  </w:tcMar>
                  <w:vAlign w:val="center"/>
                </w:tcPr>
                <w:p w14:paraId="666832D5">
                  <w:pPr>
                    <w:adjustRightInd w:val="0"/>
                    <w:snapToGrid w:val="0"/>
                    <w:jc w:val="center"/>
                    <w:rPr>
                      <w:u w:val="none"/>
                    </w:rPr>
                  </w:pPr>
                  <w:r>
                    <w:rPr>
                      <w:u w:val="none"/>
                    </w:rPr>
                    <w:t>油气回收系统</w:t>
                  </w:r>
                </w:p>
              </w:tc>
              <w:tc>
                <w:tcPr>
                  <w:tcW w:w="1380" w:type="dxa"/>
                  <w:tcMar>
                    <w:top w:w="20" w:type="dxa"/>
                    <w:left w:w="20" w:type="dxa"/>
                    <w:bottom w:w="0" w:type="dxa"/>
                    <w:right w:w="20" w:type="dxa"/>
                  </w:tcMar>
                  <w:vAlign w:val="center"/>
                </w:tcPr>
                <w:p w14:paraId="39757548">
                  <w:pPr>
                    <w:adjustRightInd w:val="0"/>
                    <w:snapToGrid w:val="0"/>
                    <w:jc w:val="center"/>
                    <w:rPr>
                      <w:u w:val="none"/>
                    </w:rPr>
                  </w:pPr>
                  <w:r>
                    <w:rPr>
                      <w:u w:val="none"/>
                    </w:rPr>
                    <w:t>/</w:t>
                  </w:r>
                </w:p>
              </w:tc>
              <w:tc>
                <w:tcPr>
                  <w:tcW w:w="580" w:type="dxa"/>
                  <w:tcMar>
                    <w:top w:w="20" w:type="dxa"/>
                    <w:left w:w="20" w:type="dxa"/>
                    <w:bottom w:w="0" w:type="dxa"/>
                    <w:right w:w="20" w:type="dxa"/>
                  </w:tcMar>
                  <w:vAlign w:val="center"/>
                </w:tcPr>
                <w:p w14:paraId="5A37435F">
                  <w:pPr>
                    <w:adjustRightInd w:val="0"/>
                    <w:snapToGrid w:val="0"/>
                    <w:jc w:val="center"/>
                    <w:rPr>
                      <w:u w:val="none"/>
                    </w:rPr>
                  </w:pPr>
                  <w:r>
                    <w:rPr>
                      <w:u w:val="none"/>
                    </w:rPr>
                    <w:t>套</w:t>
                  </w:r>
                </w:p>
              </w:tc>
              <w:tc>
                <w:tcPr>
                  <w:tcW w:w="694" w:type="dxa"/>
                  <w:tcMar>
                    <w:top w:w="20" w:type="dxa"/>
                    <w:left w:w="20" w:type="dxa"/>
                    <w:bottom w:w="0" w:type="dxa"/>
                    <w:right w:w="20" w:type="dxa"/>
                  </w:tcMar>
                  <w:vAlign w:val="center"/>
                </w:tcPr>
                <w:p w14:paraId="1A8CCAE6">
                  <w:pPr>
                    <w:adjustRightInd w:val="0"/>
                    <w:snapToGrid w:val="0"/>
                    <w:jc w:val="center"/>
                    <w:rPr>
                      <w:rFonts w:hint="eastAsia" w:eastAsia="宋体"/>
                      <w:u w:val="none"/>
                      <w:lang w:eastAsia="zh-CN"/>
                    </w:rPr>
                  </w:pPr>
                  <w:r>
                    <w:rPr>
                      <w:rFonts w:hint="eastAsia"/>
                      <w:u w:val="none"/>
                      <w:lang w:val="en-US" w:eastAsia="zh-CN"/>
                    </w:rPr>
                    <w:t>1</w:t>
                  </w:r>
                </w:p>
              </w:tc>
              <w:tc>
                <w:tcPr>
                  <w:tcW w:w="2923" w:type="dxa"/>
                  <w:tcMar>
                    <w:top w:w="20" w:type="dxa"/>
                    <w:left w:w="20" w:type="dxa"/>
                    <w:bottom w:w="0" w:type="dxa"/>
                    <w:right w:w="20" w:type="dxa"/>
                  </w:tcMar>
                  <w:vAlign w:val="center"/>
                </w:tcPr>
                <w:p w14:paraId="08C2AA83">
                  <w:pPr>
                    <w:adjustRightInd w:val="0"/>
                    <w:snapToGrid w:val="0"/>
                    <w:jc w:val="center"/>
                    <w:rPr>
                      <w:rFonts w:hint="default" w:eastAsia="宋体"/>
                      <w:u w:val="none"/>
                      <w:lang w:val="en-US" w:eastAsia="zh-CN"/>
                    </w:rPr>
                  </w:pPr>
                  <w:r>
                    <w:rPr>
                      <w:u w:val="none"/>
                    </w:rPr>
                    <w:t>含卸油油气回收</w:t>
                  </w:r>
                  <w:r>
                    <w:rPr>
                      <w:rFonts w:hint="eastAsia"/>
                      <w:u w:val="none"/>
                      <w:lang w:eastAsia="zh-CN"/>
                    </w:rPr>
                    <w:t>、</w:t>
                  </w:r>
                  <w:r>
                    <w:rPr>
                      <w:u w:val="none"/>
                    </w:rPr>
                    <w:t>加油油气回收</w:t>
                  </w:r>
                  <w:r>
                    <w:rPr>
                      <w:rFonts w:hint="eastAsia"/>
                      <w:u w:val="none"/>
                      <w:lang w:val="en-US" w:eastAsia="zh-CN"/>
                    </w:rPr>
                    <w:t>和储油油气回收</w:t>
                  </w:r>
                </w:p>
              </w:tc>
            </w:tr>
            <w:tr w14:paraId="794C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674C1E86">
                  <w:pPr>
                    <w:adjustRightInd w:val="0"/>
                    <w:snapToGrid w:val="0"/>
                    <w:jc w:val="center"/>
                    <w:rPr>
                      <w:u w:val="none"/>
                    </w:rPr>
                  </w:pPr>
                  <w:r>
                    <w:rPr>
                      <w:u w:val="none"/>
                    </w:rPr>
                    <w:t>4</w:t>
                  </w:r>
                </w:p>
              </w:tc>
              <w:tc>
                <w:tcPr>
                  <w:tcW w:w="2396" w:type="dxa"/>
                  <w:tcMar>
                    <w:top w:w="20" w:type="dxa"/>
                    <w:left w:w="20" w:type="dxa"/>
                    <w:bottom w:w="0" w:type="dxa"/>
                    <w:right w:w="20" w:type="dxa"/>
                  </w:tcMar>
                  <w:vAlign w:val="center"/>
                </w:tcPr>
                <w:p w14:paraId="05DD8E1E">
                  <w:pPr>
                    <w:adjustRightInd w:val="0"/>
                    <w:snapToGrid w:val="0"/>
                    <w:jc w:val="center"/>
                    <w:rPr>
                      <w:u w:val="none"/>
                    </w:rPr>
                  </w:pPr>
                  <w:r>
                    <w:rPr>
                      <w:u w:val="none"/>
                    </w:rPr>
                    <w:t>液位</w:t>
                  </w:r>
                  <w:r>
                    <w:rPr>
                      <w:rFonts w:hint="eastAsia"/>
                      <w:u w:val="none"/>
                      <w:lang w:val="en-US" w:eastAsia="zh-CN"/>
                    </w:rPr>
                    <w:t>监控</w:t>
                  </w:r>
                  <w:r>
                    <w:rPr>
                      <w:u w:val="none"/>
                    </w:rPr>
                    <w:t>仪</w:t>
                  </w:r>
                </w:p>
              </w:tc>
              <w:tc>
                <w:tcPr>
                  <w:tcW w:w="1380" w:type="dxa"/>
                  <w:tcMar>
                    <w:top w:w="20" w:type="dxa"/>
                    <w:left w:w="20" w:type="dxa"/>
                    <w:bottom w:w="0" w:type="dxa"/>
                    <w:right w:w="20" w:type="dxa"/>
                  </w:tcMar>
                  <w:vAlign w:val="center"/>
                </w:tcPr>
                <w:p w14:paraId="77C34A98">
                  <w:pPr>
                    <w:adjustRightInd w:val="0"/>
                    <w:snapToGrid w:val="0"/>
                    <w:jc w:val="center"/>
                    <w:rPr>
                      <w:u w:val="none"/>
                    </w:rPr>
                  </w:pPr>
                  <w:r>
                    <w:rPr>
                      <w:u w:val="none"/>
                    </w:rPr>
                    <w:t>/</w:t>
                  </w:r>
                </w:p>
              </w:tc>
              <w:tc>
                <w:tcPr>
                  <w:tcW w:w="580" w:type="dxa"/>
                  <w:tcMar>
                    <w:top w:w="20" w:type="dxa"/>
                    <w:left w:w="20" w:type="dxa"/>
                    <w:bottom w:w="0" w:type="dxa"/>
                    <w:right w:w="20" w:type="dxa"/>
                  </w:tcMar>
                  <w:vAlign w:val="center"/>
                </w:tcPr>
                <w:p w14:paraId="6AB9BDD8">
                  <w:pPr>
                    <w:adjustRightInd w:val="0"/>
                    <w:snapToGrid w:val="0"/>
                    <w:jc w:val="center"/>
                    <w:rPr>
                      <w:u w:val="none"/>
                    </w:rPr>
                  </w:pPr>
                  <w:r>
                    <w:rPr>
                      <w:u w:val="none"/>
                    </w:rPr>
                    <w:t>台</w:t>
                  </w:r>
                </w:p>
              </w:tc>
              <w:tc>
                <w:tcPr>
                  <w:tcW w:w="694" w:type="dxa"/>
                  <w:tcMar>
                    <w:top w:w="20" w:type="dxa"/>
                    <w:left w:w="20" w:type="dxa"/>
                    <w:bottom w:w="0" w:type="dxa"/>
                    <w:right w:w="20" w:type="dxa"/>
                  </w:tcMar>
                  <w:vAlign w:val="center"/>
                </w:tcPr>
                <w:p w14:paraId="5317A3AD">
                  <w:pPr>
                    <w:adjustRightInd w:val="0"/>
                    <w:snapToGrid w:val="0"/>
                    <w:jc w:val="center"/>
                    <w:rPr>
                      <w:u w:val="none"/>
                    </w:rPr>
                  </w:pPr>
                  <w:r>
                    <w:rPr>
                      <w:u w:val="none"/>
                    </w:rPr>
                    <w:t>4</w:t>
                  </w:r>
                </w:p>
              </w:tc>
              <w:tc>
                <w:tcPr>
                  <w:tcW w:w="2923" w:type="dxa"/>
                  <w:tcMar>
                    <w:top w:w="20" w:type="dxa"/>
                    <w:left w:w="20" w:type="dxa"/>
                    <w:bottom w:w="0" w:type="dxa"/>
                    <w:right w:w="20" w:type="dxa"/>
                  </w:tcMar>
                  <w:vAlign w:val="center"/>
                </w:tcPr>
                <w:p w14:paraId="0F3AF044">
                  <w:pPr>
                    <w:adjustRightInd w:val="0"/>
                    <w:snapToGrid w:val="0"/>
                    <w:jc w:val="center"/>
                    <w:rPr>
                      <w:u w:val="none"/>
                    </w:rPr>
                  </w:pPr>
                  <w:r>
                    <w:rPr>
                      <w:u w:val="none"/>
                    </w:rPr>
                    <w:t>高液位报警</w:t>
                  </w:r>
                </w:p>
              </w:tc>
            </w:tr>
            <w:tr w14:paraId="1FC2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1B51EDC2">
                  <w:pPr>
                    <w:adjustRightInd w:val="0"/>
                    <w:snapToGrid w:val="0"/>
                    <w:jc w:val="center"/>
                    <w:rPr>
                      <w:u w:val="none"/>
                    </w:rPr>
                  </w:pPr>
                  <w:r>
                    <w:rPr>
                      <w:u w:val="none"/>
                    </w:rPr>
                    <w:t>5</w:t>
                  </w:r>
                </w:p>
              </w:tc>
              <w:tc>
                <w:tcPr>
                  <w:tcW w:w="2396" w:type="dxa"/>
                  <w:tcMar>
                    <w:top w:w="20" w:type="dxa"/>
                    <w:left w:w="20" w:type="dxa"/>
                    <w:bottom w:w="0" w:type="dxa"/>
                    <w:right w:w="20" w:type="dxa"/>
                  </w:tcMar>
                  <w:vAlign w:val="center"/>
                </w:tcPr>
                <w:p w14:paraId="4B2E60E4">
                  <w:pPr>
                    <w:adjustRightInd w:val="0"/>
                    <w:snapToGrid w:val="0"/>
                    <w:jc w:val="center"/>
                    <w:rPr>
                      <w:u w:val="none"/>
                    </w:rPr>
                  </w:pPr>
                  <w:r>
                    <w:rPr>
                      <w:u w:val="none"/>
                    </w:rPr>
                    <w:t>全场监控报警系统</w:t>
                  </w:r>
                </w:p>
              </w:tc>
              <w:tc>
                <w:tcPr>
                  <w:tcW w:w="1380" w:type="dxa"/>
                  <w:tcMar>
                    <w:top w:w="20" w:type="dxa"/>
                    <w:left w:w="20" w:type="dxa"/>
                    <w:bottom w:w="0" w:type="dxa"/>
                    <w:right w:w="20" w:type="dxa"/>
                  </w:tcMar>
                  <w:vAlign w:val="center"/>
                </w:tcPr>
                <w:p w14:paraId="65440E5F">
                  <w:pPr>
                    <w:adjustRightInd w:val="0"/>
                    <w:snapToGrid w:val="0"/>
                    <w:jc w:val="center"/>
                    <w:rPr>
                      <w:u w:val="none"/>
                    </w:rPr>
                  </w:pPr>
                  <w:r>
                    <w:rPr>
                      <w:u w:val="none"/>
                    </w:rPr>
                    <w:t>/</w:t>
                  </w:r>
                </w:p>
              </w:tc>
              <w:tc>
                <w:tcPr>
                  <w:tcW w:w="580" w:type="dxa"/>
                  <w:tcMar>
                    <w:top w:w="20" w:type="dxa"/>
                    <w:left w:w="20" w:type="dxa"/>
                    <w:bottom w:w="0" w:type="dxa"/>
                    <w:right w:w="20" w:type="dxa"/>
                  </w:tcMar>
                  <w:vAlign w:val="center"/>
                </w:tcPr>
                <w:p w14:paraId="73742467">
                  <w:pPr>
                    <w:adjustRightInd w:val="0"/>
                    <w:snapToGrid w:val="0"/>
                    <w:jc w:val="center"/>
                    <w:rPr>
                      <w:u w:val="none"/>
                    </w:rPr>
                  </w:pPr>
                  <w:r>
                    <w:rPr>
                      <w:u w:val="none"/>
                    </w:rPr>
                    <w:t>套</w:t>
                  </w:r>
                </w:p>
              </w:tc>
              <w:tc>
                <w:tcPr>
                  <w:tcW w:w="694" w:type="dxa"/>
                  <w:tcMar>
                    <w:top w:w="20" w:type="dxa"/>
                    <w:left w:w="20" w:type="dxa"/>
                    <w:bottom w:w="0" w:type="dxa"/>
                    <w:right w:w="20" w:type="dxa"/>
                  </w:tcMar>
                  <w:vAlign w:val="center"/>
                </w:tcPr>
                <w:p w14:paraId="728B19CE">
                  <w:pPr>
                    <w:adjustRightInd w:val="0"/>
                    <w:snapToGrid w:val="0"/>
                    <w:jc w:val="center"/>
                    <w:rPr>
                      <w:u w:val="none"/>
                    </w:rPr>
                  </w:pPr>
                  <w:r>
                    <w:rPr>
                      <w:u w:val="none"/>
                    </w:rPr>
                    <w:t>1</w:t>
                  </w:r>
                </w:p>
              </w:tc>
              <w:tc>
                <w:tcPr>
                  <w:tcW w:w="2923" w:type="dxa"/>
                  <w:tcMar>
                    <w:top w:w="20" w:type="dxa"/>
                    <w:left w:w="20" w:type="dxa"/>
                    <w:bottom w:w="0" w:type="dxa"/>
                    <w:right w:w="20" w:type="dxa"/>
                  </w:tcMar>
                  <w:vAlign w:val="center"/>
                </w:tcPr>
                <w:p w14:paraId="30E97E49">
                  <w:pPr>
                    <w:adjustRightInd w:val="0"/>
                    <w:snapToGrid w:val="0"/>
                    <w:jc w:val="center"/>
                    <w:rPr>
                      <w:u w:val="none"/>
                    </w:rPr>
                  </w:pPr>
                  <w:r>
                    <w:rPr>
                      <w:u w:val="none"/>
                    </w:rPr>
                    <w:t>/</w:t>
                  </w:r>
                </w:p>
              </w:tc>
            </w:tr>
            <w:tr w14:paraId="11A5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2DE54C43">
                  <w:pPr>
                    <w:adjustRightInd w:val="0"/>
                    <w:snapToGrid w:val="0"/>
                    <w:jc w:val="center"/>
                    <w:rPr>
                      <w:rFonts w:hint="eastAsia" w:eastAsia="宋体"/>
                      <w:u w:val="none"/>
                      <w:lang w:val="en-US" w:eastAsia="zh-CN"/>
                    </w:rPr>
                  </w:pPr>
                  <w:r>
                    <w:rPr>
                      <w:rFonts w:hint="eastAsia"/>
                      <w:u w:val="none"/>
                      <w:lang w:val="en-US" w:eastAsia="zh-CN"/>
                    </w:rPr>
                    <w:t>6</w:t>
                  </w:r>
                </w:p>
              </w:tc>
              <w:tc>
                <w:tcPr>
                  <w:tcW w:w="2396" w:type="dxa"/>
                  <w:shd w:val="clear" w:color="auto" w:fill="auto"/>
                  <w:tcMar>
                    <w:top w:w="20" w:type="dxa"/>
                    <w:left w:w="20" w:type="dxa"/>
                    <w:bottom w:w="0" w:type="dxa"/>
                    <w:right w:w="20" w:type="dxa"/>
                  </w:tcMar>
                  <w:vAlign w:val="center"/>
                </w:tcPr>
                <w:p w14:paraId="1C21A8E6">
                  <w:pPr>
                    <w:adjustRightInd w:val="0"/>
                    <w:snapToGrid w:val="0"/>
                    <w:jc w:val="center"/>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潜油泵</w:t>
                  </w:r>
                </w:p>
              </w:tc>
              <w:tc>
                <w:tcPr>
                  <w:tcW w:w="1380" w:type="dxa"/>
                  <w:shd w:val="clear" w:color="auto" w:fill="auto"/>
                  <w:tcMar>
                    <w:top w:w="20" w:type="dxa"/>
                    <w:left w:w="20" w:type="dxa"/>
                    <w:bottom w:w="0" w:type="dxa"/>
                    <w:right w:w="20" w:type="dxa"/>
                  </w:tcMar>
                  <w:vAlign w:val="center"/>
                </w:tcPr>
                <w:p w14:paraId="660F923B">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613D738C">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台</w:t>
                  </w:r>
                </w:p>
              </w:tc>
              <w:tc>
                <w:tcPr>
                  <w:tcW w:w="694" w:type="dxa"/>
                  <w:shd w:val="clear" w:color="auto" w:fill="auto"/>
                  <w:tcMar>
                    <w:top w:w="20" w:type="dxa"/>
                    <w:left w:w="20" w:type="dxa"/>
                    <w:bottom w:w="0" w:type="dxa"/>
                    <w:right w:w="20" w:type="dxa"/>
                  </w:tcMar>
                  <w:vAlign w:val="center"/>
                </w:tcPr>
                <w:p w14:paraId="36F029F2">
                  <w:pPr>
                    <w:adjustRightInd w:val="0"/>
                    <w:snapToGrid w:val="0"/>
                    <w:jc w:val="center"/>
                    <w:rPr>
                      <w:rFonts w:hint="eastAsia" w:ascii="Times New Roman" w:hAnsi="Times New Roman" w:eastAsia="宋体" w:cs="Times New Roman"/>
                      <w:kern w:val="2"/>
                      <w:sz w:val="21"/>
                      <w:szCs w:val="24"/>
                      <w:u w:val="none"/>
                      <w:lang w:val="en-US" w:eastAsia="zh-CN" w:bidi="ar-SA"/>
                    </w:rPr>
                  </w:pPr>
                  <w:r>
                    <w:rPr>
                      <w:rFonts w:hint="eastAsia"/>
                      <w:u w:val="none"/>
                      <w:lang w:val="en-US" w:eastAsia="zh-CN"/>
                    </w:rPr>
                    <w:t>4</w:t>
                  </w:r>
                </w:p>
              </w:tc>
              <w:tc>
                <w:tcPr>
                  <w:tcW w:w="2923" w:type="dxa"/>
                  <w:tcMar>
                    <w:top w:w="20" w:type="dxa"/>
                    <w:left w:w="20" w:type="dxa"/>
                    <w:bottom w:w="0" w:type="dxa"/>
                    <w:right w:w="20" w:type="dxa"/>
                  </w:tcMar>
                  <w:vAlign w:val="center"/>
                </w:tcPr>
                <w:p w14:paraId="13B3D6CB">
                  <w:pPr>
                    <w:adjustRightInd w:val="0"/>
                    <w:snapToGrid w:val="0"/>
                    <w:jc w:val="center"/>
                    <w:rPr>
                      <w:rFonts w:hint="eastAsia" w:eastAsia="宋体"/>
                      <w:u w:val="none"/>
                      <w:lang w:val="en-US" w:eastAsia="zh-CN"/>
                    </w:rPr>
                  </w:pPr>
                  <w:r>
                    <w:rPr>
                      <w:u w:val="none"/>
                    </w:rPr>
                    <w:t>/</w:t>
                  </w:r>
                </w:p>
              </w:tc>
            </w:tr>
            <w:tr w14:paraId="3766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74E6C4EE">
                  <w:pPr>
                    <w:adjustRightInd w:val="0"/>
                    <w:snapToGrid w:val="0"/>
                    <w:jc w:val="center"/>
                    <w:rPr>
                      <w:rFonts w:hint="eastAsia" w:eastAsia="宋体"/>
                      <w:u w:val="none"/>
                      <w:lang w:val="en-US" w:eastAsia="zh-CN"/>
                    </w:rPr>
                  </w:pPr>
                  <w:r>
                    <w:rPr>
                      <w:rFonts w:hint="eastAsia"/>
                      <w:u w:val="none"/>
                      <w:lang w:val="en-US" w:eastAsia="zh-CN"/>
                    </w:rPr>
                    <w:t>7</w:t>
                  </w:r>
                </w:p>
              </w:tc>
              <w:tc>
                <w:tcPr>
                  <w:tcW w:w="2396" w:type="dxa"/>
                  <w:shd w:val="clear" w:color="auto" w:fill="auto"/>
                  <w:tcMar>
                    <w:top w:w="20" w:type="dxa"/>
                    <w:left w:w="20" w:type="dxa"/>
                    <w:bottom w:w="0" w:type="dxa"/>
                    <w:right w:w="20" w:type="dxa"/>
                  </w:tcMar>
                  <w:vAlign w:val="center"/>
                </w:tcPr>
                <w:p w14:paraId="7C40A5DA">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2"/>
                      <w:sz w:val="21"/>
                      <w:szCs w:val="21"/>
                      <w:u w:val="none"/>
                    </w:rPr>
                    <w:t>发配电设施</w:t>
                  </w:r>
                </w:p>
              </w:tc>
              <w:tc>
                <w:tcPr>
                  <w:tcW w:w="1380" w:type="dxa"/>
                  <w:shd w:val="clear" w:color="auto" w:fill="auto"/>
                  <w:tcMar>
                    <w:top w:w="20" w:type="dxa"/>
                    <w:left w:w="20" w:type="dxa"/>
                    <w:bottom w:w="0" w:type="dxa"/>
                    <w:right w:w="20" w:type="dxa"/>
                  </w:tcMar>
                  <w:vAlign w:val="center"/>
                </w:tcPr>
                <w:p w14:paraId="1220C10A">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71F5B97F">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套</w:t>
                  </w:r>
                </w:p>
              </w:tc>
              <w:tc>
                <w:tcPr>
                  <w:tcW w:w="694" w:type="dxa"/>
                  <w:shd w:val="clear" w:color="auto" w:fill="auto"/>
                  <w:tcMar>
                    <w:top w:w="20" w:type="dxa"/>
                    <w:left w:w="20" w:type="dxa"/>
                    <w:bottom w:w="0" w:type="dxa"/>
                    <w:right w:w="20" w:type="dxa"/>
                  </w:tcMar>
                  <w:vAlign w:val="center"/>
                </w:tcPr>
                <w:p w14:paraId="0F183875">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w:t>
                  </w:r>
                </w:p>
              </w:tc>
              <w:tc>
                <w:tcPr>
                  <w:tcW w:w="2923" w:type="dxa"/>
                  <w:tcMar>
                    <w:top w:w="20" w:type="dxa"/>
                    <w:left w:w="20" w:type="dxa"/>
                    <w:bottom w:w="0" w:type="dxa"/>
                    <w:right w:w="20" w:type="dxa"/>
                  </w:tcMar>
                  <w:vAlign w:val="center"/>
                </w:tcPr>
                <w:p w14:paraId="3E565D52">
                  <w:pPr>
                    <w:adjustRightInd w:val="0"/>
                    <w:snapToGrid w:val="0"/>
                    <w:jc w:val="center"/>
                    <w:rPr>
                      <w:u w:val="none"/>
                    </w:rPr>
                  </w:pPr>
                  <w:r>
                    <w:rPr>
                      <w:u w:val="none"/>
                    </w:rPr>
                    <w:t>/</w:t>
                  </w:r>
                </w:p>
              </w:tc>
            </w:tr>
            <w:tr w14:paraId="63F8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19701352">
                  <w:pPr>
                    <w:adjustRightInd w:val="0"/>
                    <w:snapToGrid w:val="0"/>
                    <w:jc w:val="center"/>
                    <w:rPr>
                      <w:rFonts w:hint="eastAsia" w:eastAsia="宋体"/>
                      <w:u w:val="none"/>
                      <w:lang w:val="en-US" w:eastAsia="zh-CN"/>
                    </w:rPr>
                  </w:pPr>
                  <w:r>
                    <w:rPr>
                      <w:rFonts w:hint="eastAsia"/>
                      <w:u w:val="none"/>
                      <w:lang w:val="en-US" w:eastAsia="zh-CN"/>
                    </w:rPr>
                    <w:t>8</w:t>
                  </w:r>
                </w:p>
              </w:tc>
              <w:tc>
                <w:tcPr>
                  <w:tcW w:w="2396" w:type="dxa"/>
                  <w:shd w:val="clear" w:color="auto" w:fill="auto"/>
                  <w:tcMar>
                    <w:top w:w="20" w:type="dxa"/>
                    <w:left w:w="20" w:type="dxa"/>
                    <w:bottom w:w="0" w:type="dxa"/>
                    <w:right w:w="20" w:type="dxa"/>
                  </w:tcMar>
                  <w:vAlign w:val="center"/>
                </w:tcPr>
                <w:p w14:paraId="390A4422">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1"/>
                      <w:sz w:val="21"/>
                      <w:szCs w:val="21"/>
                      <w:u w:val="none"/>
                    </w:rPr>
                    <w:t>双层罐渗漏检测探头</w:t>
                  </w:r>
                </w:p>
              </w:tc>
              <w:tc>
                <w:tcPr>
                  <w:tcW w:w="1380" w:type="dxa"/>
                  <w:shd w:val="clear" w:color="auto" w:fill="auto"/>
                  <w:tcMar>
                    <w:top w:w="20" w:type="dxa"/>
                    <w:left w:w="20" w:type="dxa"/>
                    <w:bottom w:w="0" w:type="dxa"/>
                    <w:right w:w="20" w:type="dxa"/>
                  </w:tcMar>
                  <w:vAlign w:val="center"/>
                </w:tcPr>
                <w:p w14:paraId="428D40AC">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51BD180C">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只</w:t>
                  </w:r>
                </w:p>
              </w:tc>
              <w:tc>
                <w:tcPr>
                  <w:tcW w:w="694" w:type="dxa"/>
                  <w:shd w:val="clear" w:color="auto" w:fill="auto"/>
                  <w:tcMar>
                    <w:top w:w="20" w:type="dxa"/>
                    <w:left w:w="20" w:type="dxa"/>
                    <w:bottom w:w="0" w:type="dxa"/>
                    <w:right w:w="20" w:type="dxa"/>
                  </w:tcMar>
                  <w:vAlign w:val="center"/>
                </w:tcPr>
                <w:p w14:paraId="3DF4D3BD">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4</w:t>
                  </w:r>
                </w:p>
              </w:tc>
              <w:tc>
                <w:tcPr>
                  <w:tcW w:w="2923" w:type="dxa"/>
                  <w:tcMar>
                    <w:top w:w="20" w:type="dxa"/>
                    <w:left w:w="20" w:type="dxa"/>
                    <w:bottom w:w="0" w:type="dxa"/>
                    <w:right w:w="20" w:type="dxa"/>
                  </w:tcMar>
                  <w:vAlign w:val="center"/>
                </w:tcPr>
                <w:p w14:paraId="5067E185">
                  <w:pPr>
                    <w:adjustRightInd w:val="0"/>
                    <w:snapToGrid w:val="0"/>
                    <w:jc w:val="center"/>
                    <w:rPr>
                      <w:u w:val="none"/>
                    </w:rPr>
                  </w:pPr>
                  <w:r>
                    <w:rPr>
                      <w:u w:val="none"/>
                    </w:rPr>
                    <w:t>/</w:t>
                  </w:r>
                </w:p>
              </w:tc>
            </w:tr>
            <w:tr w14:paraId="2293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50483269">
                  <w:pPr>
                    <w:adjustRightInd w:val="0"/>
                    <w:snapToGrid w:val="0"/>
                    <w:jc w:val="center"/>
                    <w:rPr>
                      <w:rFonts w:hint="eastAsia" w:eastAsia="宋体"/>
                      <w:u w:val="none"/>
                      <w:lang w:val="en-US" w:eastAsia="zh-CN"/>
                    </w:rPr>
                  </w:pPr>
                  <w:r>
                    <w:rPr>
                      <w:rFonts w:hint="eastAsia"/>
                      <w:u w:val="none"/>
                      <w:lang w:val="en-US" w:eastAsia="zh-CN"/>
                    </w:rPr>
                    <w:t>9</w:t>
                  </w:r>
                </w:p>
              </w:tc>
              <w:tc>
                <w:tcPr>
                  <w:tcW w:w="2396" w:type="dxa"/>
                  <w:shd w:val="clear" w:color="auto" w:fill="auto"/>
                  <w:tcMar>
                    <w:top w:w="20" w:type="dxa"/>
                    <w:left w:w="20" w:type="dxa"/>
                    <w:bottom w:w="0" w:type="dxa"/>
                    <w:right w:w="20" w:type="dxa"/>
                  </w:tcMar>
                  <w:vAlign w:val="center"/>
                </w:tcPr>
                <w:p w14:paraId="62CAEECB">
                  <w:pPr>
                    <w:pStyle w:val="35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2"/>
                      <w:sz w:val="21"/>
                      <w:szCs w:val="21"/>
                      <w:u w:val="none"/>
                    </w:rPr>
                    <w:t>防爆</w:t>
                  </w:r>
                  <w:r>
                    <w:rPr>
                      <w:rFonts w:hint="default" w:ascii="Times New Roman" w:hAnsi="Times New Roman" w:eastAsia="宋体" w:cs="Times New Roman"/>
                      <w:spacing w:val="-1"/>
                      <w:sz w:val="21"/>
                      <w:szCs w:val="21"/>
                      <w:u w:val="none"/>
                    </w:rPr>
                    <w:t>型磁致伸缩液位探棒</w:t>
                  </w:r>
                </w:p>
              </w:tc>
              <w:tc>
                <w:tcPr>
                  <w:tcW w:w="1380" w:type="dxa"/>
                  <w:shd w:val="clear" w:color="auto" w:fill="auto"/>
                  <w:tcMar>
                    <w:top w:w="20" w:type="dxa"/>
                    <w:left w:w="20" w:type="dxa"/>
                    <w:bottom w:w="0" w:type="dxa"/>
                    <w:right w:w="20" w:type="dxa"/>
                  </w:tcMar>
                  <w:vAlign w:val="center"/>
                </w:tcPr>
                <w:p w14:paraId="62BE005B">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666D6CEB">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根</w:t>
                  </w:r>
                </w:p>
              </w:tc>
              <w:tc>
                <w:tcPr>
                  <w:tcW w:w="694" w:type="dxa"/>
                  <w:shd w:val="clear" w:color="auto" w:fill="auto"/>
                  <w:tcMar>
                    <w:top w:w="20" w:type="dxa"/>
                    <w:left w:w="20" w:type="dxa"/>
                    <w:bottom w:w="0" w:type="dxa"/>
                    <w:right w:w="20" w:type="dxa"/>
                  </w:tcMar>
                  <w:vAlign w:val="center"/>
                </w:tcPr>
                <w:p w14:paraId="2AF06267">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4</w:t>
                  </w:r>
                </w:p>
              </w:tc>
              <w:tc>
                <w:tcPr>
                  <w:tcW w:w="2923" w:type="dxa"/>
                  <w:tcMar>
                    <w:top w:w="20" w:type="dxa"/>
                    <w:left w:w="20" w:type="dxa"/>
                    <w:bottom w:w="0" w:type="dxa"/>
                    <w:right w:w="20" w:type="dxa"/>
                  </w:tcMar>
                  <w:vAlign w:val="center"/>
                </w:tcPr>
                <w:p w14:paraId="2AE60E33">
                  <w:pPr>
                    <w:adjustRightInd w:val="0"/>
                    <w:snapToGrid w:val="0"/>
                    <w:jc w:val="center"/>
                    <w:rPr>
                      <w:u w:val="none"/>
                    </w:rPr>
                  </w:pPr>
                  <w:r>
                    <w:rPr>
                      <w:u w:val="none"/>
                    </w:rPr>
                    <w:t>/</w:t>
                  </w:r>
                </w:p>
              </w:tc>
            </w:tr>
            <w:tr w14:paraId="4AA7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2E432965">
                  <w:pPr>
                    <w:adjustRightInd w:val="0"/>
                    <w:snapToGrid w:val="0"/>
                    <w:jc w:val="center"/>
                    <w:rPr>
                      <w:rFonts w:hint="default" w:eastAsia="宋体"/>
                      <w:u w:val="none"/>
                      <w:lang w:val="en-US" w:eastAsia="zh-CN"/>
                    </w:rPr>
                  </w:pPr>
                  <w:r>
                    <w:rPr>
                      <w:rFonts w:hint="eastAsia"/>
                      <w:u w:val="none"/>
                      <w:lang w:val="en-US" w:eastAsia="zh-CN"/>
                    </w:rPr>
                    <w:t>10</w:t>
                  </w:r>
                </w:p>
              </w:tc>
              <w:tc>
                <w:tcPr>
                  <w:tcW w:w="2396" w:type="dxa"/>
                  <w:shd w:val="clear" w:color="auto" w:fill="auto"/>
                  <w:tcMar>
                    <w:top w:w="20" w:type="dxa"/>
                    <w:left w:w="20" w:type="dxa"/>
                    <w:bottom w:w="0" w:type="dxa"/>
                    <w:right w:w="20" w:type="dxa"/>
                  </w:tcMar>
                  <w:vAlign w:val="center"/>
                </w:tcPr>
                <w:p w14:paraId="2B74EBBE">
                  <w:pPr>
                    <w:pStyle w:val="35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1"/>
                      <w:sz w:val="21"/>
                      <w:szCs w:val="21"/>
                      <w:u w:val="none"/>
                    </w:rPr>
                    <w:t>双层管道渗漏检测探</w:t>
                  </w:r>
                  <w:r>
                    <w:rPr>
                      <w:rFonts w:hint="default" w:ascii="Times New Roman" w:hAnsi="Times New Roman" w:cs="Times New Roman"/>
                      <w:sz w:val="21"/>
                      <w:szCs w:val="21"/>
                      <w:u w:val="none"/>
                    </w:rPr>
                    <w:t>头</w:t>
                  </w:r>
                </w:p>
              </w:tc>
              <w:tc>
                <w:tcPr>
                  <w:tcW w:w="1380" w:type="dxa"/>
                  <w:shd w:val="clear" w:color="auto" w:fill="auto"/>
                  <w:tcMar>
                    <w:top w:w="20" w:type="dxa"/>
                    <w:left w:w="20" w:type="dxa"/>
                    <w:bottom w:w="0" w:type="dxa"/>
                    <w:right w:w="20" w:type="dxa"/>
                  </w:tcMar>
                  <w:vAlign w:val="center"/>
                </w:tcPr>
                <w:p w14:paraId="66C3AA6D">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0353B3D5">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根</w:t>
                  </w:r>
                </w:p>
              </w:tc>
              <w:tc>
                <w:tcPr>
                  <w:tcW w:w="694" w:type="dxa"/>
                  <w:shd w:val="clear" w:color="auto" w:fill="auto"/>
                  <w:tcMar>
                    <w:top w:w="20" w:type="dxa"/>
                    <w:left w:w="20" w:type="dxa"/>
                    <w:bottom w:w="0" w:type="dxa"/>
                    <w:right w:w="20" w:type="dxa"/>
                  </w:tcMar>
                  <w:vAlign w:val="center"/>
                </w:tcPr>
                <w:p w14:paraId="47893125">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4</w:t>
                  </w:r>
                </w:p>
              </w:tc>
              <w:tc>
                <w:tcPr>
                  <w:tcW w:w="2923" w:type="dxa"/>
                  <w:tcMar>
                    <w:top w:w="20" w:type="dxa"/>
                    <w:left w:w="20" w:type="dxa"/>
                    <w:bottom w:w="0" w:type="dxa"/>
                    <w:right w:w="20" w:type="dxa"/>
                  </w:tcMar>
                  <w:vAlign w:val="center"/>
                </w:tcPr>
                <w:p w14:paraId="6D02EBBE">
                  <w:pPr>
                    <w:adjustRightInd w:val="0"/>
                    <w:snapToGrid w:val="0"/>
                    <w:jc w:val="center"/>
                    <w:rPr>
                      <w:u w:val="none"/>
                    </w:rPr>
                  </w:pPr>
                  <w:r>
                    <w:rPr>
                      <w:u w:val="none"/>
                    </w:rPr>
                    <w:t>/</w:t>
                  </w:r>
                </w:p>
              </w:tc>
            </w:tr>
            <w:tr w14:paraId="7C7E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2E0EA9B1">
                  <w:pPr>
                    <w:adjustRightInd w:val="0"/>
                    <w:snapToGrid w:val="0"/>
                    <w:jc w:val="center"/>
                    <w:rPr>
                      <w:rFonts w:hint="default" w:eastAsia="宋体"/>
                      <w:u w:val="none"/>
                      <w:lang w:val="en-US" w:eastAsia="zh-CN"/>
                    </w:rPr>
                  </w:pPr>
                  <w:r>
                    <w:rPr>
                      <w:rFonts w:hint="eastAsia"/>
                      <w:u w:val="none"/>
                      <w:lang w:val="en-US" w:eastAsia="zh-CN"/>
                    </w:rPr>
                    <w:t>11</w:t>
                  </w:r>
                </w:p>
              </w:tc>
              <w:tc>
                <w:tcPr>
                  <w:tcW w:w="2396" w:type="dxa"/>
                  <w:shd w:val="clear" w:color="auto" w:fill="auto"/>
                  <w:tcMar>
                    <w:top w:w="20" w:type="dxa"/>
                    <w:left w:w="20" w:type="dxa"/>
                    <w:bottom w:w="0" w:type="dxa"/>
                    <w:right w:w="20" w:type="dxa"/>
                  </w:tcMar>
                  <w:vAlign w:val="center"/>
                </w:tcPr>
                <w:p w14:paraId="5C8578B4">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1"/>
                      <w:sz w:val="21"/>
                      <w:szCs w:val="21"/>
                      <w:u w:val="none"/>
                    </w:rPr>
                    <w:t>双层油罐渗漏监控仪</w:t>
                  </w:r>
                </w:p>
              </w:tc>
              <w:tc>
                <w:tcPr>
                  <w:tcW w:w="1380" w:type="dxa"/>
                  <w:shd w:val="clear" w:color="auto" w:fill="auto"/>
                  <w:tcMar>
                    <w:top w:w="20" w:type="dxa"/>
                    <w:left w:w="20" w:type="dxa"/>
                    <w:bottom w:w="0" w:type="dxa"/>
                    <w:right w:w="20" w:type="dxa"/>
                  </w:tcMar>
                  <w:vAlign w:val="center"/>
                </w:tcPr>
                <w:p w14:paraId="404AF6EC">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17260DC5">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台</w:t>
                  </w:r>
                </w:p>
              </w:tc>
              <w:tc>
                <w:tcPr>
                  <w:tcW w:w="694" w:type="dxa"/>
                  <w:shd w:val="clear" w:color="auto" w:fill="auto"/>
                  <w:tcMar>
                    <w:top w:w="20" w:type="dxa"/>
                    <w:left w:w="20" w:type="dxa"/>
                    <w:bottom w:w="0" w:type="dxa"/>
                    <w:right w:w="20" w:type="dxa"/>
                  </w:tcMar>
                  <w:vAlign w:val="center"/>
                </w:tcPr>
                <w:p w14:paraId="51A22574">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w:t>
                  </w:r>
                </w:p>
              </w:tc>
              <w:tc>
                <w:tcPr>
                  <w:tcW w:w="2923" w:type="dxa"/>
                  <w:tcMar>
                    <w:top w:w="20" w:type="dxa"/>
                    <w:left w:w="20" w:type="dxa"/>
                    <w:bottom w:w="0" w:type="dxa"/>
                    <w:right w:w="20" w:type="dxa"/>
                  </w:tcMar>
                  <w:vAlign w:val="center"/>
                </w:tcPr>
                <w:p w14:paraId="5054C26B">
                  <w:pPr>
                    <w:adjustRightInd w:val="0"/>
                    <w:snapToGrid w:val="0"/>
                    <w:jc w:val="center"/>
                    <w:rPr>
                      <w:u w:val="none"/>
                    </w:rPr>
                  </w:pPr>
                  <w:r>
                    <w:rPr>
                      <w:u w:val="none"/>
                    </w:rPr>
                    <w:t>/</w:t>
                  </w:r>
                </w:p>
              </w:tc>
            </w:tr>
            <w:tr w14:paraId="33CB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7604C9AC">
                  <w:pPr>
                    <w:adjustRightInd w:val="0"/>
                    <w:snapToGrid w:val="0"/>
                    <w:jc w:val="center"/>
                    <w:rPr>
                      <w:rFonts w:hint="default" w:eastAsia="宋体"/>
                      <w:u w:val="none"/>
                      <w:lang w:val="en-US" w:eastAsia="zh-CN"/>
                    </w:rPr>
                  </w:pPr>
                  <w:r>
                    <w:rPr>
                      <w:rFonts w:hint="eastAsia"/>
                      <w:u w:val="none"/>
                      <w:lang w:val="en-US" w:eastAsia="zh-CN"/>
                    </w:rPr>
                    <w:t>12</w:t>
                  </w:r>
                </w:p>
              </w:tc>
              <w:tc>
                <w:tcPr>
                  <w:tcW w:w="2396" w:type="dxa"/>
                  <w:shd w:val="clear" w:color="auto" w:fill="auto"/>
                  <w:tcMar>
                    <w:top w:w="20" w:type="dxa"/>
                    <w:left w:w="20" w:type="dxa"/>
                    <w:bottom w:w="0" w:type="dxa"/>
                    <w:right w:w="20" w:type="dxa"/>
                  </w:tcMar>
                  <w:vAlign w:val="center"/>
                </w:tcPr>
                <w:p w14:paraId="4C510B43">
                  <w:pPr>
                    <w:pStyle w:val="35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1"/>
                      <w:sz w:val="21"/>
                      <w:szCs w:val="21"/>
                      <w:u w:val="none"/>
                    </w:rPr>
                    <w:t>双层加油管线渗漏监</w:t>
                  </w:r>
                  <w:r>
                    <w:rPr>
                      <w:rFonts w:hint="default" w:ascii="Times New Roman" w:hAnsi="Times New Roman" w:cs="Times New Roman"/>
                      <w:spacing w:val="-2"/>
                      <w:sz w:val="21"/>
                      <w:szCs w:val="21"/>
                      <w:u w:val="none"/>
                    </w:rPr>
                    <w:t>控仪</w:t>
                  </w:r>
                </w:p>
              </w:tc>
              <w:tc>
                <w:tcPr>
                  <w:tcW w:w="1380" w:type="dxa"/>
                  <w:shd w:val="clear" w:color="auto" w:fill="auto"/>
                  <w:tcMar>
                    <w:top w:w="20" w:type="dxa"/>
                    <w:left w:w="20" w:type="dxa"/>
                    <w:bottom w:w="0" w:type="dxa"/>
                    <w:right w:w="20" w:type="dxa"/>
                  </w:tcMar>
                  <w:vAlign w:val="center"/>
                </w:tcPr>
                <w:p w14:paraId="65F857AE">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56FDBD20">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台</w:t>
                  </w:r>
                </w:p>
              </w:tc>
              <w:tc>
                <w:tcPr>
                  <w:tcW w:w="694" w:type="dxa"/>
                  <w:shd w:val="clear" w:color="auto" w:fill="auto"/>
                  <w:tcMar>
                    <w:top w:w="20" w:type="dxa"/>
                    <w:left w:w="20" w:type="dxa"/>
                    <w:bottom w:w="0" w:type="dxa"/>
                    <w:right w:w="20" w:type="dxa"/>
                  </w:tcMar>
                  <w:vAlign w:val="center"/>
                </w:tcPr>
                <w:p w14:paraId="7F7B50D1">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w:t>
                  </w:r>
                </w:p>
              </w:tc>
              <w:tc>
                <w:tcPr>
                  <w:tcW w:w="2923" w:type="dxa"/>
                  <w:tcMar>
                    <w:top w:w="20" w:type="dxa"/>
                    <w:left w:w="20" w:type="dxa"/>
                    <w:bottom w:w="0" w:type="dxa"/>
                    <w:right w:w="20" w:type="dxa"/>
                  </w:tcMar>
                  <w:vAlign w:val="center"/>
                </w:tcPr>
                <w:p w14:paraId="17F72D89">
                  <w:pPr>
                    <w:adjustRightInd w:val="0"/>
                    <w:snapToGrid w:val="0"/>
                    <w:jc w:val="center"/>
                    <w:rPr>
                      <w:u w:val="none"/>
                    </w:rPr>
                  </w:pPr>
                  <w:r>
                    <w:rPr>
                      <w:u w:val="none"/>
                    </w:rPr>
                    <w:t>/</w:t>
                  </w:r>
                </w:p>
              </w:tc>
            </w:tr>
            <w:tr w14:paraId="5455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6DA8319C">
                  <w:pPr>
                    <w:adjustRightInd w:val="0"/>
                    <w:snapToGrid w:val="0"/>
                    <w:jc w:val="center"/>
                    <w:rPr>
                      <w:rFonts w:hint="default" w:eastAsia="宋体"/>
                      <w:u w:val="none"/>
                      <w:lang w:val="en-US" w:eastAsia="zh-CN"/>
                    </w:rPr>
                  </w:pPr>
                  <w:r>
                    <w:rPr>
                      <w:rFonts w:hint="eastAsia"/>
                      <w:u w:val="none"/>
                      <w:lang w:val="en-US" w:eastAsia="zh-CN"/>
                    </w:rPr>
                    <w:t>13</w:t>
                  </w:r>
                </w:p>
              </w:tc>
              <w:tc>
                <w:tcPr>
                  <w:tcW w:w="2396" w:type="dxa"/>
                  <w:shd w:val="clear" w:color="auto" w:fill="auto"/>
                  <w:tcMar>
                    <w:top w:w="20" w:type="dxa"/>
                    <w:left w:w="20" w:type="dxa"/>
                    <w:bottom w:w="0" w:type="dxa"/>
                    <w:right w:w="20" w:type="dxa"/>
                  </w:tcMar>
                  <w:vAlign w:val="center"/>
                </w:tcPr>
                <w:p w14:paraId="46302E75">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pacing w:val="-2"/>
                      <w:sz w:val="21"/>
                      <w:szCs w:val="21"/>
                      <w:u w:val="none"/>
                    </w:rPr>
                    <w:t>液位监控仪</w:t>
                  </w:r>
                </w:p>
              </w:tc>
              <w:tc>
                <w:tcPr>
                  <w:tcW w:w="1380" w:type="dxa"/>
                  <w:shd w:val="clear" w:color="auto" w:fill="auto"/>
                  <w:tcMar>
                    <w:top w:w="20" w:type="dxa"/>
                    <w:left w:w="20" w:type="dxa"/>
                    <w:bottom w:w="0" w:type="dxa"/>
                    <w:right w:w="20" w:type="dxa"/>
                  </w:tcMar>
                  <w:vAlign w:val="center"/>
                </w:tcPr>
                <w:p w14:paraId="073C0FC5">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shd w:val="clear" w:color="auto" w:fill="auto"/>
                  <w:tcMar>
                    <w:top w:w="20" w:type="dxa"/>
                    <w:left w:w="20" w:type="dxa"/>
                    <w:bottom w:w="0" w:type="dxa"/>
                    <w:right w:w="20" w:type="dxa"/>
                  </w:tcMar>
                  <w:vAlign w:val="center"/>
                </w:tcPr>
                <w:p w14:paraId="174BE8D7">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台</w:t>
                  </w:r>
                </w:p>
              </w:tc>
              <w:tc>
                <w:tcPr>
                  <w:tcW w:w="694" w:type="dxa"/>
                  <w:shd w:val="clear" w:color="auto" w:fill="auto"/>
                  <w:tcMar>
                    <w:top w:w="20" w:type="dxa"/>
                    <w:left w:w="20" w:type="dxa"/>
                    <w:bottom w:w="0" w:type="dxa"/>
                    <w:right w:w="20" w:type="dxa"/>
                  </w:tcMar>
                  <w:vAlign w:val="center"/>
                </w:tcPr>
                <w:p w14:paraId="28004E52">
                  <w:pPr>
                    <w:adjustRightInd w:val="0"/>
                    <w:snapToGrid w:val="0"/>
                    <w:jc w:val="center"/>
                    <w:rPr>
                      <w:rFonts w:hint="default" w:ascii="Times New Roman" w:hAnsi="Times New Roman" w:eastAsia="宋体" w:cs="Times New Roman"/>
                      <w:kern w:val="2"/>
                      <w:sz w:val="21"/>
                      <w:szCs w:val="24"/>
                      <w:u w:val="none"/>
                      <w:lang w:val="en-US" w:eastAsia="zh-CN" w:bidi="ar-SA"/>
                    </w:rPr>
                  </w:pPr>
                  <w:r>
                    <w:rPr>
                      <w:rFonts w:hint="eastAsia"/>
                      <w:u w:val="none"/>
                      <w:lang w:val="en-US" w:eastAsia="zh-CN"/>
                    </w:rPr>
                    <w:t>1</w:t>
                  </w:r>
                </w:p>
              </w:tc>
              <w:tc>
                <w:tcPr>
                  <w:tcW w:w="2923" w:type="dxa"/>
                  <w:tcMar>
                    <w:top w:w="20" w:type="dxa"/>
                    <w:left w:w="20" w:type="dxa"/>
                    <w:bottom w:w="0" w:type="dxa"/>
                    <w:right w:w="20" w:type="dxa"/>
                  </w:tcMar>
                  <w:vAlign w:val="center"/>
                </w:tcPr>
                <w:p w14:paraId="7BCB6CA2">
                  <w:pPr>
                    <w:adjustRightInd w:val="0"/>
                    <w:snapToGrid w:val="0"/>
                    <w:jc w:val="center"/>
                    <w:rPr>
                      <w:u w:val="none"/>
                    </w:rPr>
                  </w:pPr>
                  <w:r>
                    <w:rPr>
                      <w:u w:val="none"/>
                    </w:rPr>
                    <w:t>/</w:t>
                  </w:r>
                </w:p>
              </w:tc>
            </w:tr>
            <w:tr w14:paraId="1AE5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46CFD656">
                  <w:pPr>
                    <w:adjustRightInd w:val="0"/>
                    <w:snapToGrid w:val="0"/>
                    <w:jc w:val="center"/>
                    <w:rPr>
                      <w:rFonts w:hint="default" w:eastAsia="宋体"/>
                      <w:u w:val="none"/>
                      <w:lang w:val="en-US" w:eastAsia="zh-CN"/>
                    </w:rPr>
                  </w:pPr>
                  <w:r>
                    <w:rPr>
                      <w:rFonts w:hint="eastAsia"/>
                      <w:u w:val="none"/>
                      <w:lang w:val="en-US" w:eastAsia="zh-CN"/>
                    </w:rPr>
                    <w:t>14</w:t>
                  </w:r>
                </w:p>
              </w:tc>
              <w:tc>
                <w:tcPr>
                  <w:tcW w:w="2396" w:type="dxa"/>
                  <w:shd w:val="clear" w:color="auto" w:fill="auto"/>
                  <w:tcMar>
                    <w:top w:w="20" w:type="dxa"/>
                    <w:left w:w="20" w:type="dxa"/>
                    <w:bottom w:w="0" w:type="dxa"/>
                    <w:right w:w="20" w:type="dxa"/>
                  </w:tcMar>
                  <w:vAlign w:val="center"/>
                </w:tcPr>
                <w:p w14:paraId="49DE2C60">
                  <w:pPr>
                    <w:pStyle w:val="35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pacing w:val="-2"/>
                      <w:sz w:val="21"/>
                      <w:szCs w:val="21"/>
                      <w:u w:val="none"/>
                      <w:lang w:val="en-US" w:eastAsia="zh-CN"/>
                    </w:rPr>
                  </w:pPr>
                  <w:r>
                    <w:rPr>
                      <w:rFonts w:hint="eastAsia" w:ascii="Times New Roman" w:hAnsi="Times New Roman" w:cs="Times New Roman"/>
                      <w:spacing w:val="-2"/>
                      <w:sz w:val="21"/>
                      <w:szCs w:val="21"/>
                      <w:u w:val="none"/>
                      <w:lang w:val="en-US" w:eastAsia="zh-CN"/>
                    </w:rPr>
                    <w:t>柴油发电机</w:t>
                  </w:r>
                </w:p>
              </w:tc>
              <w:tc>
                <w:tcPr>
                  <w:tcW w:w="1380" w:type="dxa"/>
                  <w:shd w:val="clear" w:color="auto" w:fill="auto"/>
                  <w:tcMar>
                    <w:top w:w="20" w:type="dxa"/>
                    <w:left w:w="20" w:type="dxa"/>
                    <w:bottom w:w="0" w:type="dxa"/>
                    <w:right w:w="20" w:type="dxa"/>
                  </w:tcMar>
                  <w:vAlign w:val="center"/>
                </w:tcPr>
                <w:p w14:paraId="59EC4362">
                  <w:pPr>
                    <w:adjustRightInd w:val="0"/>
                    <w:snapToGrid w:val="0"/>
                    <w:jc w:val="center"/>
                    <w:rPr>
                      <w:rFonts w:ascii="Times New Roman" w:hAnsi="Times New Roman" w:eastAsia="宋体" w:cs="Times New Roman"/>
                      <w:kern w:val="2"/>
                      <w:sz w:val="21"/>
                      <w:szCs w:val="24"/>
                      <w:u w:val="none"/>
                      <w:lang w:val="en-US" w:eastAsia="zh-CN" w:bidi="ar-SA"/>
                    </w:rPr>
                  </w:pPr>
                  <w:r>
                    <w:rPr>
                      <w:u w:val="none"/>
                    </w:rPr>
                    <w:t>/</w:t>
                  </w:r>
                </w:p>
              </w:tc>
              <w:tc>
                <w:tcPr>
                  <w:tcW w:w="580" w:type="dxa"/>
                  <w:tcMar>
                    <w:top w:w="20" w:type="dxa"/>
                    <w:left w:w="20" w:type="dxa"/>
                    <w:bottom w:w="0" w:type="dxa"/>
                    <w:right w:w="20" w:type="dxa"/>
                  </w:tcMar>
                  <w:vAlign w:val="center"/>
                </w:tcPr>
                <w:p w14:paraId="110BE070">
                  <w:pPr>
                    <w:adjustRightInd w:val="0"/>
                    <w:snapToGrid w:val="0"/>
                    <w:jc w:val="center"/>
                    <w:rPr>
                      <w:u w:val="none"/>
                    </w:rPr>
                  </w:pPr>
                  <w:r>
                    <w:rPr>
                      <w:rFonts w:hint="default" w:ascii="Times New Roman" w:hAnsi="Times New Roman" w:cs="Times New Roman"/>
                      <w:sz w:val="21"/>
                      <w:szCs w:val="21"/>
                      <w:u w:val="none"/>
                    </w:rPr>
                    <w:t>台</w:t>
                  </w:r>
                </w:p>
              </w:tc>
              <w:tc>
                <w:tcPr>
                  <w:tcW w:w="694" w:type="dxa"/>
                  <w:tcMar>
                    <w:top w:w="20" w:type="dxa"/>
                    <w:left w:w="20" w:type="dxa"/>
                    <w:bottom w:w="0" w:type="dxa"/>
                    <w:right w:w="20" w:type="dxa"/>
                  </w:tcMar>
                  <w:vAlign w:val="center"/>
                </w:tcPr>
                <w:p w14:paraId="0F32ED33">
                  <w:pPr>
                    <w:adjustRightInd w:val="0"/>
                    <w:snapToGrid w:val="0"/>
                    <w:jc w:val="center"/>
                    <w:rPr>
                      <w:rFonts w:hint="eastAsia" w:eastAsia="宋体"/>
                      <w:u w:val="none"/>
                      <w:lang w:val="en-US" w:eastAsia="zh-CN"/>
                    </w:rPr>
                  </w:pPr>
                  <w:r>
                    <w:rPr>
                      <w:rFonts w:hint="eastAsia"/>
                      <w:u w:val="none"/>
                      <w:lang w:val="en-US" w:eastAsia="zh-CN"/>
                    </w:rPr>
                    <w:t>1</w:t>
                  </w:r>
                </w:p>
              </w:tc>
              <w:tc>
                <w:tcPr>
                  <w:tcW w:w="2923" w:type="dxa"/>
                  <w:tcMar>
                    <w:top w:w="20" w:type="dxa"/>
                    <w:left w:w="20" w:type="dxa"/>
                    <w:bottom w:w="0" w:type="dxa"/>
                    <w:right w:w="20" w:type="dxa"/>
                  </w:tcMar>
                  <w:vAlign w:val="center"/>
                </w:tcPr>
                <w:p w14:paraId="7664DA91">
                  <w:pPr>
                    <w:adjustRightInd w:val="0"/>
                    <w:snapToGrid w:val="0"/>
                    <w:jc w:val="center"/>
                    <w:rPr>
                      <w:u w:val="none"/>
                    </w:rPr>
                  </w:pPr>
                  <w:r>
                    <w:rPr>
                      <w:rFonts w:hint="eastAsia"/>
                      <w:u w:val="none"/>
                      <w:lang w:val="en-US" w:eastAsia="zh-CN"/>
                    </w:rPr>
                    <w:t>备用电源</w:t>
                  </w:r>
                </w:p>
              </w:tc>
            </w:tr>
            <w:tr w14:paraId="772C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0" w:type="auto"/>
                  <w:tcMar>
                    <w:top w:w="20" w:type="dxa"/>
                    <w:left w:w="20" w:type="dxa"/>
                    <w:bottom w:w="0" w:type="dxa"/>
                    <w:right w:w="20" w:type="dxa"/>
                  </w:tcMar>
                  <w:vAlign w:val="center"/>
                </w:tcPr>
                <w:p w14:paraId="1F63EA57">
                  <w:pPr>
                    <w:adjustRightInd w:val="0"/>
                    <w:snapToGrid w:val="0"/>
                    <w:jc w:val="center"/>
                    <w:rPr>
                      <w:rFonts w:hint="default" w:eastAsia="宋体"/>
                      <w:u w:val="none"/>
                      <w:lang w:val="en-US" w:eastAsia="zh-CN"/>
                    </w:rPr>
                  </w:pPr>
                  <w:r>
                    <w:rPr>
                      <w:rFonts w:hint="eastAsia"/>
                      <w:u w:val="none"/>
                      <w:lang w:val="en-US" w:eastAsia="zh-CN"/>
                    </w:rPr>
                    <w:t>15</w:t>
                  </w:r>
                </w:p>
              </w:tc>
              <w:tc>
                <w:tcPr>
                  <w:tcW w:w="2396" w:type="dxa"/>
                  <w:tcMar>
                    <w:top w:w="20" w:type="dxa"/>
                    <w:left w:w="20" w:type="dxa"/>
                    <w:bottom w:w="0" w:type="dxa"/>
                    <w:right w:w="20" w:type="dxa"/>
                  </w:tcMar>
                  <w:vAlign w:val="center"/>
                </w:tcPr>
                <w:p w14:paraId="15CBDD28">
                  <w:pPr>
                    <w:adjustRightInd w:val="0"/>
                    <w:snapToGrid w:val="0"/>
                    <w:jc w:val="center"/>
                    <w:rPr>
                      <w:rFonts w:hint="default" w:eastAsia="宋体"/>
                      <w:u w:val="none"/>
                      <w:lang w:val="en-US" w:eastAsia="zh-CN"/>
                    </w:rPr>
                  </w:pPr>
                  <w:r>
                    <w:rPr>
                      <w:rFonts w:hint="eastAsia"/>
                      <w:u w:val="none"/>
                      <w:lang w:val="en-US" w:eastAsia="zh-CN"/>
                    </w:rPr>
                    <w:t>自动洗车机</w:t>
                  </w:r>
                </w:p>
              </w:tc>
              <w:tc>
                <w:tcPr>
                  <w:tcW w:w="1380" w:type="dxa"/>
                  <w:tcMar>
                    <w:top w:w="20" w:type="dxa"/>
                    <w:left w:w="20" w:type="dxa"/>
                    <w:bottom w:w="0" w:type="dxa"/>
                    <w:right w:w="20" w:type="dxa"/>
                  </w:tcMar>
                  <w:vAlign w:val="center"/>
                </w:tcPr>
                <w:p w14:paraId="29250958">
                  <w:pPr>
                    <w:adjustRightInd w:val="0"/>
                    <w:snapToGrid w:val="0"/>
                    <w:jc w:val="center"/>
                    <w:rPr>
                      <w:rFonts w:hint="eastAsia" w:eastAsia="宋体"/>
                      <w:u w:val="none"/>
                      <w:lang w:val="en-US" w:eastAsia="zh-CN"/>
                    </w:rPr>
                  </w:pPr>
                  <w:r>
                    <w:rPr>
                      <w:rFonts w:hint="eastAsia"/>
                      <w:u w:val="none"/>
                      <w:lang w:val="en-US" w:eastAsia="zh-CN"/>
                    </w:rPr>
                    <w:t>/</w:t>
                  </w:r>
                </w:p>
              </w:tc>
              <w:tc>
                <w:tcPr>
                  <w:tcW w:w="580" w:type="dxa"/>
                  <w:tcMar>
                    <w:top w:w="20" w:type="dxa"/>
                    <w:left w:w="20" w:type="dxa"/>
                    <w:bottom w:w="0" w:type="dxa"/>
                    <w:right w:w="20" w:type="dxa"/>
                  </w:tcMar>
                  <w:vAlign w:val="center"/>
                </w:tcPr>
                <w:p w14:paraId="5C0ECE10">
                  <w:pPr>
                    <w:adjustRightInd w:val="0"/>
                    <w:snapToGrid w:val="0"/>
                    <w:jc w:val="center"/>
                    <w:rPr>
                      <w:rFonts w:hint="eastAsia" w:eastAsia="宋体"/>
                      <w:u w:val="none"/>
                      <w:lang w:val="en-US" w:eastAsia="zh-CN"/>
                    </w:rPr>
                  </w:pPr>
                  <w:r>
                    <w:rPr>
                      <w:rFonts w:hint="eastAsia"/>
                      <w:u w:val="none"/>
                      <w:lang w:val="en-US" w:eastAsia="zh-CN"/>
                    </w:rPr>
                    <w:t>台</w:t>
                  </w:r>
                </w:p>
              </w:tc>
              <w:tc>
                <w:tcPr>
                  <w:tcW w:w="694" w:type="dxa"/>
                  <w:tcMar>
                    <w:top w:w="20" w:type="dxa"/>
                    <w:left w:w="20" w:type="dxa"/>
                    <w:bottom w:w="0" w:type="dxa"/>
                    <w:right w:w="20" w:type="dxa"/>
                  </w:tcMar>
                  <w:vAlign w:val="center"/>
                </w:tcPr>
                <w:p w14:paraId="52DAFC3C">
                  <w:pPr>
                    <w:adjustRightInd w:val="0"/>
                    <w:snapToGrid w:val="0"/>
                    <w:jc w:val="center"/>
                    <w:rPr>
                      <w:rFonts w:hint="eastAsia" w:eastAsia="宋体"/>
                      <w:u w:val="none"/>
                      <w:lang w:val="en-US" w:eastAsia="zh-CN"/>
                    </w:rPr>
                  </w:pPr>
                  <w:r>
                    <w:rPr>
                      <w:rFonts w:hint="eastAsia"/>
                      <w:u w:val="none"/>
                      <w:lang w:val="en-US" w:eastAsia="zh-CN"/>
                    </w:rPr>
                    <w:t>1</w:t>
                  </w:r>
                </w:p>
              </w:tc>
              <w:tc>
                <w:tcPr>
                  <w:tcW w:w="2923" w:type="dxa"/>
                  <w:tcMar>
                    <w:top w:w="20" w:type="dxa"/>
                    <w:left w:w="20" w:type="dxa"/>
                    <w:bottom w:w="0" w:type="dxa"/>
                    <w:right w:w="20" w:type="dxa"/>
                  </w:tcMar>
                  <w:vAlign w:val="center"/>
                </w:tcPr>
                <w:p w14:paraId="4E971F1B">
                  <w:pPr>
                    <w:adjustRightInd w:val="0"/>
                    <w:snapToGrid w:val="0"/>
                    <w:jc w:val="center"/>
                    <w:rPr>
                      <w:rFonts w:hint="eastAsia" w:eastAsia="宋体"/>
                      <w:u w:val="none"/>
                      <w:lang w:eastAsia="zh-CN"/>
                    </w:rPr>
                  </w:pPr>
                  <w:r>
                    <w:rPr>
                      <w:rFonts w:hint="eastAsia"/>
                      <w:u w:val="none"/>
                      <w:lang w:val="en-US" w:eastAsia="zh-CN"/>
                    </w:rPr>
                    <w:t>/</w:t>
                  </w:r>
                </w:p>
              </w:tc>
            </w:tr>
          </w:tbl>
          <w:p w14:paraId="1687D6C5">
            <w:pPr>
              <w:keepNext w:val="0"/>
              <w:keepLines w:val="0"/>
              <w:pageBreakBefore w:val="0"/>
              <w:widowControl w:val="0"/>
              <w:tabs>
                <w:tab w:val="left" w:pos="471"/>
              </w:tabs>
              <w:kinsoku/>
              <w:wordWrap w:val="0"/>
              <w:overflowPunct/>
              <w:topLinePunct/>
              <w:autoSpaceDE/>
              <w:autoSpaceDN/>
              <w:bidi w:val="0"/>
              <w:adjustRightInd w:val="0"/>
              <w:snapToGrid w:val="0"/>
              <w:spacing w:line="360" w:lineRule="auto"/>
              <w:textAlignment w:val="auto"/>
              <w:rPr>
                <w:b/>
                <w:color w:val="auto"/>
                <w:sz w:val="24"/>
                <w:u w:val="none"/>
              </w:rPr>
            </w:pPr>
            <w:r>
              <w:rPr>
                <w:rFonts w:hint="eastAsia"/>
                <w:b/>
                <w:color w:val="auto"/>
                <w:sz w:val="24"/>
                <w:u w:val="none"/>
              </w:rPr>
              <w:t>2.</w:t>
            </w:r>
            <w:r>
              <w:rPr>
                <w:rFonts w:hint="eastAsia"/>
                <w:b/>
                <w:color w:val="auto"/>
                <w:sz w:val="24"/>
                <w:u w:val="none"/>
                <w:lang w:val="en-US" w:eastAsia="zh-CN"/>
              </w:rPr>
              <w:t>6</w:t>
            </w:r>
            <w:r>
              <w:rPr>
                <w:rFonts w:hint="eastAsia"/>
                <w:b/>
                <w:color w:val="auto"/>
                <w:sz w:val="24"/>
                <w:u w:val="none"/>
              </w:rPr>
              <w:t xml:space="preserve"> </w:t>
            </w:r>
            <w:r>
              <w:rPr>
                <w:b/>
                <w:color w:val="auto"/>
                <w:sz w:val="24"/>
                <w:u w:val="none"/>
              </w:rPr>
              <w:t>公用工程</w:t>
            </w:r>
          </w:p>
          <w:p w14:paraId="4A65FB8C">
            <w:pPr>
              <w:keepNext w:val="0"/>
              <w:keepLines w:val="0"/>
              <w:pageBreakBefore w:val="0"/>
              <w:widowControl w:val="0"/>
              <w:tabs>
                <w:tab w:val="left" w:pos="471"/>
              </w:tabs>
              <w:kinsoku/>
              <w:wordWrap w:val="0"/>
              <w:overflowPunct/>
              <w:topLinePunct/>
              <w:autoSpaceDE/>
              <w:autoSpaceDN/>
              <w:bidi w:val="0"/>
              <w:adjustRightInd w:val="0"/>
              <w:snapToGrid w:val="0"/>
              <w:spacing w:line="360" w:lineRule="auto"/>
              <w:textAlignment w:val="auto"/>
              <w:rPr>
                <w:b/>
                <w:color w:val="auto"/>
                <w:spacing w:val="-2"/>
                <w:sz w:val="24"/>
                <w:u w:val="none"/>
              </w:rPr>
            </w:pPr>
            <w:r>
              <w:rPr>
                <w:rFonts w:hint="eastAsia"/>
                <w:b/>
                <w:color w:val="auto"/>
                <w:sz w:val="24"/>
                <w:u w:val="none"/>
              </w:rPr>
              <w:t>2.</w:t>
            </w:r>
            <w:r>
              <w:rPr>
                <w:rFonts w:hint="eastAsia"/>
                <w:b/>
                <w:color w:val="auto"/>
                <w:sz w:val="24"/>
                <w:u w:val="none"/>
                <w:lang w:val="en-US" w:eastAsia="zh-CN"/>
              </w:rPr>
              <w:t>6.1</w:t>
            </w:r>
            <w:r>
              <w:rPr>
                <w:rFonts w:hint="eastAsia"/>
                <w:b/>
                <w:color w:val="auto"/>
                <w:sz w:val="24"/>
                <w:u w:val="none"/>
              </w:rPr>
              <w:t xml:space="preserve"> </w:t>
            </w:r>
            <w:r>
              <w:rPr>
                <w:b/>
                <w:bCs/>
                <w:color w:val="auto"/>
                <w:spacing w:val="-2"/>
                <w:sz w:val="24"/>
                <w:u w:val="none"/>
              </w:rPr>
              <w:t>给水工程</w:t>
            </w:r>
          </w:p>
          <w:p w14:paraId="432955AA">
            <w:pPr>
              <w:keepNext w:val="0"/>
              <w:keepLines w:val="0"/>
              <w:pageBreakBefore w:val="0"/>
              <w:kinsoku/>
              <w:overflowPunct/>
              <w:topLinePunct/>
              <w:autoSpaceDE/>
              <w:autoSpaceDN/>
              <w:bidi w:val="0"/>
              <w:adjustRightInd w:val="0"/>
              <w:snapToGrid w:val="0"/>
              <w:spacing w:line="360" w:lineRule="auto"/>
              <w:ind w:firstLine="520" w:firstLineChars="200"/>
              <w:textAlignment w:val="auto"/>
              <w:rPr>
                <w:color w:val="auto"/>
                <w:sz w:val="24"/>
                <w:u w:val="none"/>
              </w:rPr>
            </w:pPr>
            <w:r>
              <w:rPr>
                <w:color w:val="auto"/>
                <w:spacing w:val="10"/>
                <w:sz w:val="24"/>
                <w:u w:val="none"/>
              </w:rPr>
              <w:t>本项目给水</w:t>
            </w:r>
            <w:r>
              <w:rPr>
                <w:color w:val="auto"/>
                <w:sz w:val="24"/>
                <w:u w:val="none"/>
              </w:rPr>
              <w:t>由</w:t>
            </w:r>
            <w:r>
              <w:rPr>
                <w:color w:val="auto"/>
                <w:spacing w:val="-2"/>
                <w:sz w:val="24"/>
                <w:u w:val="none"/>
              </w:rPr>
              <w:t>市政自来水管网供给</w:t>
            </w:r>
            <w:r>
              <w:rPr>
                <w:color w:val="auto"/>
                <w:sz w:val="24"/>
                <w:u w:val="none"/>
              </w:rPr>
              <w:t>。项目用水主要是生产用水及生活用水，生产用水主要为地面冲洗用水</w:t>
            </w:r>
            <w:r>
              <w:rPr>
                <w:rFonts w:hint="eastAsia"/>
                <w:color w:val="auto"/>
                <w:sz w:val="24"/>
                <w:u w:val="none"/>
                <w:lang w:eastAsia="zh-CN"/>
              </w:rPr>
              <w:t>、</w:t>
            </w:r>
            <w:r>
              <w:rPr>
                <w:rFonts w:hint="eastAsia"/>
                <w:color w:val="auto"/>
                <w:sz w:val="24"/>
                <w:u w:val="none"/>
                <w:lang w:val="en-US" w:eastAsia="zh-CN"/>
              </w:rPr>
              <w:t>地面清洁用水、洗车用水绿化用水</w:t>
            </w:r>
            <w:r>
              <w:rPr>
                <w:color w:val="auto"/>
                <w:sz w:val="24"/>
                <w:u w:val="none"/>
              </w:rPr>
              <w:t>，生活用水包括员工生活用水，公共卫生间用水。</w:t>
            </w:r>
          </w:p>
          <w:p w14:paraId="72B3A4DE">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bCs/>
                <w:color w:val="auto"/>
                <w:sz w:val="24"/>
                <w:u w:val="none"/>
              </w:rPr>
              <w:t>①</w:t>
            </w:r>
            <w:r>
              <w:rPr>
                <w:rFonts w:hint="eastAsia"/>
                <w:bCs/>
                <w:color w:val="auto"/>
                <w:sz w:val="24"/>
                <w:u w:val="none"/>
                <w:lang w:val="en-US" w:eastAsia="zh-CN"/>
              </w:rPr>
              <w:t>员工</w:t>
            </w:r>
            <w:r>
              <w:rPr>
                <w:color w:val="auto"/>
                <w:sz w:val="24"/>
                <w:u w:val="none"/>
              </w:rPr>
              <w:t>生活用水：</w:t>
            </w:r>
          </w:p>
          <w:p w14:paraId="1C99047B">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营运期项目劳动定员</w:t>
            </w:r>
            <w:r>
              <w:rPr>
                <w:rFonts w:hint="eastAsia"/>
                <w:color w:val="auto"/>
                <w:sz w:val="24"/>
                <w:u w:val="none"/>
                <w:lang w:val="en-US" w:eastAsia="zh-CN"/>
              </w:rPr>
              <w:t>10</w:t>
            </w:r>
            <w:r>
              <w:rPr>
                <w:color w:val="auto"/>
                <w:sz w:val="24"/>
                <w:u w:val="none"/>
              </w:rPr>
              <w:t>人，站区内提供食堂，3人在厂区住宿，根据湖南省地方标准</w:t>
            </w:r>
            <w:r>
              <w:rPr>
                <w:rFonts w:hint="eastAsia"/>
                <w:color w:val="auto"/>
                <w:sz w:val="24"/>
                <w:u w:val="none"/>
              </w:rPr>
              <w:t>《用水定额 第3部分：生活、服务业及建筑业》（DB43/T388.3—2025）</w:t>
            </w:r>
            <w:r>
              <w:rPr>
                <w:rFonts w:hint="eastAsia"/>
                <w:color w:val="auto"/>
                <w:sz w:val="24"/>
                <w:u w:val="none"/>
                <w:lang w:val="en-US" w:eastAsia="zh-CN"/>
              </w:rPr>
              <w:t xml:space="preserve">表1 </w:t>
            </w:r>
            <w:r>
              <w:rPr>
                <w:color w:val="auto"/>
                <w:sz w:val="24"/>
                <w:u w:val="none"/>
              </w:rPr>
              <w:t>城市居民生活用水定额指标，办公人员（带食堂）用水量按80L/人•d计算，住宿人员用水量按1</w:t>
            </w:r>
            <w:r>
              <w:rPr>
                <w:rFonts w:hint="eastAsia"/>
                <w:color w:val="auto"/>
                <w:sz w:val="24"/>
                <w:u w:val="none"/>
                <w:lang w:val="en-US" w:eastAsia="zh-CN"/>
              </w:rPr>
              <w:t>50</w:t>
            </w:r>
            <w:r>
              <w:rPr>
                <w:color w:val="auto"/>
                <w:sz w:val="24"/>
                <w:u w:val="none"/>
              </w:rPr>
              <w:t>L/人•d计算，则生活用水量约为</w:t>
            </w:r>
            <w:r>
              <w:rPr>
                <w:rFonts w:hint="eastAsia"/>
                <w:color w:val="auto"/>
                <w:sz w:val="24"/>
                <w:u w:val="none"/>
                <w:lang w:val="en-US" w:eastAsia="zh-CN"/>
              </w:rPr>
              <w:t>1.011</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368.9</w:t>
            </w:r>
            <w:r>
              <w:rPr>
                <w:color w:val="auto"/>
                <w:sz w:val="24"/>
                <w:u w:val="none"/>
              </w:rPr>
              <w:t>m</w:t>
            </w:r>
            <w:r>
              <w:rPr>
                <w:color w:val="auto"/>
                <w:sz w:val="24"/>
                <w:u w:val="none"/>
                <w:vertAlign w:val="superscript"/>
              </w:rPr>
              <w:t>3</w:t>
            </w:r>
            <w:r>
              <w:rPr>
                <w:color w:val="auto"/>
                <w:sz w:val="24"/>
                <w:u w:val="none"/>
              </w:rPr>
              <w:t>/a）。</w:t>
            </w:r>
          </w:p>
          <w:p w14:paraId="4684871B">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kern w:val="0"/>
                <w:sz w:val="24"/>
                <w:u w:val="none"/>
              </w:rPr>
            </w:pPr>
            <w:r>
              <w:rPr>
                <w:bCs/>
                <w:color w:val="auto"/>
                <w:sz w:val="24"/>
                <w:u w:val="none"/>
              </w:rPr>
              <w:t>②</w:t>
            </w:r>
            <w:r>
              <w:rPr>
                <w:color w:val="auto"/>
                <w:kern w:val="0"/>
                <w:sz w:val="24"/>
                <w:u w:val="none"/>
              </w:rPr>
              <w:t>公共卫生间用水：</w:t>
            </w:r>
          </w:p>
          <w:p w14:paraId="699C0C1F">
            <w:pPr>
              <w:keepNext w:val="0"/>
              <w:keepLines w:val="0"/>
              <w:pageBreakBefore w:val="0"/>
              <w:kinsoku/>
              <w:overflowPunct/>
              <w:autoSpaceDE/>
              <w:autoSpaceDN/>
              <w:bidi w:val="0"/>
              <w:adjustRightInd w:val="0"/>
              <w:snapToGrid w:val="0"/>
              <w:spacing w:line="360" w:lineRule="auto"/>
              <w:ind w:firstLine="480" w:firstLineChars="200"/>
              <w:textAlignment w:val="auto"/>
              <w:rPr>
                <w:bCs/>
                <w:color w:val="auto"/>
                <w:sz w:val="24"/>
                <w:u w:val="none"/>
              </w:rPr>
            </w:pPr>
            <w:r>
              <w:rPr>
                <w:bCs/>
                <w:color w:val="auto"/>
                <w:sz w:val="24"/>
                <w:u w:val="none"/>
              </w:rPr>
              <w:t>项目流动人员较多，加油站每天最大服务人数为</w:t>
            </w:r>
            <w:r>
              <w:rPr>
                <w:rFonts w:hint="eastAsia"/>
                <w:bCs/>
                <w:color w:val="auto"/>
                <w:sz w:val="24"/>
                <w:u w:val="none"/>
                <w:lang w:val="en-US" w:eastAsia="zh-CN"/>
              </w:rPr>
              <w:t>50</w:t>
            </w:r>
            <w:r>
              <w:rPr>
                <w:bCs/>
                <w:color w:val="auto"/>
                <w:sz w:val="24"/>
                <w:u w:val="none"/>
              </w:rPr>
              <w:t>人次，</w:t>
            </w:r>
            <w:r>
              <w:rPr>
                <w:rFonts w:hint="eastAsia"/>
                <w:color w:val="auto"/>
                <w:sz w:val="24"/>
                <w:u w:val="none"/>
                <w:lang w:val="en-US" w:eastAsia="zh-CN"/>
              </w:rPr>
              <w:t>参考</w:t>
            </w:r>
            <w:r>
              <w:rPr>
                <w:color w:val="auto"/>
                <w:sz w:val="24"/>
                <w:u w:val="none"/>
              </w:rPr>
              <w:t>湖南省地方标准</w:t>
            </w:r>
            <w:r>
              <w:rPr>
                <w:rFonts w:hint="eastAsia"/>
                <w:color w:val="auto"/>
                <w:sz w:val="24"/>
                <w:u w:val="none"/>
              </w:rPr>
              <w:t>《用水定额 第3部分：生活、服务业及建筑业》（DB43/T388.3—2025）</w:t>
            </w:r>
            <w:r>
              <w:rPr>
                <w:rFonts w:hint="eastAsia"/>
                <w:color w:val="auto"/>
                <w:sz w:val="24"/>
                <w:u w:val="none"/>
                <w:lang w:val="en-US" w:eastAsia="zh-CN"/>
              </w:rPr>
              <w:t>表5公共设施用水定额，公共厕所通用值为10L/（人·次）</w:t>
            </w:r>
            <w:r>
              <w:rPr>
                <w:bCs/>
                <w:color w:val="auto"/>
                <w:sz w:val="24"/>
                <w:u w:val="none"/>
              </w:rPr>
              <w:t>，</w:t>
            </w:r>
            <w:r>
              <w:rPr>
                <w:rFonts w:hint="eastAsia"/>
                <w:bCs/>
                <w:color w:val="auto"/>
                <w:sz w:val="24"/>
                <w:u w:val="none"/>
                <w:lang w:val="en-US" w:eastAsia="zh-CN"/>
              </w:rPr>
              <w:t>则</w:t>
            </w:r>
            <w:r>
              <w:rPr>
                <w:bCs/>
                <w:color w:val="auto"/>
                <w:sz w:val="24"/>
                <w:u w:val="none"/>
              </w:rPr>
              <w:t>用水量为</w:t>
            </w:r>
            <w:r>
              <w:rPr>
                <w:rFonts w:hint="eastAsia"/>
                <w:color w:val="auto"/>
                <w:sz w:val="24"/>
                <w:u w:val="none"/>
                <w:lang w:val="en-US" w:eastAsia="zh-CN"/>
              </w:rPr>
              <w:t>0.5</w:t>
            </w:r>
            <w:r>
              <w:rPr>
                <w:color w:val="auto"/>
                <w:sz w:val="24"/>
                <w:u w:val="none"/>
              </w:rPr>
              <w:t>m</w:t>
            </w:r>
            <w:r>
              <w:rPr>
                <w:color w:val="auto"/>
                <w:sz w:val="24"/>
                <w:u w:val="none"/>
                <w:vertAlign w:val="superscript"/>
              </w:rPr>
              <w:t>3</w:t>
            </w:r>
            <w:r>
              <w:rPr>
                <w:color w:val="auto"/>
                <w:sz w:val="24"/>
                <w:u w:val="none"/>
              </w:rPr>
              <w:t>/d</w:t>
            </w:r>
            <w:r>
              <w:rPr>
                <w:rFonts w:hint="eastAsia"/>
                <w:bCs/>
                <w:color w:val="auto"/>
                <w:sz w:val="24"/>
                <w:u w:val="none"/>
                <w:lang w:eastAsia="zh-CN"/>
              </w:rPr>
              <w:t>（</w:t>
            </w:r>
            <w:r>
              <w:rPr>
                <w:rFonts w:hint="eastAsia"/>
                <w:bCs/>
                <w:color w:val="auto"/>
                <w:sz w:val="24"/>
                <w:u w:val="none"/>
                <w:lang w:val="en-US" w:eastAsia="zh-CN"/>
              </w:rPr>
              <w:t>182.5</w:t>
            </w:r>
            <w:r>
              <w:rPr>
                <w:bCs/>
                <w:color w:val="auto"/>
                <w:sz w:val="24"/>
                <w:u w:val="none"/>
              </w:rPr>
              <w:t>m</w:t>
            </w:r>
            <w:r>
              <w:rPr>
                <w:bCs/>
                <w:color w:val="auto"/>
                <w:sz w:val="24"/>
                <w:u w:val="none"/>
                <w:vertAlign w:val="superscript"/>
              </w:rPr>
              <w:t>3</w:t>
            </w:r>
            <w:r>
              <w:rPr>
                <w:bCs/>
                <w:color w:val="auto"/>
                <w:sz w:val="24"/>
                <w:u w:val="none"/>
              </w:rPr>
              <w:t>/a</w:t>
            </w:r>
            <w:r>
              <w:rPr>
                <w:rFonts w:hint="eastAsia"/>
                <w:bCs/>
                <w:color w:val="auto"/>
                <w:sz w:val="24"/>
                <w:u w:val="none"/>
                <w:lang w:eastAsia="zh-CN"/>
              </w:rPr>
              <w:t>）</w:t>
            </w:r>
            <w:r>
              <w:rPr>
                <w:bCs/>
                <w:color w:val="auto"/>
                <w:sz w:val="24"/>
                <w:u w:val="none"/>
              </w:rPr>
              <w:t>。</w:t>
            </w:r>
          </w:p>
          <w:p w14:paraId="21F69C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snapToGrid w:val="0"/>
                <w:color w:val="auto"/>
                <w:sz w:val="24"/>
                <w:u w:val="none"/>
              </w:rPr>
            </w:pPr>
            <w:r>
              <w:rPr>
                <w:color w:val="auto"/>
                <w:sz w:val="24"/>
                <w:u w:val="none"/>
              </w:rPr>
              <w:t>③</w:t>
            </w:r>
            <w:r>
              <w:rPr>
                <w:rFonts w:hint="eastAsia"/>
                <w:bCs/>
                <w:snapToGrid w:val="0"/>
                <w:color w:val="auto"/>
                <w:sz w:val="24"/>
                <w:u w:val="none"/>
                <w:lang w:val="en-US" w:eastAsia="zh-CN"/>
              </w:rPr>
              <w:t>地面</w:t>
            </w:r>
            <w:r>
              <w:rPr>
                <w:bCs/>
                <w:snapToGrid w:val="0"/>
                <w:color w:val="auto"/>
                <w:sz w:val="24"/>
                <w:u w:val="none"/>
              </w:rPr>
              <w:t>清洁用水：</w:t>
            </w:r>
          </w:p>
          <w:p w14:paraId="47DF13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snapToGrid w:val="0"/>
                <w:color w:val="auto"/>
                <w:sz w:val="24"/>
                <w:u w:val="none"/>
              </w:rPr>
            </w:pPr>
            <w:r>
              <w:rPr>
                <w:bCs/>
                <w:snapToGrid w:val="0"/>
                <w:color w:val="auto"/>
                <w:sz w:val="24"/>
                <w:u w:val="none"/>
              </w:rPr>
              <w:t>结合本项目实际情况，场地每周冲洗一次，</w:t>
            </w:r>
            <w:r>
              <w:rPr>
                <w:rFonts w:hint="eastAsia"/>
                <w:bCs/>
                <w:snapToGrid w:val="0"/>
                <w:color w:val="auto"/>
                <w:sz w:val="24"/>
                <w:u w:val="none"/>
              </w:rPr>
              <w:t>参照《建筑给水排水设计规范》（GB50015-2019），</w:t>
            </w:r>
            <w:r>
              <w:rPr>
                <w:bCs/>
                <w:snapToGrid w:val="0"/>
                <w:color w:val="auto"/>
                <w:sz w:val="24"/>
                <w:u w:val="none"/>
              </w:rPr>
              <w:t>用水量按2L/m</w:t>
            </w:r>
            <w:r>
              <w:rPr>
                <w:bCs/>
                <w:snapToGrid w:val="0"/>
                <w:color w:val="auto"/>
                <w:sz w:val="24"/>
                <w:u w:val="none"/>
                <w:vertAlign w:val="superscript"/>
              </w:rPr>
              <w:t>2</w:t>
            </w:r>
            <w:r>
              <w:rPr>
                <w:bCs/>
                <w:snapToGrid w:val="0"/>
                <w:color w:val="auto"/>
                <w:sz w:val="24"/>
                <w:u w:val="none"/>
              </w:rPr>
              <w:t>计，</w:t>
            </w:r>
            <w:r>
              <w:rPr>
                <w:color w:val="auto"/>
                <w:sz w:val="24"/>
                <w:u w:val="none"/>
              </w:rPr>
              <w:t>加油区地面清洗面积约为</w:t>
            </w:r>
            <w:r>
              <w:rPr>
                <w:rFonts w:hint="eastAsia"/>
                <w:color w:val="auto"/>
                <w:sz w:val="24"/>
                <w:u w:val="none"/>
                <w:lang w:val="en-US" w:eastAsia="zh-CN"/>
              </w:rPr>
              <w:t>325.95</w:t>
            </w:r>
            <w:r>
              <w:rPr>
                <w:color w:val="auto"/>
                <w:sz w:val="24"/>
                <w:u w:val="none"/>
              </w:rPr>
              <w:t>m</w:t>
            </w:r>
            <w:r>
              <w:rPr>
                <w:color w:val="auto"/>
                <w:sz w:val="24"/>
                <w:u w:val="none"/>
                <w:vertAlign w:val="superscript"/>
              </w:rPr>
              <w:t>2</w:t>
            </w:r>
            <w:r>
              <w:rPr>
                <w:color w:val="auto"/>
                <w:sz w:val="24"/>
                <w:u w:val="none"/>
              </w:rPr>
              <w:t>，则地面清洗用水量为</w:t>
            </w:r>
            <w:r>
              <w:rPr>
                <w:rFonts w:hint="eastAsia"/>
                <w:color w:val="auto"/>
                <w:sz w:val="24"/>
                <w:u w:val="none"/>
                <w:lang w:val="en-US" w:eastAsia="zh-CN"/>
              </w:rPr>
              <w:t>0.652</w:t>
            </w:r>
            <w:r>
              <w:rPr>
                <w:color w:val="auto"/>
                <w:sz w:val="24"/>
                <w:u w:val="none"/>
              </w:rPr>
              <w:t>m</w:t>
            </w:r>
            <w:r>
              <w:rPr>
                <w:color w:val="auto"/>
                <w:sz w:val="24"/>
                <w:u w:val="none"/>
                <w:vertAlign w:val="superscript"/>
              </w:rPr>
              <w:t>3</w:t>
            </w:r>
            <w:r>
              <w:rPr>
                <w:color w:val="auto"/>
                <w:sz w:val="24"/>
                <w:u w:val="none"/>
              </w:rPr>
              <w:t>/次（</w:t>
            </w:r>
            <w:r>
              <w:rPr>
                <w:rFonts w:hint="eastAsia"/>
                <w:color w:val="auto"/>
                <w:sz w:val="24"/>
                <w:u w:val="none"/>
                <w:lang w:val="en-US" w:eastAsia="zh-CN"/>
              </w:rPr>
              <w:t>31.3</w:t>
            </w:r>
            <w:r>
              <w:rPr>
                <w:color w:val="auto"/>
                <w:sz w:val="24"/>
                <w:u w:val="none"/>
              </w:rPr>
              <w:t>m</w:t>
            </w:r>
            <w:r>
              <w:rPr>
                <w:color w:val="auto"/>
                <w:sz w:val="24"/>
                <w:u w:val="none"/>
                <w:vertAlign w:val="superscript"/>
              </w:rPr>
              <w:t>3</w:t>
            </w:r>
            <w:r>
              <w:rPr>
                <w:color w:val="auto"/>
                <w:sz w:val="24"/>
                <w:u w:val="none"/>
              </w:rPr>
              <w:t>/a）。</w:t>
            </w:r>
          </w:p>
          <w:p w14:paraId="518D2C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u w:val="none"/>
                <w:lang w:val="en-US" w:eastAsia="zh-CN"/>
              </w:rPr>
            </w:pPr>
            <w:r>
              <w:rPr>
                <w:color w:val="auto"/>
                <w:sz w:val="24"/>
                <w:u w:val="none"/>
              </w:rPr>
              <w:t>④</w:t>
            </w:r>
            <w:r>
              <w:rPr>
                <w:rFonts w:hint="eastAsia"/>
                <w:color w:val="auto"/>
                <w:sz w:val="24"/>
                <w:u w:val="none"/>
                <w:lang w:val="en-US" w:eastAsia="zh-CN"/>
              </w:rPr>
              <w:t>洗车用水：</w:t>
            </w:r>
          </w:p>
          <w:p w14:paraId="195A6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rPr>
                <w:rFonts w:hint="eastAsia" w:cs="Times New Roman"/>
                <w:spacing w:val="4"/>
                <w:sz w:val="24"/>
                <w:szCs w:val="24"/>
                <w:lang w:eastAsia="zh-CN"/>
              </w:rPr>
            </w:pPr>
            <w:r>
              <w:rPr>
                <w:rFonts w:hint="eastAsia" w:cs="Times New Roman"/>
                <w:spacing w:val="4"/>
                <w:sz w:val="24"/>
                <w:szCs w:val="24"/>
                <w:lang w:eastAsia="zh-CN"/>
              </w:rPr>
              <w:t>本站设</w:t>
            </w:r>
            <w:r>
              <w:rPr>
                <w:rFonts w:hint="eastAsia" w:cs="Times New Roman"/>
                <w:spacing w:val="4"/>
                <w:sz w:val="24"/>
                <w:szCs w:val="24"/>
                <w:lang w:val="en-US" w:eastAsia="zh-CN"/>
              </w:rPr>
              <w:t>有</w:t>
            </w:r>
            <w:r>
              <w:rPr>
                <w:rFonts w:hint="eastAsia" w:cs="Times New Roman"/>
                <w:spacing w:val="4"/>
                <w:sz w:val="24"/>
                <w:szCs w:val="24"/>
                <w:lang w:eastAsia="zh-CN"/>
              </w:rPr>
              <w:t>1台全自动洗车机，</w:t>
            </w:r>
            <w:r>
              <w:rPr>
                <w:rFonts w:hint="eastAsia" w:cs="Times New Roman"/>
                <w:spacing w:val="4"/>
                <w:sz w:val="24"/>
                <w:szCs w:val="24"/>
                <w:lang w:val="en-US" w:eastAsia="zh-CN"/>
              </w:rPr>
              <w:t>只针对在本站内加油的小型车辆进行免费洗车服务，不对外营业，根据建设单位提供的资料，预计清洗车辆为30辆/天，</w:t>
            </w:r>
            <w:r>
              <w:rPr>
                <w:rFonts w:hint="eastAsia"/>
                <w:color w:val="auto"/>
                <w:sz w:val="24"/>
                <w:u w:val="none"/>
                <w:lang w:val="en-US" w:eastAsia="zh-CN"/>
              </w:rPr>
              <w:t>参考</w:t>
            </w:r>
            <w:r>
              <w:rPr>
                <w:color w:val="auto"/>
                <w:sz w:val="24"/>
                <w:u w:val="none"/>
              </w:rPr>
              <w:t>湖南省地方标准</w:t>
            </w:r>
            <w:r>
              <w:rPr>
                <w:rFonts w:hint="eastAsia"/>
                <w:color w:val="auto"/>
                <w:sz w:val="24"/>
                <w:u w:val="none"/>
              </w:rPr>
              <w:t>《用水定额 第3部分：生活、服务业及建筑业》（DB43/T388.3—2025）</w:t>
            </w:r>
            <w:r>
              <w:rPr>
                <w:rFonts w:hint="eastAsia"/>
                <w:color w:val="auto"/>
                <w:sz w:val="24"/>
                <w:u w:val="none"/>
                <w:lang w:val="en-US" w:eastAsia="zh-CN"/>
              </w:rPr>
              <w:t>表4公共事业用水定额</w:t>
            </w:r>
            <w:r>
              <w:rPr>
                <w:rFonts w:hint="eastAsia" w:cs="Times New Roman"/>
                <w:spacing w:val="4"/>
                <w:sz w:val="24"/>
                <w:szCs w:val="24"/>
                <w:lang w:val="en-US" w:eastAsia="zh-CN"/>
              </w:rPr>
              <w:t>，自动洗车用水为33L/（辆·次），</w:t>
            </w:r>
            <w:r>
              <w:rPr>
                <w:rFonts w:hint="eastAsia" w:cs="Times New Roman"/>
                <w:spacing w:val="4"/>
                <w:sz w:val="24"/>
                <w:szCs w:val="24"/>
                <w:lang w:eastAsia="zh-CN"/>
              </w:rPr>
              <w:t>则用水量为</w:t>
            </w:r>
            <w:r>
              <w:rPr>
                <w:rFonts w:hint="eastAsia" w:cs="Times New Roman"/>
                <w:spacing w:val="4"/>
                <w:sz w:val="24"/>
                <w:szCs w:val="24"/>
                <w:lang w:val="en-US" w:eastAsia="zh-CN"/>
              </w:rPr>
              <w:t>0.99</w:t>
            </w:r>
            <w:r>
              <w:rPr>
                <w:rFonts w:hint="eastAsia" w:cs="Times New Roman"/>
                <w:spacing w:val="4"/>
                <w:sz w:val="24"/>
                <w:szCs w:val="24"/>
                <w:lang w:eastAsia="zh-CN"/>
              </w:rPr>
              <w:t>m</w:t>
            </w:r>
            <w:r>
              <w:rPr>
                <w:rFonts w:hint="eastAsia" w:cs="Times New Roman"/>
                <w:spacing w:val="4"/>
                <w:sz w:val="24"/>
                <w:szCs w:val="24"/>
                <w:vertAlign w:val="superscript"/>
                <w:lang w:val="en-US" w:eastAsia="zh-CN"/>
              </w:rPr>
              <w:t>3</w:t>
            </w:r>
            <w:r>
              <w:rPr>
                <w:rFonts w:hint="eastAsia" w:cs="Times New Roman"/>
                <w:spacing w:val="4"/>
                <w:sz w:val="24"/>
                <w:szCs w:val="24"/>
                <w:lang w:eastAsia="zh-CN"/>
              </w:rPr>
              <w:t>/d（</w:t>
            </w:r>
            <w:r>
              <w:rPr>
                <w:rFonts w:hint="eastAsia" w:cs="Times New Roman"/>
                <w:spacing w:val="4"/>
                <w:sz w:val="24"/>
                <w:szCs w:val="24"/>
                <w:lang w:val="en-US" w:eastAsia="zh-CN"/>
              </w:rPr>
              <w:t>361.35</w:t>
            </w:r>
            <w:r>
              <w:rPr>
                <w:rFonts w:hint="eastAsia" w:cs="Times New Roman"/>
                <w:spacing w:val="4"/>
                <w:sz w:val="24"/>
                <w:szCs w:val="24"/>
                <w:lang w:eastAsia="zh-CN"/>
              </w:rPr>
              <w:t>m</w:t>
            </w:r>
            <w:r>
              <w:rPr>
                <w:rFonts w:hint="eastAsia" w:cs="Times New Roman"/>
                <w:spacing w:val="4"/>
                <w:sz w:val="24"/>
                <w:szCs w:val="24"/>
                <w:vertAlign w:val="superscript"/>
                <w:lang w:val="en-US" w:eastAsia="zh-CN"/>
              </w:rPr>
              <w:t>3</w:t>
            </w:r>
            <w:r>
              <w:rPr>
                <w:rFonts w:hint="eastAsia" w:cs="Times New Roman"/>
                <w:spacing w:val="4"/>
                <w:sz w:val="24"/>
                <w:szCs w:val="24"/>
                <w:lang w:eastAsia="zh-CN"/>
              </w:rPr>
              <w:t>/a）。</w:t>
            </w:r>
          </w:p>
          <w:p w14:paraId="62B71177">
            <w:pPr>
              <w:keepNext w:val="0"/>
              <w:keepLines w:val="0"/>
              <w:pageBreakBefore w:val="0"/>
              <w:kinsoku/>
              <w:overflowPunct/>
              <w:autoSpaceDE/>
              <w:autoSpaceDN/>
              <w:bidi w:val="0"/>
              <w:adjustRightInd w:val="0"/>
              <w:snapToGrid w:val="0"/>
              <w:spacing w:line="360" w:lineRule="auto"/>
              <w:ind w:firstLine="480" w:firstLineChars="200"/>
              <w:textAlignment w:val="auto"/>
              <w:rPr>
                <w:bCs/>
                <w:color w:val="auto"/>
                <w:sz w:val="24"/>
                <w:u w:val="none"/>
              </w:rPr>
            </w:pPr>
            <w:r>
              <w:rPr>
                <w:rFonts w:hint="eastAsia"/>
                <w:color w:val="auto"/>
                <w:sz w:val="24"/>
                <w:u w:val="none"/>
                <w:lang w:val="en-US" w:eastAsia="zh-CN"/>
              </w:rPr>
              <w:t>⑤</w:t>
            </w:r>
            <w:r>
              <w:rPr>
                <w:color w:val="auto"/>
                <w:sz w:val="24"/>
                <w:u w:val="none"/>
              </w:rPr>
              <w:t>绿</w:t>
            </w:r>
            <w:r>
              <w:rPr>
                <w:bCs/>
                <w:color w:val="auto"/>
                <w:sz w:val="24"/>
                <w:u w:val="none"/>
              </w:rPr>
              <w:t>化用水：</w:t>
            </w:r>
          </w:p>
          <w:p w14:paraId="0A6DE6E5">
            <w:pPr>
              <w:keepNext w:val="0"/>
              <w:keepLines w:val="0"/>
              <w:pageBreakBefore w:val="0"/>
              <w:kinsoku/>
              <w:overflowPunct/>
              <w:autoSpaceDE/>
              <w:autoSpaceDN/>
              <w:bidi w:val="0"/>
              <w:adjustRightInd w:val="0"/>
              <w:snapToGrid w:val="0"/>
              <w:spacing w:line="360" w:lineRule="auto"/>
              <w:ind w:firstLine="480" w:firstLineChars="200"/>
              <w:textAlignment w:val="auto"/>
              <w:rPr>
                <w:bCs/>
                <w:color w:val="auto"/>
                <w:sz w:val="24"/>
                <w:u w:val="none"/>
              </w:rPr>
            </w:pPr>
            <w:r>
              <w:rPr>
                <w:bCs/>
                <w:color w:val="auto"/>
                <w:sz w:val="24"/>
                <w:u w:val="none"/>
              </w:rPr>
              <w:t>本项目</w:t>
            </w:r>
            <w:r>
              <w:rPr>
                <w:rFonts w:hint="eastAsia"/>
                <w:bCs/>
                <w:color w:val="auto"/>
                <w:sz w:val="24"/>
                <w:u w:val="none"/>
                <w:lang w:val="en-US" w:eastAsia="zh-CN"/>
              </w:rPr>
              <w:t>绿地</w:t>
            </w:r>
            <w:r>
              <w:rPr>
                <w:bCs/>
                <w:color w:val="auto"/>
                <w:sz w:val="24"/>
                <w:u w:val="none"/>
              </w:rPr>
              <w:t>面积</w:t>
            </w:r>
            <w:r>
              <w:rPr>
                <w:rFonts w:hint="eastAsia"/>
                <w:bCs/>
                <w:color w:val="auto"/>
                <w:sz w:val="24"/>
                <w:u w:val="none"/>
                <w:lang w:val="en-US" w:eastAsia="zh-CN"/>
              </w:rPr>
              <w:t>235.65</w:t>
            </w:r>
            <w:r>
              <w:rPr>
                <w:bCs/>
                <w:color w:val="auto"/>
                <w:sz w:val="24"/>
                <w:u w:val="none"/>
              </w:rPr>
              <w:t>m</w:t>
            </w:r>
            <w:r>
              <w:rPr>
                <w:bCs/>
                <w:color w:val="auto"/>
                <w:sz w:val="24"/>
                <w:u w:val="none"/>
                <w:vertAlign w:val="superscript"/>
              </w:rPr>
              <w:t>2</w:t>
            </w:r>
            <w:r>
              <w:rPr>
                <w:color w:val="auto"/>
                <w:sz w:val="24"/>
                <w:u w:val="none"/>
              </w:rPr>
              <w:t>，绿化用水</w:t>
            </w:r>
            <w:r>
              <w:rPr>
                <w:rFonts w:hint="eastAsia"/>
                <w:color w:val="auto"/>
                <w:sz w:val="24"/>
                <w:u w:val="none"/>
                <w:lang w:val="en-US" w:eastAsia="zh-CN"/>
              </w:rPr>
              <w:t>参考</w:t>
            </w:r>
            <w:r>
              <w:rPr>
                <w:color w:val="auto"/>
                <w:sz w:val="24"/>
                <w:u w:val="none"/>
              </w:rPr>
              <w:t>湖南省地方标准</w:t>
            </w:r>
            <w:r>
              <w:rPr>
                <w:rFonts w:hint="eastAsia"/>
                <w:color w:val="auto"/>
                <w:sz w:val="24"/>
                <w:u w:val="none"/>
              </w:rPr>
              <w:t>《用水定额 第3部分：生活、服务业及建筑业》（DB43/T388.3—2025）</w:t>
            </w:r>
            <w:r>
              <w:rPr>
                <w:rFonts w:hint="eastAsia"/>
                <w:color w:val="auto"/>
                <w:sz w:val="24"/>
                <w:u w:val="none"/>
                <w:lang w:val="en-US" w:eastAsia="zh-CN"/>
              </w:rPr>
              <w:t>表5公共设施用水定额，</w:t>
            </w:r>
            <w:r>
              <w:rPr>
                <w:color w:val="auto"/>
                <w:sz w:val="24"/>
                <w:u w:val="none"/>
              </w:rPr>
              <w:t>用水按2</w:t>
            </w:r>
            <w:r>
              <w:rPr>
                <w:rFonts w:hint="eastAsia"/>
                <w:color w:val="auto"/>
                <w:sz w:val="24"/>
                <w:u w:val="none"/>
                <w:lang w:val="en-US" w:eastAsia="zh-CN"/>
              </w:rPr>
              <w:t>.4</w:t>
            </w:r>
            <w:r>
              <w:rPr>
                <w:color w:val="auto"/>
                <w:sz w:val="24"/>
                <w:u w:val="none"/>
              </w:rPr>
              <w:t>L/m</w:t>
            </w:r>
            <w:r>
              <w:rPr>
                <w:color w:val="auto"/>
                <w:sz w:val="24"/>
                <w:u w:val="none"/>
                <w:vertAlign w:val="superscript"/>
              </w:rPr>
              <w:t>2</w:t>
            </w:r>
            <w:r>
              <w:rPr>
                <w:color w:val="auto"/>
                <w:sz w:val="24"/>
                <w:u w:val="none"/>
              </w:rPr>
              <w:t>•d，用水量</w:t>
            </w:r>
            <w:r>
              <w:rPr>
                <w:rFonts w:hint="eastAsia"/>
                <w:color w:val="auto"/>
                <w:sz w:val="24"/>
                <w:u w:val="none"/>
                <w:lang w:val="en-US" w:eastAsia="zh-CN"/>
              </w:rPr>
              <w:t>101.8</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eastAsia="zh-CN"/>
              </w:rPr>
              <w:t>（</w:t>
            </w:r>
            <w:r>
              <w:rPr>
                <w:rFonts w:hint="eastAsia"/>
                <w:color w:val="auto"/>
                <w:sz w:val="24"/>
                <w:u w:val="none"/>
                <w:lang w:val="en-US" w:eastAsia="zh-CN"/>
              </w:rPr>
              <w:t>按180d计算</w:t>
            </w:r>
            <w:r>
              <w:rPr>
                <w:rFonts w:hint="eastAsia"/>
                <w:color w:val="auto"/>
                <w:sz w:val="24"/>
                <w:u w:val="none"/>
                <w:lang w:eastAsia="zh-CN"/>
              </w:rPr>
              <w:t>）</w:t>
            </w:r>
            <w:r>
              <w:rPr>
                <w:color w:val="auto"/>
                <w:sz w:val="24"/>
                <w:u w:val="none"/>
              </w:rPr>
              <w:t>。</w:t>
            </w:r>
          </w:p>
          <w:p w14:paraId="5175A9F8">
            <w:pPr>
              <w:keepNext w:val="0"/>
              <w:keepLines w:val="0"/>
              <w:pageBreakBefore w:val="0"/>
              <w:kinsoku/>
              <w:overflowPunct/>
              <w:autoSpaceDE/>
              <w:autoSpaceDN/>
              <w:bidi w:val="0"/>
              <w:adjustRightInd w:val="0"/>
              <w:snapToGrid w:val="0"/>
              <w:spacing w:line="360" w:lineRule="auto"/>
              <w:textAlignment w:val="auto"/>
              <w:rPr>
                <w:color w:val="auto"/>
                <w:sz w:val="24"/>
                <w:u w:val="none"/>
              </w:rPr>
            </w:pPr>
            <w:r>
              <w:rPr>
                <w:rFonts w:hint="eastAsia"/>
                <w:b/>
                <w:color w:val="auto"/>
                <w:sz w:val="24"/>
                <w:u w:val="none"/>
              </w:rPr>
              <w:t>2.</w:t>
            </w:r>
            <w:r>
              <w:rPr>
                <w:rFonts w:hint="eastAsia"/>
                <w:b/>
                <w:color w:val="auto"/>
                <w:sz w:val="24"/>
                <w:u w:val="none"/>
                <w:lang w:val="en-US" w:eastAsia="zh-CN"/>
              </w:rPr>
              <w:t>6.2</w:t>
            </w:r>
            <w:r>
              <w:rPr>
                <w:rFonts w:hint="eastAsia"/>
                <w:b/>
                <w:color w:val="auto"/>
                <w:sz w:val="24"/>
                <w:u w:val="none"/>
              </w:rPr>
              <w:t xml:space="preserve"> </w:t>
            </w:r>
            <w:r>
              <w:rPr>
                <w:b/>
                <w:bCs/>
                <w:color w:val="auto"/>
                <w:sz w:val="24"/>
                <w:u w:val="none"/>
              </w:rPr>
              <w:t>排水工程</w:t>
            </w:r>
          </w:p>
          <w:p w14:paraId="0DAC5883">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本项目实行雨污分流制，雨水排至项目</w:t>
            </w:r>
            <w:r>
              <w:rPr>
                <w:rFonts w:hint="eastAsia"/>
                <w:color w:val="auto"/>
                <w:sz w:val="24"/>
                <w:u w:val="none"/>
                <w:lang w:val="en-US" w:eastAsia="zh-CN"/>
              </w:rPr>
              <w:t>西</w:t>
            </w:r>
            <w:r>
              <w:rPr>
                <w:color w:val="auto"/>
                <w:sz w:val="24"/>
                <w:u w:val="none"/>
              </w:rPr>
              <w:t>侧</w:t>
            </w:r>
            <w:r>
              <w:rPr>
                <w:rFonts w:hint="eastAsia"/>
                <w:color w:val="auto"/>
                <w:sz w:val="24"/>
                <w:u w:val="none"/>
                <w:lang w:val="en-US" w:eastAsia="zh-CN"/>
              </w:rPr>
              <w:t>祁阳大道</w:t>
            </w:r>
            <w:r>
              <w:rPr>
                <w:color w:val="auto"/>
                <w:sz w:val="24"/>
                <w:u w:val="none"/>
              </w:rPr>
              <w:t>接线雨水管道。雨水排口设置关闭阀门，雨季时前15分钟关闭雨水阀门，初期雨水导入隔油</w:t>
            </w:r>
            <w:r>
              <w:rPr>
                <w:rFonts w:hint="eastAsia"/>
                <w:color w:val="auto"/>
                <w:sz w:val="24"/>
                <w:u w:val="none"/>
                <w:lang w:val="en-US" w:eastAsia="zh-CN"/>
              </w:rPr>
              <w:t>沉淀</w:t>
            </w:r>
            <w:r>
              <w:rPr>
                <w:color w:val="auto"/>
                <w:sz w:val="24"/>
                <w:u w:val="none"/>
              </w:rPr>
              <w:t>池处理后</w:t>
            </w:r>
            <w:r>
              <w:rPr>
                <w:rFonts w:hint="eastAsia"/>
                <w:color w:val="auto"/>
                <w:sz w:val="24"/>
                <w:u w:val="none"/>
              </w:rPr>
              <w:t>进</w:t>
            </w:r>
            <w:r>
              <w:rPr>
                <w:color w:val="auto"/>
                <w:sz w:val="24"/>
                <w:u w:val="none"/>
              </w:rPr>
              <w:t>入市政污水管网，15分钟后打开阀门雨水直接排入市政雨水管网。</w:t>
            </w:r>
          </w:p>
          <w:p w14:paraId="4069694F">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项目废水主要为员工生活污水、公共卫生间废水、加油区</w:t>
            </w:r>
            <w:r>
              <w:rPr>
                <w:rFonts w:hint="eastAsia"/>
                <w:color w:val="auto"/>
                <w:sz w:val="24"/>
                <w:u w:val="none"/>
                <w:lang w:eastAsia="zh-CN"/>
              </w:rPr>
              <w:t>地面清洁废水</w:t>
            </w:r>
            <w:r>
              <w:rPr>
                <w:color w:val="auto"/>
                <w:sz w:val="24"/>
                <w:u w:val="none"/>
              </w:rPr>
              <w:t>和初期雨水。</w:t>
            </w:r>
          </w:p>
          <w:p w14:paraId="63CAF3A4">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①员工生活污水：</w:t>
            </w:r>
            <w:r>
              <w:rPr>
                <w:rFonts w:hint="eastAsia"/>
                <w:color w:val="auto"/>
                <w:sz w:val="24"/>
                <w:u w:val="none"/>
                <w:lang w:val="en-US" w:eastAsia="zh-CN"/>
              </w:rPr>
              <w:t>根据上文分析，项目生活用水量为1.011</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368.9</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eastAsia="zh-CN"/>
              </w:rPr>
              <w:t>，</w:t>
            </w:r>
            <w:r>
              <w:rPr>
                <w:color w:val="auto"/>
                <w:sz w:val="24"/>
                <w:u w:val="none"/>
              </w:rPr>
              <w:t>生活污水量按用水量的80%计，则生活污水产生量为</w:t>
            </w:r>
            <w:r>
              <w:rPr>
                <w:rFonts w:hint="eastAsia"/>
                <w:color w:val="auto"/>
                <w:sz w:val="24"/>
                <w:u w:val="none"/>
                <w:lang w:val="en-US" w:eastAsia="zh-CN"/>
              </w:rPr>
              <w:t>0.81</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295.12</w:t>
            </w:r>
            <w:r>
              <w:rPr>
                <w:color w:val="auto"/>
                <w:sz w:val="24"/>
                <w:u w:val="none"/>
              </w:rPr>
              <w:t>m</w:t>
            </w:r>
            <w:r>
              <w:rPr>
                <w:color w:val="auto"/>
                <w:sz w:val="24"/>
                <w:u w:val="none"/>
                <w:vertAlign w:val="superscript"/>
              </w:rPr>
              <w:t>3</w:t>
            </w:r>
            <w:r>
              <w:rPr>
                <w:color w:val="auto"/>
                <w:sz w:val="24"/>
                <w:u w:val="none"/>
              </w:rPr>
              <w:t>/a），生活污水经</w:t>
            </w:r>
            <w:r>
              <w:rPr>
                <w:rFonts w:hint="eastAsia"/>
                <w:color w:val="auto"/>
                <w:sz w:val="24"/>
                <w:u w:val="none"/>
                <w:lang w:val="en-US" w:eastAsia="zh-CN"/>
              </w:rPr>
              <w:t>隔油池+</w:t>
            </w:r>
            <w:r>
              <w:rPr>
                <w:color w:val="auto"/>
                <w:sz w:val="24"/>
                <w:u w:val="none"/>
              </w:rPr>
              <w:t>化粪池处理后纳入市政污水管网，排至</w:t>
            </w:r>
            <w:r>
              <w:rPr>
                <w:rFonts w:hint="eastAsia"/>
                <w:color w:val="auto"/>
                <w:sz w:val="24"/>
                <w:u w:val="none"/>
                <w:lang w:eastAsia="zh-CN"/>
              </w:rPr>
              <w:t>祁阳市城北污水处理厂</w:t>
            </w:r>
            <w:r>
              <w:rPr>
                <w:color w:val="auto"/>
                <w:sz w:val="24"/>
                <w:u w:val="none"/>
              </w:rPr>
              <w:t>处理达标后外排。</w:t>
            </w:r>
          </w:p>
          <w:p w14:paraId="787E4C43">
            <w:pPr>
              <w:keepNext w:val="0"/>
              <w:keepLines w:val="0"/>
              <w:pageBreakBefore w:val="0"/>
              <w:kinsoku/>
              <w:overflowPunct/>
              <w:autoSpaceDE/>
              <w:autoSpaceDN/>
              <w:bidi w:val="0"/>
              <w:adjustRightInd w:val="0"/>
              <w:snapToGrid w:val="0"/>
              <w:spacing w:line="360" w:lineRule="auto"/>
              <w:ind w:firstLine="480" w:firstLineChars="200"/>
              <w:textAlignment w:val="auto"/>
              <w:rPr>
                <w:color w:val="auto"/>
                <w:sz w:val="24"/>
                <w:u w:val="none"/>
              </w:rPr>
            </w:pPr>
            <w:r>
              <w:rPr>
                <w:color w:val="auto"/>
                <w:sz w:val="24"/>
                <w:u w:val="none"/>
              </w:rPr>
              <w:t>②公共卫生间废水：</w:t>
            </w:r>
            <w:r>
              <w:rPr>
                <w:rFonts w:hint="eastAsia"/>
                <w:color w:val="auto"/>
                <w:sz w:val="24"/>
                <w:u w:val="none"/>
                <w:lang w:val="en-US" w:eastAsia="zh-CN"/>
              </w:rPr>
              <w:t>根据上文分析，项目</w:t>
            </w:r>
            <w:r>
              <w:rPr>
                <w:color w:val="auto"/>
                <w:sz w:val="24"/>
                <w:u w:val="none"/>
              </w:rPr>
              <w:t>公共卫生间</w:t>
            </w:r>
            <w:r>
              <w:rPr>
                <w:rFonts w:hint="eastAsia"/>
                <w:color w:val="auto"/>
                <w:sz w:val="24"/>
                <w:u w:val="none"/>
                <w:lang w:val="en-US" w:eastAsia="zh-CN"/>
              </w:rPr>
              <w:t>用水量为0.5</w:t>
            </w:r>
            <w:r>
              <w:rPr>
                <w:color w:val="auto"/>
                <w:sz w:val="24"/>
                <w:u w:val="none"/>
              </w:rPr>
              <w:t>m</w:t>
            </w:r>
            <w:r>
              <w:rPr>
                <w:color w:val="auto"/>
                <w:sz w:val="24"/>
                <w:u w:val="none"/>
                <w:vertAlign w:val="superscript"/>
              </w:rPr>
              <w:t>3</w:t>
            </w:r>
            <w:r>
              <w:rPr>
                <w:color w:val="auto"/>
                <w:sz w:val="24"/>
                <w:u w:val="none"/>
              </w:rPr>
              <w:t>/d</w:t>
            </w:r>
            <w:r>
              <w:rPr>
                <w:rFonts w:hint="eastAsia"/>
                <w:bCs/>
                <w:color w:val="auto"/>
                <w:sz w:val="24"/>
                <w:u w:val="none"/>
                <w:lang w:eastAsia="zh-CN"/>
              </w:rPr>
              <w:t>（</w:t>
            </w:r>
            <w:r>
              <w:rPr>
                <w:rFonts w:hint="eastAsia"/>
                <w:bCs/>
                <w:color w:val="auto"/>
                <w:sz w:val="24"/>
                <w:u w:val="none"/>
                <w:lang w:val="en-US" w:eastAsia="zh-CN"/>
              </w:rPr>
              <w:t>182.5</w:t>
            </w:r>
            <w:r>
              <w:rPr>
                <w:bCs/>
                <w:color w:val="auto"/>
                <w:sz w:val="24"/>
                <w:u w:val="none"/>
              </w:rPr>
              <w:t>m</w:t>
            </w:r>
            <w:r>
              <w:rPr>
                <w:bCs/>
                <w:color w:val="auto"/>
                <w:sz w:val="24"/>
                <w:u w:val="none"/>
                <w:vertAlign w:val="superscript"/>
              </w:rPr>
              <w:t>3</w:t>
            </w:r>
            <w:r>
              <w:rPr>
                <w:bCs/>
                <w:color w:val="auto"/>
                <w:sz w:val="24"/>
                <w:u w:val="none"/>
              </w:rPr>
              <w:t>/a</w:t>
            </w:r>
            <w:r>
              <w:rPr>
                <w:rFonts w:hint="eastAsia"/>
                <w:bCs/>
                <w:color w:val="auto"/>
                <w:sz w:val="24"/>
                <w:u w:val="none"/>
                <w:lang w:eastAsia="zh-CN"/>
              </w:rPr>
              <w:t>），</w:t>
            </w:r>
            <w:r>
              <w:rPr>
                <w:color w:val="auto"/>
                <w:sz w:val="24"/>
                <w:u w:val="none"/>
              </w:rPr>
              <w:t>公共卫生间废水量按用水量的80%计，则公共卫生间废水产生量为0.</w:t>
            </w:r>
            <w:r>
              <w:rPr>
                <w:rFonts w:hint="eastAsia"/>
                <w:color w:val="auto"/>
                <w:sz w:val="24"/>
                <w:u w:val="none"/>
                <w:lang w:val="en-US" w:eastAsia="zh-CN"/>
              </w:rPr>
              <w:t>4</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146</w:t>
            </w:r>
            <w:r>
              <w:rPr>
                <w:color w:val="auto"/>
                <w:sz w:val="24"/>
                <w:u w:val="none"/>
              </w:rPr>
              <w:t>m</w:t>
            </w:r>
            <w:r>
              <w:rPr>
                <w:color w:val="auto"/>
                <w:sz w:val="24"/>
                <w:u w:val="none"/>
                <w:vertAlign w:val="superscript"/>
              </w:rPr>
              <w:t>3</w:t>
            </w:r>
            <w:r>
              <w:rPr>
                <w:color w:val="auto"/>
                <w:sz w:val="24"/>
                <w:u w:val="none"/>
              </w:rPr>
              <w:t>/a），公共卫生间废水经化粪池处理后纳入市政污水管网，排至</w:t>
            </w:r>
            <w:r>
              <w:rPr>
                <w:rFonts w:hint="eastAsia"/>
                <w:color w:val="auto"/>
                <w:sz w:val="24"/>
                <w:u w:val="none"/>
                <w:lang w:eastAsia="zh-CN"/>
              </w:rPr>
              <w:t>祁阳市城北污水处理厂</w:t>
            </w:r>
            <w:r>
              <w:rPr>
                <w:color w:val="auto"/>
                <w:sz w:val="24"/>
                <w:u w:val="none"/>
              </w:rPr>
              <w:t>处理达标后外排。</w:t>
            </w:r>
          </w:p>
          <w:p w14:paraId="229D0938">
            <w:pPr>
              <w:keepNext w:val="0"/>
              <w:keepLines w:val="0"/>
              <w:pageBreakBefore w:val="0"/>
              <w:kinsoku/>
              <w:overflowPunct/>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color w:val="auto"/>
                <w:sz w:val="24"/>
                <w:u w:val="none"/>
              </w:rPr>
              <w:t>③</w:t>
            </w:r>
            <w:r>
              <w:rPr>
                <w:rFonts w:hint="eastAsia"/>
                <w:color w:val="auto"/>
                <w:sz w:val="24"/>
                <w:u w:val="none"/>
                <w:lang w:eastAsia="zh-CN"/>
              </w:rPr>
              <w:t>地面清洁废水</w:t>
            </w:r>
            <w:r>
              <w:rPr>
                <w:color w:val="auto"/>
                <w:sz w:val="24"/>
                <w:u w:val="none"/>
              </w:rPr>
              <w:t>：</w:t>
            </w:r>
            <w:r>
              <w:rPr>
                <w:rFonts w:hint="eastAsia"/>
                <w:color w:val="auto"/>
                <w:sz w:val="24"/>
                <w:u w:val="none"/>
                <w:lang w:val="en-US" w:eastAsia="zh-CN"/>
              </w:rPr>
              <w:t>根据上文分析，项目</w:t>
            </w:r>
            <w:r>
              <w:rPr>
                <w:color w:val="auto"/>
                <w:sz w:val="24"/>
                <w:u w:val="none"/>
              </w:rPr>
              <w:t>地面清洗</w:t>
            </w:r>
            <w:r>
              <w:rPr>
                <w:rFonts w:hint="eastAsia"/>
                <w:color w:val="auto"/>
                <w:sz w:val="24"/>
                <w:u w:val="none"/>
                <w:lang w:val="en-US" w:eastAsia="zh-CN"/>
              </w:rPr>
              <w:t>用水量为0.652</w:t>
            </w:r>
            <w:r>
              <w:rPr>
                <w:color w:val="auto"/>
                <w:sz w:val="24"/>
                <w:u w:val="none"/>
              </w:rPr>
              <w:t>m</w:t>
            </w:r>
            <w:r>
              <w:rPr>
                <w:color w:val="auto"/>
                <w:sz w:val="24"/>
                <w:u w:val="none"/>
                <w:vertAlign w:val="superscript"/>
              </w:rPr>
              <w:t>3</w:t>
            </w:r>
            <w:r>
              <w:rPr>
                <w:color w:val="auto"/>
                <w:sz w:val="24"/>
                <w:u w:val="none"/>
              </w:rPr>
              <w:t>/次（</w:t>
            </w:r>
            <w:r>
              <w:rPr>
                <w:rFonts w:hint="eastAsia"/>
                <w:color w:val="auto"/>
                <w:sz w:val="24"/>
                <w:u w:val="none"/>
                <w:lang w:val="en-US" w:eastAsia="zh-CN"/>
              </w:rPr>
              <w:t>31.3</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val="en-US" w:eastAsia="zh-CN"/>
              </w:rPr>
              <w:t>，</w:t>
            </w:r>
            <w:r>
              <w:rPr>
                <w:rFonts w:hint="eastAsia"/>
                <w:color w:val="auto"/>
                <w:sz w:val="24"/>
                <w:u w:val="none"/>
                <w:lang w:eastAsia="zh-CN"/>
              </w:rPr>
              <w:t>地面清洁废水</w:t>
            </w:r>
            <w:r>
              <w:rPr>
                <w:color w:val="auto"/>
                <w:sz w:val="24"/>
                <w:u w:val="none"/>
              </w:rPr>
              <w:t>按清洗用水量的80%计，则</w:t>
            </w:r>
            <w:r>
              <w:rPr>
                <w:rFonts w:hint="eastAsia"/>
                <w:color w:val="auto"/>
                <w:sz w:val="24"/>
                <w:u w:val="none"/>
                <w:lang w:eastAsia="zh-CN"/>
              </w:rPr>
              <w:t>地面清洁废水</w:t>
            </w:r>
            <w:r>
              <w:rPr>
                <w:color w:val="auto"/>
                <w:sz w:val="24"/>
                <w:u w:val="none"/>
              </w:rPr>
              <w:t>产生量为</w:t>
            </w:r>
            <w:r>
              <w:rPr>
                <w:rFonts w:hint="eastAsia"/>
                <w:color w:val="auto"/>
                <w:sz w:val="24"/>
                <w:u w:val="none"/>
                <w:lang w:val="en-US" w:eastAsia="zh-CN"/>
              </w:rPr>
              <w:t>25.04</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eastAsia="zh-CN"/>
              </w:rPr>
              <w:t>地面清洁废水</w:t>
            </w:r>
            <w:r>
              <w:rPr>
                <w:color w:val="auto"/>
                <w:sz w:val="24"/>
                <w:u w:val="none"/>
              </w:rPr>
              <w:t>经隔油沉淀池处理后，排入市政污水管网，</w:t>
            </w:r>
            <w:r>
              <w:rPr>
                <w:rFonts w:hint="default" w:ascii="Times New Roman" w:hAnsi="Times New Roman" w:cs="Times New Roman"/>
                <w:color w:val="auto"/>
                <w:sz w:val="24"/>
                <w:u w:val="none"/>
              </w:rPr>
              <w:t>排至</w:t>
            </w:r>
            <w:r>
              <w:rPr>
                <w:rFonts w:hint="eastAsia" w:cs="Times New Roman"/>
                <w:color w:val="auto"/>
                <w:sz w:val="24"/>
                <w:u w:val="none"/>
                <w:lang w:eastAsia="zh-CN"/>
              </w:rPr>
              <w:t>祁阳市城北污水处理厂</w:t>
            </w:r>
            <w:r>
              <w:rPr>
                <w:rFonts w:hint="default" w:ascii="Times New Roman" w:hAnsi="Times New Roman" w:cs="Times New Roman"/>
                <w:color w:val="auto"/>
                <w:sz w:val="24"/>
                <w:u w:val="none"/>
              </w:rPr>
              <w:t>处理达标后外排。</w:t>
            </w:r>
          </w:p>
          <w:p w14:paraId="0ACDA69E">
            <w:pPr>
              <w:pStyle w:val="202"/>
              <w:keepNext w:val="0"/>
              <w:keepLines w:val="0"/>
              <w:pageBreakBefore w:val="0"/>
              <w:kinsoku/>
              <w:overflowPunct/>
              <w:autoSpaceDE/>
              <w:autoSpaceDN/>
              <w:bidi w:val="0"/>
              <w:adjustRightInd w:val="0"/>
              <w:snapToGrid w:val="0"/>
              <w:textAlignment w:val="auto"/>
              <w:rPr>
                <w:rFonts w:hint="eastAsia" w:ascii="Times New Roman" w:hAnsi="Times New Roman" w:eastAsia="宋体" w:cs="Times New Roman"/>
                <w:color w:val="auto"/>
                <w:sz w:val="24"/>
                <w:u w:val="none"/>
                <w:lang w:val="en-US" w:eastAsia="zh-CN"/>
              </w:rPr>
            </w:pPr>
            <w:r>
              <w:rPr>
                <w:rFonts w:hint="default" w:ascii="Times New Roman" w:hAnsi="Times New Roman" w:cs="Times New Roman"/>
                <w:color w:val="auto"/>
                <w:sz w:val="24"/>
                <w:highlight w:val="none"/>
                <w:u w:val="none"/>
                <w:lang w:val="en-US" w:eastAsia="zh-CN"/>
              </w:rPr>
              <w:t>④洗车废水：根据上文</w:t>
            </w:r>
            <w:r>
              <w:rPr>
                <w:rFonts w:hint="default" w:ascii="Times New Roman" w:hAnsi="Times New Roman" w:cs="Times New Roman"/>
                <w:color w:val="auto"/>
                <w:sz w:val="24"/>
                <w:u w:val="none"/>
                <w:lang w:val="en-US" w:eastAsia="zh-CN"/>
              </w:rPr>
              <w:t>分析，项目洗车</w:t>
            </w:r>
            <w:r>
              <w:rPr>
                <w:rFonts w:hint="default" w:ascii="Times New Roman" w:hAnsi="Times New Roman" w:cs="Times New Roman"/>
                <w:spacing w:val="4"/>
                <w:sz w:val="24"/>
                <w:szCs w:val="24"/>
                <w:lang w:eastAsia="zh-CN"/>
              </w:rPr>
              <w:t>用水量为0.99m</w:t>
            </w:r>
            <w:r>
              <w:rPr>
                <w:rFonts w:hint="default" w:ascii="Times New Roman" w:hAnsi="Times New Roman" w:cs="Times New Roman"/>
                <w:spacing w:val="4"/>
                <w:sz w:val="24"/>
                <w:szCs w:val="24"/>
                <w:vertAlign w:val="superscript"/>
                <w:lang w:eastAsia="zh-CN"/>
              </w:rPr>
              <w:t>3</w:t>
            </w:r>
            <w:r>
              <w:rPr>
                <w:rFonts w:hint="default" w:ascii="Times New Roman" w:hAnsi="Times New Roman" w:cs="Times New Roman"/>
                <w:spacing w:val="4"/>
                <w:sz w:val="24"/>
                <w:szCs w:val="24"/>
                <w:lang w:eastAsia="zh-CN"/>
              </w:rPr>
              <w:t>/d（361.35m</w:t>
            </w:r>
            <w:r>
              <w:rPr>
                <w:rFonts w:hint="default" w:ascii="Times New Roman" w:hAnsi="Times New Roman" w:cs="Times New Roman"/>
                <w:spacing w:val="4"/>
                <w:sz w:val="24"/>
                <w:szCs w:val="24"/>
                <w:vertAlign w:val="superscript"/>
                <w:lang w:eastAsia="zh-CN"/>
              </w:rPr>
              <w:t>3</w:t>
            </w:r>
            <w:r>
              <w:rPr>
                <w:rFonts w:hint="default" w:ascii="Times New Roman" w:hAnsi="Times New Roman" w:cs="Times New Roman"/>
                <w:spacing w:val="4"/>
                <w:sz w:val="24"/>
                <w:szCs w:val="24"/>
                <w:lang w:eastAsia="zh-CN"/>
              </w:rPr>
              <w:t>/a）</w:t>
            </w:r>
            <w:r>
              <w:rPr>
                <w:rFonts w:hint="eastAsia" w:ascii="Times New Roman" w:hAnsi="Times New Roman" w:cs="Times New Roman"/>
                <w:spacing w:val="4"/>
                <w:sz w:val="24"/>
                <w:szCs w:val="24"/>
                <w:lang w:eastAsia="zh-CN"/>
              </w:rPr>
              <w:t>，</w:t>
            </w:r>
            <w:r>
              <w:rPr>
                <w:rFonts w:hint="default" w:ascii="Times New Roman" w:hAnsi="Times New Roman" w:cs="Times New Roman"/>
                <w:color w:val="auto"/>
                <w:sz w:val="24"/>
                <w:u w:val="none"/>
                <w:lang w:val="en-US" w:eastAsia="zh-CN"/>
              </w:rPr>
              <w:t>洗车废水</w:t>
            </w:r>
            <w:r>
              <w:rPr>
                <w:rFonts w:hint="eastAsia" w:ascii="Times New Roman" w:hAnsi="Times New Roman" w:cs="Times New Roman"/>
                <w:color w:val="auto"/>
                <w:sz w:val="24"/>
                <w:u w:val="none"/>
                <w:lang w:val="en-US" w:eastAsia="zh-CN"/>
              </w:rPr>
              <w:t>按洗车用水的90%计，则洗车废水的产生量为0.89</w:t>
            </w:r>
            <w:r>
              <w:rPr>
                <w:rFonts w:hint="default" w:ascii="Times New Roman" w:hAnsi="Times New Roman" w:cs="Times New Roman"/>
                <w:spacing w:val="4"/>
                <w:sz w:val="24"/>
                <w:szCs w:val="24"/>
                <w:lang w:eastAsia="zh-CN"/>
              </w:rPr>
              <w:t>m</w:t>
            </w:r>
            <w:r>
              <w:rPr>
                <w:rFonts w:hint="default" w:ascii="Times New Roman" w:hAnsi="Times New Roman" w:cs="Times New Roman"/>
                <w:spacing w:val="4"/>
                <w:sz w:val="24"/>
                <w:szCs w:val="24"/>
                <w:vertAlign w:val="superscript"/>
                <w:lang w:val="en-US" w:eastAsia="zh-CN"/>
              </w:rPr>
              <w:t>3</w:t>
            </w:r>
            <w:r>
              <w:rPr>
                <w:rFonts w:hint="default" w:ascii="Times New Roman" w:hAnsi="Times New Roman" w:cs="Times New Roman"/>
                <w:spacing w:val="4"/>
                <w:sz w:val="24"/>
                <w:szCs w:val="24"/>
                <w:lang w:eastAsia="zh-CN"/>
              </w:rPr>
              <w:t>/d</w:t>
            </w:r>
            <w:r>
              <w:rPr>
                <w:rFonts w:hint="eastAsia" w:ascii="Times New Roman" w:hAnsi="Times New Roman" w:cs="Times New Roman"/>
                <w:color w:val="auto"/>
                <w:sz w:val="24"/>
                <w:u w:val="none"/>
                <w:lang w:val="en-US" w:eastAsia="zh-CN"/>
              </w:rPr>
              <w:t>（325.22</w:t>
            </w:r>
            <w:r>
              <w:rPr>
                <w:rFonts w:hint="default" w:ascii="Times New Roman" w:hAnsi="Times New Roman" w:cs="Times New Roman"/>
                <w:spacing w:val="4"/>
                <w:sz w:val="24"/>
                <w:szCs w:val="24"/>
                <w:lang w:eastAsia="zh-CN"/>
              </w:rPr>
              <w:t>m</w:t>
            </w:r>
            <w:r>
              <w:rPr>
                <w:rFonts w:hint="default" w:ascii="Times New Roman" w:hAnsi="Times New Roman" w:cs="Times New Roman"/>
                <w:spacing w:val="4"/>
                <w:sz w:val="24"/>
                <w:szCs w:val="24"/>
                <w:vertAlign w:val="superscript"/>
                <w:lang w:val="en-US" w:eastAsia="zh-CN"/>
              </w:rPr>
              <w:t>3</w:t>
            </w:r>
            <w:r>
              <w:rPr>
                <w:rFonts w:hint="default" w:ascii="Times New Roman" w:hAnsi="Times New Roman" w:cs="Times New Roman"/>
                <w:spacing w:val="4"/>
                <w:sz w:val="24"/>
                <w:szCs w:val="24"/>
                <w:lang w:eastAsia="zh-CN"/>
              </w:rPr>
              <w:t>/a</w:t>
            </w:r>
            <w:r>
              <w:rPr>
                <w:rFonts w:hint="eastAsia" w:ascii="Times New Roman" w:hAnsi="Times New Roman" w:cs="Times New Roman"/>
                <w:color w:val="auto"/>
                <w:sz w:val="24"/>
                <w:u w:val="none"/>
                <w:lang w:val="en-US" w:eastAsia="zh-CN"/>
              </w:rPr>
              <w:t>），</w:t>
            </w:r>
            <w:r>
              <w:rPr>
                <w:rFonts w:hint="eastAsia"/>
                <w:color w:val="auto"/>
                <w:sz w:val="24"/>
                <w:u w:val="none"/>
                <w:lang w:val="en-US" w:eastAsia="zh-CN"/>
              </w:rPr>
              <w:t>洗车</w:t>
            </w:r>
            <w:r>
              <w:rPr>
                <w:color w:val="auto"/>
                <w:sz w:val="24"/>
                <w:u w:val="none"/>
              </w:rPr>
              <w:t>废水经隔油沉淀池处理后，排入市政污水管网，</w:t>
            </w:r>
            <w:r>
              <w:rPr>
                <w:rFonts w:hint="default" w:ascii="Times New Roman" w:hAnsi="Times New Roman" w:cs="Times New Roman"/>
                <w:color w:val="auto"/>
                <w:sz w:val="24"/>
                <w:u w:val="none"/>
              </w:rPr>
              <w:t>排至</w:t>
            </w:r>
            <w:r>
              <w:rPr>
                <w:rFonts w:hint="eastAsia" w:ascii="Times New Roman" w:hAnsi="Times New Roman" w:cs="Times New Roman"/>
                <w:color w:val="auto"/>
                <w:sz w:val="24"/>
                <w:u w:val="none"/>
                <w:lang w:eastAsia="zh-CN"/>
              </w:rPr>
              <w:t>祁阳市城北污水处理厂</w:t>
            </w:r>
            <w:r>
              <w:rPr>
                <w:rFonts w:hint="default" w:ascii="Times New Roman" w:hAnsi="Times New Roman" w:cs="Times New Roman"/>
                <w:color w:val="auto"/>
                <w:sz w:val="24"/>
                <w:u w:val="none"/>
              </w:rPr>
              <w:t>处理达标后外排</w:t>
            </w:r>
            <w:r>
              <w:rPr>
                <w:rFonts w:hint="eastAsia" w:ascii="Times New Roman" w:hAnsi="Times New Roman" w:cs="Times New Roman"/>
                <w:color w:val="auto"/>
                <w:sz w:val="24"/>
                <w:u w:val="none"/>
                <w:lang w:eastAsia="zh-CN"/>
              </w:rPr>
              <w:t>。</w:t>
            </w:r>
          </w:p>
          <w:p w14:paraId="790E8C6C">
            <w:pPr>
              <w:pStyle w:val="202"/>
              <w:keepNext w:val="0"/>
              <w:keepLines w:val="0"/>
              <w:pageBreakBefore w:val="0"/>
              <w:kinsoku/>
              <w:overflowPunct/>
              <w:autoSpaceDE/>
              <w:autoSpaceDN/>
              <w:bidi w:val="0"/>
              <w:adjustRightInd w:val="0"/>
              <w:snapToGrid w:val="0"/>
              <w:textAlignment w:val="auto"/>
              <w:rPr>
                <w:rFonts w:ascii="Times New Roman" w:hAnsi="Times New Roman"/>
                <w:color w:val="auto"/>
                <w:sz w:val="24"/>
                <w:szCs w:val="32"/>
                <w:u w:val="none"/>
              </w:rPr>
            </w:pPr>
            <w:r>
              <w:rPr>
                <w:rFonts w:hint="eastAsia"/>
                <w:color w:val="auto"/>
                <w:sz w:val="24"/>
                <w:u w:val="none"/>
                <w:lang w:val="en-US" w:eastAsia="zh-CN"/>
              </w:rPr>
              <w:t>⑤</w:t>
            </w:r>
            <w:r>
              <w:rPr>
                <w:color w:val="auto"/>
                <w:sz w:val="24"/>
                <w:u w:val="none"/>
              </w:rPr>
              <w:t>初期雨水：即降雨形成地面径</w:t>
            </w:r>
            <w:r>
              <w:rPr>
                <w:rFonts w:hint="default" w:ascii="Times New Roman" w:hAnsi="Times New Roman" w:cs="Times New Roman"/>
                <w:color w:val="auto"/>
                <w:sz w:val="24"/>
                <w:u w:val="none"/>
              </w:rPr>
              <w:t>流后10~15min的污染较大</w:t>
            </w:r>
            <w:r>
              <w:rPr>
                <w:color w:val="auto"/>
                <w:sz w:val="24"/>
                <w:u w:val="none"/>
              </w:rPr>
              <w:t>的雨水量。</w:t>
            </w:r>
            <w:r>
              <w:rPr>
                <w:rFonts w:ascii="Times New Roman" w:hAnsi="Times New Roman"/>
                <w:color w:val="auto"/>
                <w:sz w:val="24"/>
                <w:szCs w:val="32"/>
                <w:u w:val="none"/>
              </w:rPr>
              <w:t>降雨初期地面水与气象条件密切相关，具有间歇性、时间间隔的变化大等特点。本环评根据</w:t>
            </w:r>
            <w:r>
              <w:rPr>
                <w:rFonts w:hint="eastAsia" w:ascii="Times New Roman" w:hAnsi="Times New Roman"/>
                <w:color w:val="auto"/>
                <w:sz w:val="24"/>
                <w:szCs w:val="32"/>
                <w:u w:val="none"/>
                <w:lang w:val="en-US" w:eastAsia="zh-CN"/>
              </w:rPr>
              <w:t>祁阳市</w:t>
            </w:r>
            <w:r>
              <w:rPr>
                <w:rFonts w:ascii="Times New Roman" w:hAnsi="Times New Roman"/>
                <w:color w:val="auto"/>
                <w:sz w:val="24"/>
                <w:szCs w:val="32"/>
                <w:u w:val="none"/>
              </w:rPr>
              <w:t>最新暴雨强度公式计算初期雨水量。</w:t>
            </w:r>
          </w:p>
          <w:p w14:paraId="76BFB002">
            <w:pPr>
              <w:pStyle w:val="202"/>
              <w:ind w:firstLine="0" w:firstLineChars="0"/>
              <w:jc w:val="center"/>
              <w:rPr>
                <w:rFonts w:ascii="Times New Roman" w:hAnsi="Times New Roman"/>
                <w:color w:val="auto"/>
                <w:sz w:val="24"/>
                <w:szCs w:val="32"/>
                <w:u w:val="none"/>
              </w:rPr>
            </w:pPr>
            <w:r>
              <w:rPr>
                <w:rFonts w:hint="eastAsia" w:ascii="Times New Roman" w:hAnsi="Times New Roman"/>
                <w:color w:val="auto"/>
                <w:sz w:val="24"/>
                <w:szCs w:val="32"/>
                <w:u w:val="none"/>
              </w:rPr>
              <w:t>q=892（1+0.67lgP）/t0.57</w:t>
            </w:r>
          </w:p>
          <w:p w14:paraId="57239E98">
            <w:pPr>
              <w:pStyle w:val="202"/>
              <w:ind w:firstLine="0" w:firstLineChars="0"/>
              <w:rPr>
                <w:rFonts w:ascii="Times New Roman" w:hAnsi="Times New Roman"/>
                <w:color w:val="auto"/>
                <w:sz w:val="24"/>
                <w:szCs w:val="32"/>
                <w:u w:val="none"/>
              </w:rPr>
            </w:pPr>
            <w:r>
              <w:rPr>
                <w:rFonts w:ascii="Times New Roman" w:hAnsi="Times New Roman"/>
                <w:color w:val="auto"/>
                <w:kern w:val="0"/>
                <w:sz w:val="24"/>
                <w:szCs w:val="32"/>
                <w:u w:val="none"/>
              </w:rPr>
              <w:t>式中：</w:t>
            </w:r>
            <w:r>
              <w:rPr>
                <w:rFonts w:ascii="Times New Roman" w:hAnsi="Times New Roman"/>
                <w:color w:val="auto"/>
                <w:sz w:val="24"/>
                <w:szCs w:val="32"/>
                <w:u w:val="none"/>
              </w:rPr>
              <w:t>q——暴雨强度（L/s•</w:t>
            </w:r>
            <w:r>
              <w:rPr>
                <w:rFonts w:hint="eastAsia" w:ascii="Times New Roman" w:hAnsi="Times New Roman"/>
                <w:color w:val="auto"/>
                <w:sz w:val="24"/>
                <w:szCs w:val="32"/>
                <w:u w:val="none"/>
                <w:lang w:val="en-US" w:eastAsia="zh-CN"/>
              </w:rPr>
              <w:t>h</w:t>
            </w:r>
            <w:r>
              <w:rPr>
                <w:rFonts w:ascii="Times New Roman" w:hAnsi="Times New Roman"/>
                <w:color w:val="auto"/>
                <w:sz w:val="24"/>
                <w:szCs w:val="32"/>
                <w:u w:val="none"/>
              </w:rPr>
              <w:t>m</w:t>
            </w:r>
            <w:r>
              <w:rPr>
                <w:rFonts w:ascii="Times New Roman" w:hAnsi="Times New Roman"/>
                <w:color w:val="auto"/>
                <w:sz w:val="24"/>
                <w:szCs w:val="32"/>
                <w:u w:val="none"/>
                <w:vertAlign w:val="superscript"/>
              </w:rPr>
              <w:t>2</w:t>
            </w:r>
            <w:r>
              <w:rPr>
                <w:rFonts w:ascii="Times New Roman" w:hAnsi="Times New Roman"/>
                <w:color w:val="auto"/>
                <w:sz w:val="24"/>
                <w:szCs w:val="32"/>
                <w:u w:val="none"/>
              </w:rPr>
              <w:t>）；</w:t>
            </w:r>
          </w:p>
          <w:p w14:paraId="44B4D931">
            <w:pPr>
              <w:pStyle w:val="202"/>
              <w:ind w:firstLine="741" w:firstLineChars="309"/>
              <w:rPr>
                <w:rFonts w:ascii="Times New Roman" w:hAnsi="Times New Roman"/>
                <w:color w:val="auto"/>
                <w:sz w:val="24"/>
                <w:szCs w:val="32"/>
                <w:u w:val="none"/>
              </w:rPr>
            </w:pPr>
            <w:r>
              <w:rPr>
                <w:rFonts w:ascii="Times New Roman" w:hAnsi="Times New Roman"/>
                <w:color w:val="auto"/>
                <w:sz w:val="24"/>
                <w:szCs w:val="32"/>
                <w:u w:val="none"/>
              </w:rPr>
              <w:t>P——重现期，本项目取1年；</w:t>
            </w:r>
          </w:p>
          <w:p w14:paraId="67744695">
            <w:pPr>
              <w:pStyle w:val="202"/>
              <w:ind w:firstLine="741" w:firstLineChars="309"/>
              <w:rPr>
                <w:rFonts w:ascii="Times New Roman" w:hAnsi="Times New Roman"/>
                <w:color w:val="auto"/>
                <w:sz w:val="24"/>
                <w:szCs w:val="32"/>
                <w:u w:val="none"/>
              </w:rPr>
            </w:pPr>
            <w:r>
              <w:rPr>
                <w:rFonts w:ascii="Times New Roman" w:hAnsi="Times New Roman"/>
                <w:color w:val="auto"/>
                <w:sz w:val="24"/>
                <w:szCs w:val="32"/>
                <w:u w:val="none"/>
              </w:rPr>
              <w:t>t——降雨历时（min），本项目按1</w:t>
            </w:r>
            <w:r>
              <w:rPr>
                <w:rFonts w:hint="eastAsia" w:ascii="Times New Roman" w:hAnsi="Times New Roman"/>
                <w:color w:val="auto"/>
                <w:sz w:val="24"/>
                <w:szCs w:val="32"/>
                <w:u w:val="none"/>
                <w:lang w:val="en-US" w:eastAsia="zh-CN"/>
              </w:rPr>
              <w:t>5</w:t>
            </w:r>
            <w:r>
              <w:rPr>
                <w:rFonts w:ascii="Times New Roman" w:hAnsi="Times New Roman"/>
                <w:color w:val="auto"/>
                <w:sz w:val="24"/>
                <w:szCs w:val="32"/>
                <w:u w:val="none"/>
              </w:rPr>
              <w:t>min计算。</w:t>
            </w:r>
          </w:p>
          <w:p w14:paraId="4BB6FFD8">
            <w:pPr>
              <w:pStyle w:val="202"/>
              <w:ind w:firstLine="741" w:firstLineChars="309"/>
              <w:rPr>
                <w:rFonts w:ascii="Times New Roman" w:hAnsi="Times New Roman"/>
                <w:color w:val="auto"/>
                <w:sz w:val="24"/>
                <w:szCs w:val="32"/>
                <w:u w:val="none"/>
              </w:rPr>
            </w:pPr>
            <w:r>
              <w:rPr>
                <w:rFonts w:ascii="Times New Roman" w:hAnsi="Times New Roman"/>
                <w:color w:val="auto"/>
                <w:sz w:val="24"/>
                <w:szCs w:val="32"/>
                <w:u w:val="none"/>
              </w:rPr>
              <w:t>Q——雨量（L/s）；</w:t>
            </w:r>
          </w:p>
          <w:p w14:paraId="3C4907AE">
            <w:pPr>
              <w:pStyle w:val="202"/>
              <w:ind w:firstLine="684" w:firstLineChars="285"/>
              <w:rPr>
                <w:rFonts w:ascii="Times New Roman" w:hAnsi="Times New Roman"/>
                <w:color w:val="auto"/>
                <w:sz w:val="24"/>
                <w:szCs w:val="32"/>
                <w:u w:val="none"/>
              </w:rPr>
            </w:pPr>
            <w:r>
              <w:rPr>
                <w:rFonts w:hint="eastAsia" w:ascii="Times New Roman" w:hAnsi="Times New Roman"/>
                <w:color w:val="auto"/>
                <w:sz w:val="24"/>
                <w:szCs w:val="32"/>
                <w:u w:val="none"/>
              </w:rPr>
              <w:t>经计算，本项目所在区域暴雨强度为190.54L/s·hm</w:t>
            </w:r>
            <w:r>
              <w:rPr>
                <w:rFonts w:hint="eastAsia" w:ascii="Times New Roman" w:hAnsi="Times New Roman"/>
                <w:color w:val="auto"/>
                <w:sz w:val="24"/>
                <w:szCs w:val="32"/>
                <w:u w:val="none"/>
                <w:vertAlign w:val="superscript"/>
              </w:rPr>
              <w:t>2</w:t>
            </w:r>
            <w:r>
              <w:rPr>
                <w:rFonts w:hint="eastAsia" w:ascii="Times New Roman" w:hAnsi="Times New Roman"/>
                <w:color w:val="auto"/>
                <w:sz w:val="24"/>
                <w:szCs w:val="32"/>
                <w:u w:val="none"/>
              </w:rPr>
              <w:t>。</w:t>
            </w:r>
          </w:p>
          <w:p w14:paraId="374B4F24">
            <w:pPr>
              <w:pStyle w:val="202"/>
              <w:ind w:firstLine="684" w:firstLineChars="285"/>
              <w:rPr>
                <w:rFonts w:ascii="Times New Roman" w:hAnsi="Times New Roman"/>
                <w:color w:val="auto"/>
                <w:sz w:val="24"/>
                <w:szCs w:val="32"/>
                <w:u w:val="none"/>
              </w:rPr>
            </w:pPr>
            <w:r>
              <w:rPr>
                <w:rFonts w:hint="eastAsia" w:ascii="Times New Roman" w:hAnsi="Times New Roman"/>
                <w:color w:val="auto"/>
                <w:sz w:val="24"/>
                <w:szCs w:val="32"/>
                <w:u w:val="none"/>
              </w:rPr>
              <w:t>根据《室外排水设计规范》（GB50014-2021）雨水设计流量计算公式：</w:t>
            </w:r>
          </w:p>
          <w:p w14:paraId="736F13F8">
            <w:pPr>
              <w:adjustRightInd w:val="0"/>
              <w:snapToGrid w:val="0"/>
              <w:spacing w:line="360" w:lineRule="auto"/>
              <w:jc w:val="center"/>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none" w:color="auto"/>
              </w:rPr>
              <w:object>
                <v:shape id="_x0000_i1025" o:spt="75" type="#_x0000_t75" style="height:20pt;width:60.95pt;" o:ole="t" filled="f" o:preferrelative="t" stroked="f" coordsize="21600,21600">
                  <v:path/>
                  <v:fill on="f" alignshape="1" focussize="0,0"/>
                  <v:stroke on="f"/>
                  <v:imagedata r:id="rId10" o:title=""/>
                  <o:lock v:ext="edit" aspectratio="t"/>
                  <w10:wrap type="none"/>
                  <w10:anchorlock/>
                </v:shape>
                <o:OLEObject Type="Embed" ProgID="Equation.3" ShapeID="_x0000_i1025" DrawAspect="Content" ObjectID="_1468075725" r:id="rId9">
                  <o:LockedField>false</o:LockedField>
                </o:OLEObject>
              </w:object>
            </w:r>
          </w:p>
          <w:p w14:paraId="4BE981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其中：Qs——雨水设计流量（L/s）；</w:t>
            </w:r>
          </w:p>
          <w:p w14:paraId="2E63C1E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q——暴雨强度（L/s·hm</w:t>
            </w:r>
            <w:r>
              <w:rPr>
                <w:rFonts w:hint="default" w:ascii="Times New Roman" w:hAnsi="Times New Roman" w:eastAsia="宋体" w:cs="Times New Roman"/>
                <w:color w:val="auto"/>
                <w:kern w:val="0"/>
                <w:sz w:val="24"/>
                <w:szCs w:val="24"/>
                <w:u w:val="none" w:color="auto"/>
                <w:vertAlign w:val="superscript"/>
              </w:rPr>
              <w:t>2</w:t>
            </w:r>
            <w:r>
              <w:rPr>
                <w:rFonts w:hint="default" w:ascii="Times New Roman" w:hAnsi="Times New Roman" w:eastAsia="宋体" w:cs="Times New Roman"/>
                <w:color w:val="auto"/>
                <w:kern w:val="0"/>
                <w:sz w:val="24"/>
                <w:szCs w:val="24"/>
                <w:u w:val="none" w:color="auto"/>
              </w:rPr>
              <w:t>）；</w:t>
            </w:r>
          </w:p>
          <w:p w14:paraId="4A01B8DF">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ψ——径流系数（各种屋面、混凝土和沥青路面ψ=0.90；大块石铺砌路面、沥青表面处理的碎石路面ψ=0.60；级配碎石路面ψ=0.45；干砌砖石和碎石路面ψ=0.40；非铺砌土地面ψ=0.30；绿地和草地ψ=0.1），本项目地面进行硬化，硬化采用混凝土浇筑成混凝土路面，因此，项目径流系数ψ可取0.90）；</w:t>
            </w:r>
          </w:p>
          <w:p w14:paraId="4ADABE28">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kern w:val="0"/>
                <w:sz w:val="24"/>
                <w:szCs w:val="24"/>
                <w:u w:val="none" w:color="auto"/>
              </w:rPr>
            </w:pPr>
            <w:r>
              <w:rPr>
                <w:rFonts w:hint="default" w:ascii="Times New Roman" w:hAnsi="Times New Roman" w:eastAsia="宋体" w:cs="Times New Roman"/>
                <w:color w:val="auto"/>
                <w:kern w:val="0"/>
                <w:sz w:val="24"/>
                <w:szCs w:val="24"/>
                <w:u w:val="none" w:color="auto"/>
              </w:rPr>
              <w:t>F——汇水面积，面积约</w:t>
            </w:r>
            <w:r>
              <w:rPr>
                <w:rFonts w:hint="eastAsia" w:ascii="Times New Roman" w:hAnsi="Times New Roman" w:eastAsia="宋体" w:cs="Times New Roman"/>
                <w:color w:val="auto"/>
                <w:kern w:val="0"/>
                <w:sz w:val="24"/>
                <w:szCs w:val="24"/>
                <w:u w:val="none" w:color="auto"/>
                <w:lang w:val="en-US" w:eastAsia="zh-CN"/>
              </w:rPr>
              <w:t>2000.23</w:t>
            </w:r>
            <w:r>
              <w:rPr>
                <w:rFonts w:hint="default" w:ascii="Times New Roman" w:hAnsi="Times New Roman" w:eastAsia="宋体" w:cs="Times New Roman"/>
                <w:color w:val="auto"/>
                <w:kern w:val="0"/>
                <w:sz w:val="24"/>
                <w:szCs w:val="24"/>
                <w:u w:val="none" w:color="auto"/>
              </w:rPr>
              <w:t>m</w:t>
            </w:r>
            <w:r>
              <w:rPr>
                <w:rFonts w:hint="default" w:ascii="Times New Roman" w:hAnsi="Times New Roman" w:eastAsia="宋体" w:cs="Times New Roman"/>
                <w:color w:val="auto"/>
                <w:kern w:val="0"/>
                <w:sz w:val="24"/>
                <w:szCs w:val="24"/>
                <w:u w:val="none" w:color="auto"/>
                <w:vertAlign w:val="superscript"/>
              </w:rPr>
              <w:t>2</w:t>
            </w:r>
            <w:r>
              <w:rPr>
                <w:rFonts w:hint="default" w:ascii="Times New Roman" w:hAnsi="Times New Roman" w:eastAsia="宋体" w:cs="Times New Roman"/>
                <w:color w:val="auto"/>
                <w:kern w:val="0"/>
                <w:sz w:val="24"/>
                <w:szCs w:val="24"/>
                <w:u w:val="none" w:color="auto"/>
              </w:rPr>
              <w:t>（</w:t>
            </w:r>
            <w:r>
              <w:rPr>
                <w:rFonts w:hint="eastAsia" w:ascii="Times New Roman" w:hAnsi="Times New Roman" w:eastAsia="宋体" w:cs="Times New Roman"/>
                <w:color w:val="auto"/>
                <w:kern w:val="0"/>
                <w:sz w:val="24"/>
                <w:szCs w:val="24"/>
                <w:u w:val="none" w:color="auto"/>
                <w:lang w:val="en-US" w:eastAsia="zh-CN"/>
              </w:rPr>
              <w:t>整个厂区面积</w:t>
            </w:r>
            <w:r>
              <w:rPr>
                <w:rFonts w:hint="default" w:ascii="Times New Roman" w:hAnsi="Times New Roman" w:eastAsia="宋体" w:cs="Times New Roman"/>
                <w:color w:val="auto"/>
                <w:kern w:val="0"/>
                <w:sz w:val="24"/>
                <w:szCs w:val="24"/>
                <w:u w:val="none" w:color="auto"/>
              </w:rPr>
              <w:t>）</w:t>
            </w:r>
            <w:r>
              <w:rPr>
                <w:rFonts w:hint="eastAsia" w:ascii="Times New Roman" w:hAnsi="Times New Roman" w:eastAsia="宋体" w:cs="Times New Roman"/>
                <w:color w:val="auto"/>
                <w:kern w:val="0"/>
                <w:sz w:val="24"/>
                <w:szCs w:val="24"/>
                <w:u w:val="none" w:color="auto"/>
                <w:lang w:val="en-US" w:eastAsia="zh-CN"/>
              </w:rPr>
              <w:t>=0.200023hm</w:t>
            </w:r>
            <w:r>
              <w:rPr>
                <w:rFonts w:hint="eastAsia" w:ascii="Times New Roman" w:hAnsi="Times New Roman" w:eastAsia="宋体" w:cs="Times New Roman"/>
                <w:color w:val="auto"/>
                <w:kern w:val="0"/>
                <w:sz w:val="24"/>
                <w:szCs w:val="24"/>
                <w:u w:val="none" w:color="auto"/>
                <w:vertAlign w:val="superscript"/>
                <w:lang w:val="en-US" w:eastAsia="zh-CN"/>
              </w:rPr>
              <w:t>2</w:t>
            </w:r>
            <w:r>
              <w:rPr>
                <w:rFonts w:hint="default" w:ascii="Times New Roman" w:hAnsi="Times New Roman" w:eastAsia="宋体" w:cs="Times New Roman"/>
                <w:color w:val="auto"/>
                <w:kern w:val="0"/>
                <w:sz w:val="24"/>
                <w:szCs w:val="24"/>
                <w:u w:val="none" w:color="auto"/>
              </w:rPr>
              <w:t>。</w:t>
            </w:r>
          </w:p>
          <w:p w14:paraId="492F71AC">
            <w:pPr>
              <w:spacing w:line="360" w:lineRule="auto"/>
              <w:ind w:firstLine="480" w:firstLineChars="200"/>
              <w:rPr>
                <w:color w:val="auto"/>
                <w:sz w:val="24"/>
                <w:u w:val="none"/>
              </w:rPr>
            </w:pPr>
            <w:r>
              <w:rPr>
                <w:rFonts w:hint="default" w:ascii="Times New Roman" w:hAnsi="Times New Roman" w:cs="Times New Roman"/>
                <w:color w:val="auto"/>
                <w:kern w:val="0"/>
                <w:sz w:val="24"/>
                <w:szCs w:val="24"/>
                <w:u w:val="none" w:color="auto"/>
              </w:rPr>
              <w:t>经计算，</w:t>
            </w:r>
            <w:r>
              <w:rPr>
                <w:rFonts w:hint="eastAsia" w:ascii="Times New Roman" w:hAnsi="Times New Roman" w:cs="Times New Roman"/>
                <w:color w:val="auto"/>
                <w:kern w:val="0"/>
                <w:sz w:val="24"/>
                <w:szCs w:val="24"/>
                <w:u w:val="none" w:color="auto"/>
                <w:lang w:val="en-US" w:eastAsia="zh-CN"/>
              </w:rPr>
              <w:t>雨水设计流量为34.3L/s，</w:t>
            </w:r>
            <w:r>
              <w:rPr>
                <w:rFonts w:hint="default" w:ascii="Times New Roman" w:hAnsi="Times New Roman" w:cs="Times New Roman"/>
                <w:color w:val="auto"/>
                <w:kern w:val="0"/>
                <w:sz w:val="24"/>
                <w:szCs w:val="24"/>
                <w:u w:val="none" w:color="auto"/>
              </w:rPr>
              <w:t>场区内每次需要收集的前15分钟的初期雨水水量为</w:t>
            </w:r>
            <w:r>
              <w:rPr>
                <w:rFonts w:hint="eastAsia" w:ascii="Times New Roman" w:hAnsi="Times New Roman" w:cs="Times New Roman"/>
                <w:color w:val="auto"/>
                <w:kern w:val="0"/>
                <w:sz w:val="24"/>
                <w:szCs w:val="24"/>
                <w:u w:val="none" w:color="auto"/>
                <w:lang w:val="en-US" w:eastAsia="zh-CN"/>
              </w:rPr>
              <w:t>30.87</w:t>
            </w:r>
            <w:r>
              <w:rPr>
                <w:rFonts w:hint="default" w:ascii="Times New Roman" w:hAnsi="Times New Roman" w:cs="Times New Roman"/>
                <w:color w:val="auto"/>
                <w:kern w:val="0"/>
                <w:sz w:val="24"/>
                <w:szCs w:val="24"/>
                <w:u w:val="none" w:color="auto"/>
              </w:rPr>
              <w:t>m</w:t>
            </w:r>
            <w:r>
              <w:rPr>
                <w:rFonts w:hint="default" w:ascii="Times New Roman" w:hAnsi="Times New Roman" w:cs="Times New Roman"/>
                <w:color w:val="auto"/>
                <w:kern w:val="0"/>
                <w:sz w:val="24"/>
                <w:szCs w:val="24"/>
                <w:u w:val="none" w:color="auto"/>
                <w:vertAlign w:val="superscript"/>
              </w:rPr>
              <w:t>3</w:t>
            </w:r>
            <w:r>
              <w:rPr>
                <w:rFonts w:hint="eastAsia" w:cs="Times New Roman"/>
                <w:color w:val="auto"/>
                <w:kern w:val="0"/>
                <w:sz w:val="24"/>
                <w:szCs w:val="24"/>
                <w:u w:val="none" w:color="auto"/>
                <w:vertAlign w:val="baseline"/>
                <w:lang w:eastAsia="zh-CN"/>
              </w:rPr>
              <w:t>，</w:t>
            </w:r>
            <w:r>
              <w:rPr>
                <w:rFonts w:ascii="Times New Roman" w:hAnsi="Times New Roman"/>
                <w:sz w:val="24"/>
                <w:szCs w:val="32"/>
              </w:rPr>
              <w:t>项目所在地年大雨次数按12次核算，则初期雨水约</w:t>
            </w:r>
            <w:r>
              <w:rPr>
                <w:rFonts w:hint="eastAsia" w:ascii="Times New Roman" w:hAnsi="Times New Roman"/>
                <w:sz w:val="24"/>
                <w:szCs w:val="32"/>
                <w:lang w:val="en-US" w:eastAsia="zh-CN"/>
              </w:rPr>
              <w:t>370.44</w:t>
            </w:r>
            <w:r>
              <w:rPr>
                <w:rFonts w:ascii="Times New Roman" w:hAnsi="Times New Roman"/>
                <w:sz w:val="24"/>
                <w:szCs w:val="32"/>
              </w:rPr>
              <w:t>m</w:t>
            </w:r>
            <w:r>
              <w:rPr>
                <w:rFonts w:ascii="Times New Roman" w:hAnsi="Times New Roman"/>
                <w:sz w:val="24"/>
                <w:szCs w:val="32"/>
                <w:vertAlign w:val="superscript"/>
              </w:rPr>
              <w:t>3</w:t>
            </w:r>
            <w:r>
              <w:rPr>
                <w:rFonts w:ascii="Times New Roman" w:hAnsi="Times New Roman"/>
                <w:sz w:val="24"/>
                <w:szCs w:val="32"/>
              </w:rPr>
              <w:t>/a，</w:t>
            </w:r>
            <w:r>
              <w:rPr>
                <w:color w:val="auto"/>
                <w:sz w:val="24"/>
                <w:u w:val="none" w:color="auto"/>
              </w:rPr>
              <w:t>项</w:t>
            </w:r>
            <w:r>
              <w:rPr>
                <w:color w:val="auto"/>
                <w:sz w:val="24"/>
                <w:u w:val="none"/>
              </w:rPr>
              <w:t>目厂内地面拟全部硬化，卸油区四周拟建设雨水收集沟，初期雨水经收集进入隔油沉淀池处理后，排入市政污水管网，排至</w:t>
            </w:r>
            <w:r>
              <w:rPr>
                <w:rFonts w:hint="eastAsia"/>
                <w:color w:val="auto"/>
                <w:sz w:val="24"/>
                <w:u w:val="none"/>
                <w:lang w:eastAsia="zh-CN"/>
              </w:rPr>
              <w:t>祁阳市城北污水处理厂</w:t>
            </w:r>
            <w:r>
              <w:rPr>
                <w:color w:val="auto"/>
                <w:sz w:val="24"/>
                <w:u w:val="none"/>
              </w:rPr>
              <w:t>处理达标后外排，其他区域雨水经雨水沟收集后排入市政雨水管道。</w:t>
            </w:r>
          </w:p>
          <w:p w14:paraId="57B1B96D">
            <w:pPr>
              <w:snapToGrid w:val="0"/>
              <w:spacing w:line="360" w:lineRule="auto"/>
              <w:ind w:firstLine="480" w:firstLineChars="200"/>
              <w:rPr>
                <w:color w:val="auto"/>
                <w:sz w:val="24"/>
                <w:u w:val="none"/>
              </w:rPr>
            </w:pPr>
            <w:r>
              <w:rPr>
                <w:color w:val="auto"/>
                <w:sz w:val="24"/>
                <w:u w:val="none"/>
              </w:rPr>
              <w:t>项目用水量计算表见表2-</w:t>
            </w:r>
            <w:r>
              <w:rPr>
                <w:rFonts w:hint="eastAsia"/>
                <w:color w:val="auto"/>
                <w:sz w:val="24"/>
                <w:u w:val="none"/>
                <w:lang w:val="en-US" w:eastAsia="zh-CN"/>
              </w:rPr>
              <w:t>6</w:t>
            </w:r>
            <w:r>
              <w:rPr>
                <w:color w:val="auto"/>
                <w:sz w:val="24"/>
                <w:u w:val="none"/>
              </w:rPr>
              <w:t>，水平衡图见图2-1。</w:t>
            </w:r>
          </w:p>
          <w:p w14:paraId="355AF97F">
            <w:pPr>
              <w:jc w:val="center"/>
              <w:rPr>
                <w:b/>
                <w:bCs/>
                <w:color w:val="auto"/>
                <w:sz w:val="24"/>
                <w:szCs w:val="24"/>
                <w:u w:val="single"/>
              </w:rPr>
            </w:pPr>
            <w:r>
              <w:rPr>
                <w:b/>
                <w:bCs/>
                <w:color w:val="auto"/>
                <w:sz w:val="24"/>
                <w:szCs w:val="24"/>
                <w:u w:val="single"/>
              </w:rPr>
              <w:t>表2-</w:t>
            </w:r>
            <w:r>
              <w:rPr>
                <w:rFonts w:hint="eastAsia"/>
                <w:b/>
                <w:bCs/>
                <w:color w:val="auto"/>
                <w:sz w:val="24"/>
                <w:szCs w:val="24"/>
                <w:u w:val="single"/>
                <w:lang w:val="en-US" w:eastAsia="zh-CN"/>
              </w:rPr>
              <w:t>6</w:t>
            </w:r>
            <w:r>
              <w:rPr>
                <w:b/>
                <w:bCs/>
                <w:color w:val="auto"/>
                <w:sz w:val="24"/>
                <w:szCs w:val="24"/>
                <w:u w:val="single"/>
              </w:rPr>
              <w:t xml:space="preserve"> 项目给排水量估算一览表</w:t>
            </w:r>
          </w:p>
          <w:tbl>
            <w:tblPr>
              <w:tblStyle w:val="51"/>
              <w:tblW w:w="4995" w:type="pct"/>
              <w:tblInd w:w="-1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863"/>
              <w:gridCol w:w="1068"/>
              <w:gridCol w:w="1126"/>
              <w:gridCol w:w="1026"/>
              <w:gridCol w:w="950"/>
              <w:gridCol w:w="1044"/>
              <w:gridCol w:w="965"/>
              <w:gridCol w:w="1332"/>
            </w:tblGrid>
            <w:tr w14:paraId="57531F4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bottom w:val="single" w:color="auto" w:sz="8" w:space="0"/>
                    <w:right w:val="single" w:color="auto" w:sz="8" w:space="0"/>
                  </w:tcBorders>
                  <w:shd w:val="clear" w:color="auto" w:fill="auto"/>
                  <w:vAlign w:val="center"/>
                </w:tcPr>
                <w:p w14:paraId="1A533016">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序号</w:t>
                  </w:r>
                </w:p>
              </w:tc>
              <w:tc>
                <w:tcPr>
                  <w:tcW w:w="637" w:type="pct"/>
                  <w:tcBorders>
                    <w:left w:val="nil"/>
                    <w:bottom w:val="single" w:color="auto" w:sz="8" w:space="0"/>
                    <w:right w:val="single" w:color="auto" w:sz="8" w:space="0"/>
                  </w:tcBorders>
                  <w:shd w:val="clear" w:color="auto" w:fill="auto"/>
                  <w:vAlign w:val="center"/>
                </w:tcPr>
                <w:p w14:paraId="7BB883E3">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用水项目</w:t>
                  </w:r>
                </w:p>
              </w:tc>
              <w:tc>
                <w:tcPr>
                  <w:tcW w:w="672" w:type="pct"/>
                  <w:tcBorders>
                    <w:left w:val="nil"/>
                    <w:bottom w:val="single" w:color="auto" w:sz="8" w:space="0"/>
                    <w:right w:val="single" w:color="auto" w:sz="8" w:space="0"/>
                  </w:tcBorders>
                  <w:shd w:val="clear" w:color="auto" w:fill="auto"/>
                  <w:vAlign w:val="center"/>
                </w:tcPr>
                <w:p w14:paraId="0CF79FCE">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用水定额</w:t>
                  </w:r>
                </w:p>
              </w:tc>
              <w:tc>
                <w:tcPr>
                  <w:tcW w:w="612" w:type="pct"/>
                  <w:tcBorders>
                    <w:left w:val="nil"/>
                    <w:bottom w:val="single" w:color="auto" w:sz="8" w:space="0"/>
                    <w:right w:val="single" w:color="auto" w:sz="8" w:space="0"/>
                  </w:tcBorders>
                  <w:shd w:val="clear" w:color="auto" w:fill="auto"/>
                  <w:vAlign w:val="center"/>
                </w:tcPr>
                <w:p w14:paraId="51C040BA">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用水规模</w:t>
                  </w:r>
                </w:p>
              </w:tc>
              <w:tc>
                <w:tcPr>
                  <w:tcW w:w="567" w:type="pct"/>
                  <w:tcBorders>
                    <w:left w:val="nil"/>
                    <w:bottom w:val="single" w:color="auto" w:sz="8" w:space="0"/>
                    <w:right w:val="single" w:color="auto" w:sz="8" w:space="0"/>
                  </w:tcBorders>
                  <w:shd w:val="clear" w:color="auto" w:fill="auto"/>
                  <w:vAlign w:val="center"/>
                </w:tcPr>
                <w:p w14:paraId="376093F9">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年频率</w:t>
                  </w:r>
                </w:p>
              </w:tc>
              <w:tc>
                <w:tcPr>
                  <w:tcW w:w="623" w:type="pct"/>
                  <w:tcBorders>
                    <w:left w:val="nil"/>
                    <w:bottom w:val="single" w:color="auto" w:sz="8" w:space="0"/>
                    <w:right w:val="single" w:color="auto" w:sz="8" w:space="0"/>
                  </w:tcBorders>
                  <w:shd w:val="clear" w:color="auto" w:fill="auto"/>
                  <w:vAlign w:val="center"/>
                </w:tcPr>
                <w:p w14:paraId="6C051F63">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用水量（</w:t>
                  </w:r>
                  <w:r>
                    <w:rPr>
                      <w:b/>
                      <w:bCs/>
                      <w:color w:val="auto"/>
                      <w:kern w:val="0"/>
                      <w:sz w:val="21"/>
                      <w:szCs w:val="21"/>
                      <w:u w:val="single"/>
                    </w:rPr>
                    <w:t>m</w:t>
                  </w:r>
                  <w:r>
                    <w:rPr>
                      <w:b/>
                      <w:bCs/>
                      <w:color w:val="auto"/>
                      <w:kern w:val="0"/>
                      <w:sz w:val="21"/>
                      <w:szCs w:val="21"/>
                      <w:u w:val="single"/>
                      <w:vertAlign w:val="superscript"/>
                    </w:rPr>
                    <w:t>3</w:t>
                  </w:r>
                  <w:r>
                    <w:rPr>
                      <w:b/>
                      <w:bCs/>
                      <w:color w:val="auto"/>
                      <w:kern w:val="0"/>
                      <w:sz w:val="21"/>
                      <w:szCs w:val="21"/>
                      <w:u w:val="single"/>
                    </w:rPr>
                    <w:t>/a</w:t>
                  </w:r>
                  <w:r>
                    <w:rPr>
                      <w:rFonts w:hint="eastAsia" w:ascii="宋体" w:hAnsi="宋体" w:cs="宋体"/>
                      <w:b/>
                      <w:bCs/>
                      <w:color w:val="auto"/>
                      <w:kern w:val="0"/>
                      <w:sz w:val="21"/>
                      <w:szCs w:val="21"/>
                      <w:u w:val="single"/>
                    </w:rPr>
                    <w:t>）</w:t>
                  </w:r>
                </w:p>
              </w:tc>
              <w:tc>
                <w:tcPr>
                  <w:tcW w:w="576" w:type="pct"/>
                  <w:tcBorders>
                    <w:left w:val="nil"/>
                    <w:bottom w:val="single" w:color="auto" w:sz="8" w:space="0"/>
                    <w:right w:val="single" w:color="auto" w:sz="8" w:space="0"/>
                  </w:tcBorders>
                  <w:shd w:val="clear" w:color="auto" w:fill="auto"/>
                  <w:vAlign w:val="center"/>
                </w:tcPr>
                <w:p w14:paraId="10962FB5">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排污系数</w:t>
                  </w:r>
                </w:p>
              </w:tc>
              <w:tc>
                <w:tcPr>
                  <w:tcW w:w="794" w:type="pct"/>
                  <w:tcBorders>
                    <w:left w:val="nil"/>
                    <w:bottom w:val="single" w:color="auto" w:sz="8" w:space="0"/>
                  </w:tcBorders>
                  <w:shd w:val="clear" w:color="auto" w:fill="auto"/>
                  <w:vAlign w:val="center"/>
                </w:tcPr>
                <w:p w14:paraId="35408EE2">
                  <w:pPr>
                    <w:widowControl/>
                    <w:jc w:val="center"/>
                    <w:rPr>
                      <w:rFonts w:ascii="宋体" w:hAnsi="宋体" w:cs="宋体"/>
                      <w:b/>
                      <w:bCs/>
                      <w:color w:val="auto"/>
                      <w:kern w:val="0"/>
                      <w:sz w:val="21"/>
                      <w:szCs w:val="21"/>
                      <w:u w:val="single"/>
                    </w:rPr>
                  </w:pPr>
                  <w:r>
                    <w:rPr>
                      <w:rFonts w:hint="eastAsia" w:ascii="宋体" w:hAnsi="宋体" w:cs="宋体"/>
                      <w:b/>
                      <w:bCs/>
                      <w:color w:val="auto"/>
                      <w:kern w:val="0"/>
                      <w:sz w:val="21"/>
                      <w:szCs w:val="21"/>
                      <w:u w:val="single"/>
                    </w:rPr>
                    <w:t>排水量（</w:t>
                  </w:r>
                  <w:r>
                    <w:rPr>
                      <w:b/>
                      <w:bCs/>
                      <w:color w:val="auto"/>
                      <w:kern w:val="0"/>
                      <w:sz w:val="21"/>
                      <w:szCs w:val="21"/>
                      <w:u w:val="single"/>
                    </w:rPr>
                    <w:t>m</w:t>
                  </w:r>
                  <w:r>
                    <w:rPr>
                      <w:b/>
                      <w:bCs/>
                      <w:color w:val="auto"/>
                      <w:kern w:val="0"/>
                      <w:sz w:val="21"/>
                      <w:szCs w:val="21"/>
                      <w:u w:val="single"/>
                      <w:vertAlign w:val="superscript"/>
                    </w:rPr>
                    <w:t>3</w:t>
                  </w:r>
                  <w:r>
                    <w:rPr>
                      <w:b/>
                      <w:bCs/>
                      <w:color w:val="auto"/>
                      <w:kern w:val="0"/>
                      <w:sz w:val="21"/>
                      <w:szCs w:val="21"/>
                      <w:u w:val="single"/>
                    </w:rPr>
                    <w:t>/a</w:t>
                  </w:r>
                  <w:r>
                    <w:rPr>
                      <w:rFonts w:hint="eastAsia" w:ascii="宋体" w:hAnsi="宋体" w:cs="宋体"/>
                      <w:b/>
                      <w:bCs/>
                      <w:color w:val="auto"/>
                      <w:kern w:val="0"/>
                      <w:sz w:val="21"/>
                      <w:szCs w:val="21"/>
                      <w:u w:val="single"/>
                    </w:rPr>
                    <w:t>）</w:t>
                  </w:r>
                </w:p>
              </w:tc>
            </w:tr>
            <w:tr w14:paraId="3177C7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vMerge w:val="restart"/>
                  <w:tcBorders>
                    <w:top w:val="nil"/>
                    <w:bottom w:val="single" w:color="000000" w:sz="8" w:space="0"/>
                    <w:right w:val="single" w:color="auto" w:sz="8" w:space="0"/>
                  </w:tcBorders>
                  <w:shd w:val="clear" w:color="auto" w:fill="auto"/>
                  <w:vAlign w:val="center"/>
                </w:tcPr>
                <w:p w14:paraId="71DA3193">
                  <w:pPr>
                    <w:widowControl/>
                    <w:jc w:val="center"/>
                    <w:rPr>
                      <w:color w:val="auto"/>
                      <w:kern w:val="0"/>
                      <w:sz w:val="21"/>
                      <w:szCs w:val="21"/>
                      <w:u w:val="single"/>
                    </w:rPr>
                  </w:pPr>
                  <w:r>
                    <w:rPr>
                      <w:color w:val="auto"/>
                      <w:kern w:val="0"/>
                      <w:sz w:val="21"/>
                      <w:szCs w:val="21"/>
                      <w:u w:val="single"/>
                    </w:rPr>
                    <w:t>1</w:t>
                  </w:r>
                </w:p>
              </w:tc>
              <w:tc>
                <w:tcPr>
                  <w:tcW w:w="637" w:type="pct"/>
                  <w:vMerge w:val="restart"/>
                  <w:tcBorders>
                    <w:top w:val="nil"/>
                    <w:left w:val="single" w:color="auto" w:sz="8" w:space="0"/>
                    <w:bottom w:val="single" w:color="000000" w:sz="8" w:space="0"/>
                    <w:right w:val="single" w:color="auto" w:sz="8" w:space="0"/>
                  </w:tcBorders>
                  <w:shd w:val="clear" w:color="auto" w:fill="auto"/>
                  <w:vAlign w:val="center"/>
                </w:tcPr>
                <w:p w14:paraId="760CA238">
                  <w:pPr>
                    <w:widowControl/>
                    <w:jc w:val="center"/>
                    <w:rPr>
                      <w:rFonts w:ascii="宋体" w:hAnsi="宋体" w:cs="宋体"/>
                      <w:color w:val="auto"/>
                      <w:kern w:val="0"/>
                      <w:sz w:val="21"/>
                      <w:szCs w:val="21"/>
                      <w:u w:val="single"/>
                    </w:rPr>
                  </w:pPr>
                  <w:r>
                    <w:rPr>
                      <w:rFonts w:hint="eastAsia" w:ascii="宋体" w:hAnsi="宋体" w:cs="宋体"/>
                      <w:color w:val="auto"/>
                      <w:kern w:val="0"/>
                      <w:sz w:val="21"/>
                      <w:szCs w:val="21"/>
                      <w:u w:val="single"/>
                    </w:rPr>
                    <w:t>员工生活用水</w:t>
                  </w:r>
                </w:p>
              </w:tc>
              <w:tc>
                <w:tcPr>
                  <w:tcW w:w="672" w:type="pct"/>
                  <w:tcBorders>
                    <w:top w:val="nil"/>
                    <w:left w:val="nil"/>
                    <w:bottom w:val="single" w:color="auto" w:sz="8" w:space="0"/>
                    <w:right w:val="single" w:color="auto" w:sz="8" w:space="0"/>
                  </w:tcBorders>
                  <w:shd w:val="clear" w:color="auto" w:fill="auto"/>
                  <w:vAlign w:val="center"/>
                </w:tcPr>
                <w:p w14:paraId="6BC20DC4">
                  <w:pPr>
                    <w:widowControl/>
                    <w:jc w:val="center"/>
                    <w:rPr>
                      <w:color w:val="auto"/>
                      <w:kern w:val="0"/>
                      <w:sz w:val="21"/>
                      <w:szCs w:val="21"/>
                      <w:u w:val="single"/>
                    </w:rPr>
                  </w:pPr>
                  <w:r>
                    <w:rPr>
                      <w:color w:val="auto"/>
                      <w:kern w:val="0"/>
                      <w:sz w:val="21"/>
                      <w:szCs w:val="21"/>
                      <w:u w:val="single"/>
                    </w:rPr>
                    <w:t>80L/</w:t>
                  </w:r>
                  <w:r>
                    <w:rPr>
                      <w:rFonts w:hint="eastAsia" w:ascii="宋体" w:hAnsi="宋体"/>
                      <w:color w:val="auto"/>
                      <w:kern w:val="0"/>
                      <w:sz w:val="21"/>
                      <w:szCs w:val="21"/>
                      <w:u w:val="single"/>
                    </w:rPr>
                    <w:t>人</w:t>
                  </w:r>
                  <w:r>
                    <w:rPr>
                      <w:color w:val="auto"/>
                      <w:kern w:val="0"/>
                      <w:sz w:val="21"/>
                      <w:szCs w:val="21"/>
                      <w:u w:val="single"/>
                    </w:rPr>
                    <w:t>•d</w:t>
                  </w:r>
                </w:p>
              </w:tc>
              <w:tc>
                <w:tcPr>
                  <w:tcW w:w="612" w:type="pct"/>
                  <w:tcBorders>
                    <w:top w:val="nil"/>
                    <w:left w:val="nil"/>
                    <w:bottom w:val="single" w:color="auto" w:sz="8" w:space="0"/>
                    <w:right w:val="single" w:color="auto" w:sz="8" w:space="0"/>
                  </w:tcBorders>
                  <w:shd w:val="clear" w:color="auto" w:fill="auto"/>
                  <w:vAlign w:val="center"/>
                </w:tcPr>
                <w:p w14:paraId="281D4D30">
                  <w:pPr>
                    <w:widowControl/>
                    <w:jc w:val="center"/>
                    <w:rPr>
                      <w:color w:val="auto"/>
                      <w:kern w:val="0"/>
                      <w:sz w:val="21"/>
                      <w:szCs w:val="21"/>
                      <w:u w:val="single"/>
                    </w:rPr>
                  </w:pPr>
                  <w:r>
                    <w:rPr>
                      <w:rFonts w:hint="eastAsia"/>
                      <w:color w:val="auto"/>
                      <w:kern w:val="0"/>
                      <w:sz w:val="21"/>
                      <w:szCs w:val="21"/>
                      <w:u w:val="single"/>
                      <w:lang w:val="en-US" w:eastAsia="zh-CN"/>
                    </w:rPr>
                    <w:t>7</w:t>
                  </w:r>
                  <w:r>
                    <w:rPr>
                      <w:rFonts w:hint="eastAsia" w:ascii="宋体" w:hAnsi="宋体"/>
                      <w:color w:val="auto"/>
                      <w:kern w:val="0"/>
                      <w:sz w:val="21"/>
                      <w:szCs w:val="21"/>
                      <w:u w:val="single"/>
                    </w:rPr>
                    <w:t>人</w:t>
                  </w:r>
                </w:p>
              </w:tc>
              <w:tc>
                <w:tcPr>
                  <w:tcW w:w="567" w:type="pct"/>
                  <w:tcBorders>
                    <w:top w:val="nil"/>
                    <w:left w:val="nil"/>
                    <w:bottom w:val="single" w:color="auto" w:sz="8" w:space="0"/>
                    <w:right w:val="single" w:color="auto" w:sz="8" w:space="0"/>
                  </w:tcBorders>
                  <w:shd w:val="clear" w:color="auto" w:fill="auto"/>
                  <w:vAlign w:val="center"/>
                </w:tcPr>
                <w:p w14:paraId="4E371AD2">
                  <w:pPr>
                    <w:widowControl/>
                    <w:jc w:val="center"/>
                    <w:rPr>
                      <w:color w:val="auto"/>
                      <w:kern w:val="0"/>
                      <w:sz w:val="21"/>
                      <w:szCs w:val="21"/>
                      <w:u w:val="single"/>
                    </w:rPr>
                  </w:pPr>
                  <w:r>
                    <w:rPr>
                      <w:color w:val="auto"/>
                      <w:kern w:val="0"/>
                      <w:sz w:val="21"/>
                      <w:szCs w:val="21"/>
                      <w:u w:val="single"/>
                    </w:rPr>
                    <w:t>365d</w:t>
                  </w:r>
                </w:p>
              </w:tc>
              <w:tc>
                <w:tcPr>
                  <w:tcW w:w="623" w:type="pct"/>
                  <w:tcBorders>
                    <w:top w:val="nil"/>
                    <w:left w:val="nil"/>
                    <w:bottom w:val="single" w:color="auto" w:sz="8" w:space="0"/>
                    <w:right w:val="single" w:color="auto" w:sz="8" w:space="0"/>
                  </w:tcBorders>
                  <w:shd w:val="clear" w:color="auto" w:fill="auto"/>
                  <w:vAlign w:val="center"/>
                </w:tcPr>
                <w:p w14:paraId="1FB149C2">
                  <w:pPr>
                    <w:keepNext w:val="0"/>
                    <w:keepLines w:val="0"/>
                    <w:widowControl/>
                    <w:suppressLineNumbers w:val="0"/>
                    <w:jc w:val="center"/>
                    <w:textAlignment w:val="center"/>
                    <w:rPr>
                      <w:color w:val="auto"/>
                      <w:kern w:val="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204.4</w:t>
                  </w:r>
                </w:p>
              </w:tc>
              <w:tc>
                <w:tcPr>
                  <w:tcW w:w="576" w:type="pct"/>
                  <w:tcBorders>
                    <w:top w:val="nil"/>
                    <w:left w:val="nil"/>
                    <w:bottom w:val="single" w:color="auto" w:sz="8" w:space="0"/>
                    <w:right w:val="single" w:color="auto" w:sz="8" w:space="0"/>
                  </w:tcBorders>
                  <w:shd w:val="clear" w:color="auto" w:fill="auto"/>
                  <w:vAlign w:val="center"/>
                </w:tcPr>
                <w:p w14:paraId="7B78D56A">
                  <w:pPr>
                    <w:widowControl/>
                    <w:jc w:val="center"/>
                    <w:rPr>
                      <w:color w:val="auto"/>
                      <w:kern w:val="0"/>
                      <w:sz w:val="21"/>
                      <w:szCs w:val="21"/>
                      <w:u w:val="single"/>
                    </w:rPr>
                  </w:pPr>
                  <w:r>
                    <w:rPr>
                      <w:color w:val="auto"/>
                      <w:kern w:val="0"/>
                      <w:sz w:val="21"/>
                      <w:szCs w:val="21"/>
                      <w:u w:val="single"/>
                    </w:rPr>
                    <w:t>0.8</w:t>
                  </w:r>
                </w:p>
              </w:tc>
              <w:tc>
                <w:tcPr>
                  <w:tcW w:w="794" w:type="pct"/>
                  <w:tcBorders>
                    <w:top w:val="nil"/>
                    <w:left w:val="nil"/>
                    <w:bottom w:val="single" w:color="auto" w:sz="8" w:space="0"/>
                  </w:tcBorders>
                  <w:shd w:val="clear" w:color="auto" w:fill="auto"/>
                  <w:vAlign w:val="center"/>
                </w:tcPr>
                <w:p w14:paraId="5245FE17">
                  <w:pPr>
                    <w:keepNext w:val="0"/>
                    <w:keepLines w:val="0"/>
                    <w:widowControl/>
                    <w:suppressLineNumbers w:val="0"/>
                    <w:jc w:val="center"/>
                    <w:textAlignment w:val="center"/>
                    <w:rPr>
                      <w:rFonts w:hint="default" w:eastAsia="宋体"/>
                      <w:color w:val="auto"/>
                      <w:kern w:val="0"/>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163.52</w:t>
                  </w:r>
                </w:p>
              </w:tc>
            </w:tr>
            <w:tr w14:paraId="0742F3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vMerge w:val="continue"/>
                  <w:tcBorders>
                    <w:top w:val="nil"/>
                    <w:bottom w:val="single" w:color="000000" w:sz="8" w:space="0"/>
                    <w:right w:val="single" w:color="auto" w:sz="8" w:space="0"/>
                  </w:tcBorders>
                  <w:vAlign w:val="center"/>
                </w:tcPr>
                <w:p w14:paraId="06EF79BD">
                  <w:pPr>
                    <w:widowControl/>
                    <w:jc w:val="left"/>
                    <w:rPr>
                      <w:color w:val="auto"/>
                      <w:kern w:val="0"/>
                      <w:sz w:val="21"/>
                      <w:szCs w:val="21"/>
                      <w:u w:val="single"/>
                    </w:rPr>
                  </w:pPr>
                </w:p>
              </w:tc>
              <w:tc>
                <w:tcPr>
                  <w:tcW w:w="637" w:type="pct"/>
                  <w:vMerge w:val="continue"/>
                  <w:tcBorders>
                    <w:top w:val="nil"/>
                    <w:left w:val="single" w:color="auto" w:sz="8" w:space="0"/>
                    <w:bottom w:val="single" w:color="000000" w:sz="8" w:space="0"/>
                    <w:right w:val="single" w:color="auto" w:sz="8" w:space="0"/>
                  </w:tcBorders>
                  <w:vAlign w:val="center"/>
                </w:tcPr>
                <w:p w14:paraId="741CBD56">
                  <w:pPr>
                    <w:widowControl/>
                    <w:jc w:val="left"/>
                    <w:rPr>
                      <w:rFonts w:ascii="宋体" w:hAnsi="宋体" w:cs="宋体"/>
                      <w:color w:val="auto"/>
                      <w:kern w:val="0"/>
                      <w:sz w:val="21"/>
                      <w:szCs w:val="21"/>
                      <w:u w:val="single"/>
                    </w:rPr>
                  </w:pPr>
                </w:p>
              </w:tc>
              <w:tc>
                <w:tcPr>
                  <w:tcW w:w="672" w:type="pct"/>
                  <w:tcBorders>
                    <w:top w:val="nil"/>
                    <w:left w:val="nil"/>
                    <w:bottom w:val="single" w:color="auto" w:sz="8" w:space="0"/>
                    <w:right w:val="single" w:color="auto" w:sz="8" w:space="0"/>
                  </w:tcBorders>
                  <w:shd w:val="clear" w:color="auto" w:fill="auto"/>
                  <w:vAlign w:val="center"/>
                </w:tcPr>
                <w:p w14:paraId="1E2FD26F">
                  <w:pPr>
                    <w:widowControl/>
                    <w:jc w:val="center"/>
                    <w:rPr>
                      <w:color w:val="auto"/>
                      <w:kern w:val="0"/>
                      <w:sz w:val="21"/>
                      <w:szCs w:val="21"/>
                      <w:u w:val="single"/>
                    </w:rPr>
                  </w:pPr>
                  <w:r>
                    <w:rPr>
                      <w:rFonts w:hint="eastAsia"/>
                      <w:color w:val="auto"/>
                      <w:kern w:val="0"/>
                      <w:sz w:val="21"/>
                      <w:szCs w:val="21"/>
                      <w:u w:val="single"/>
                      <w:lang w:val="en-US" w:eastAsia="zh-CN"/>
                    </w:rPr>
                    <w:t>150</w:t>
                  </w:r>
                  <w:r>
                    <w:rPr>
                      <w:color w:val="auto"/>
                      <w:kern w:val="0"/>
                      <w:sz w:val="21"/>
                      <w:szCs w:val="21"/>
                      <w:u w:val="single"/>
                    </w:rPr>
                    <w:t>L/</w:t>
                  </w:r>
                  <w:r>
                    <w:rPr>
                      <w:rFonts w:hint="eastAsia" w:ascii="宋体" w:hAnsi="宋体"/>
                      <w:color w:val="auto"/>
                      <w:kern w:val="0"/>
                      <w:sz w:val="21"/>
                      <w:szCs w:val="21"/>
                      <w:u w:val="single"/>
                    </w:rPr>
                    <w:t>人</w:t>
                  </w:r>
                  <w:r>
                    <w:rPr>
                      <w:color w:val="auto"/>
                      <w:kern w:val="0"/>
                      <w:sz w:val="21"/>
                      <w:szCs w:val="21"/>
                      <w:u w:val="single"/>
                    </w:rPr>
                    <w:t>•d</w:t>
                  </w:r>
                </w:p>
              </w:tc>
              <w:tc>
                <w:tcPr>
                  <w:tcW w:w="612" w:type="pct"/>
                  <w:tcBorders>
                    <w:top w:val="nil"/>
                    <w:left w:val="nil"/>
                    <w:bottom w:val="single" w:color="auto" w:sz="8" w:space="0"/>
                    <w:right w:val="single" w:color="auto" w:sz="8" w:space="0"/>
                  </w:tcBorders>
                  <w:shd w:val="clear" w:color="auto" w:fill="auto"/>
                  <w:vAlign w:val="center"/>
                </w:tcPr>
                <w:p w14:paraId="686AF583">
                  <w:pPr>
                    <w:widowControl/>
                    <w:jc w:val="center"/>
                    <w:rPr>
                      <w:color w:val="auto"/>
                      <w:kern w:val="0"/>
                      <w:sz w:val="21"/>
                      <w:szCs w:val="21"/>
                      <w:u w:val="single"/>
                    </w:rPr>
                  </w:pPr>
                  <w:r>
                    <w:rPr>
                      <w:color w:val="auto"/>
                      <w:kern w:val="0"/>
                      <w:sz w:val="21"/>
                      <w:szCs w:val="21"/>
                      <w:u w:val="single"/>
                    </w:rPr>
                    <w:t>3</w:t>
                  </w:r>
                  <w:r>
                    <w:rPr>
                      <w:rFonts w:hint="eastAsia" w:ascii="宋体" w:hAnsi="宋体"/>
                      <w:color w:val="auto"/>
                      <w:kern w:val="0"/>
                      <w:sz w:val="21"/>
                      <w:szCs w:val="21"/>
                      <w:u w:val="single"/>
                    </w:rPr>
                    <w:t>人</w:t>
                  </w:r>
                </w:p>
              </w:tc>
              <w:tc>
                <w:tcPr>
                  <w:tcW w:w="567" w:type="pct"/>
                  <w:tcBorders>
                    <w:top w:val="nil"/>
                    <w:left w:val="nil"/>
                    <w:bottom w:val="single" w:color="auto" w:sz="8" w:space="0"/>
                    <w:right w:val="single" w:color="auto" w:sz="8" w:space="0"/>
                  </w:tcBorders>
                  <w:shd w:val="clear" w:color="auto" w:fill="auto"/>
                  <w:vAlign w:val="center"/>
                </w:tcPr>
                <w:p w14:paraId="59C357B9">
                  <w:pPr>
                    <w:widowControl/>
                    <w:jc w:val="center"/>
                    <w:rPr>
                      <w:color w:val="auto"/>
                      <w:kern w:val="0"/>
                      <w:sz w:val="21"/>
                      <w:szCs w:val="21"/>
                      <w:u w:val="single"/>
                    </w:rPr>
                  </w:pPr>
                  <w:r>
                    <w:rPr>
                      <w:color w:val="auto"/>
                      <w:kern w:val="0"/>
                      <w:sz w:val="21"/>
                      <w:szCs w:val="21"/>
                      <w:u w:val="single"/>
                    </w:rPr>
                    <w:t>365d</w:t>
                  </w:r>
                </w:p>
              </w:tc>
              <w:tc>
                <w:tcPr>
                  <w:tcW w:w="623" w:type="pct"/>
                  <w:tcBorders>
                    <w:top w:val="nil"/>
                    <w:left w:val="nil"/>
                    <w:bottom w:val="single" w:color="auto" w:sz="8" w:space="0"/>
                    <w:right w:val="single" w:color="auto" w:sz="8" w:space="0"/>
                  </w:tcBorders>
                  <w:shd w:val="clear" w:color="auto" w:fill="auto"/>
                  <w:vAlign w:val="center"/>
                </w:tcPr>
                <w:p w14:paraId="42275E99">
                  <w:pPr>
                    <w:keepNext w:val="0"/>
                    <w:keepLines w:val="0"/>
                    <w:widowControl/>
                    <w:suppressLineNumbers w:val="0"/>
                    <w:jc w:val="center"/>
                    <w:textAlignment w:val="center"/>
                    <w:rPr>
                      <w:rFonts w:hint="default"/>
                      <w:color w:val="auto"/>
                      <w:kern w:val="0"/>
                      <w:sz w:val="21"/>
                      <w:szCs w:val="21"/>
                      <w:u w:val="single"/>
                      <w:lang w:val="en-US"/>
                    </w:rPr>
                  </w:pPr>
                  <w:r>
                    <w:rPr>
                      <w:rFonts w:hint="eastAsia" w:cs="Times New Roman"/>
                      <w:i w:val="0"/>
                      <w:iCs w:val="0"/>
                      <w:color w:val="000000"/>
                      <w:kern w:val="0"/>
                      <w:sz w:val="21"/>
                      <w:szCs w:val="21"/>
                      <w:u w:val="single"/>
                      <w:lang w:val="en-US" w:eastAsia="zh-CN" w:bidi="ar"/>
                    </w:rPr>
                    <w:t>164.5</w:t>
                  </w:r>
                </w:p>
              </w:tc>
              <w:tc>
                <w:tcPr>
                  <w:tcW w:w="576" w:type="pct"/>
                  <w:tcBorders>
                    <w:top w:val="nil"/>
                    <w:left w:val="nil"/>
                    <w:bottom w:val="single" w:color="auto" w:sz="8" w:space="0"/>
                    <w:right w:val="single" w:color="auto" w:sz="8" w:space="0"/>
                  </w:tcBorders>
                  <w:shd w:val="clear" w:color="auto" w:fill="auto"/>
                  <w:vAlign w:val="center"/>
                </w:tcPr>
                <w:p w14:paraId="6BD4D0A1">
                  <w:pPr>
                    <w:widowControl/>
                    <w:jc w:val="center"/>
                    <w:rPr>
                      <w:color w:val="auto"/>
                      <w:kern w:val="0"/>
                      <w:sz w:val="21"/>
                      <w:szCs w:val="21"/>
                      <w:u w:val="single"/>
                    </w:rPr>
                  </w:pPr>
                  <w:r>
                    <w:rPr>
                      <w:color w:val="auto"/>
                      <w:kern w:val="0"/>
                      <w:sz w:val="21"/>
                      <w:szCs w:val="21"/>
                      <w:u w:val="single"/>
                    </w:rPr>
                    <w:t>0.8</w:t>
                  </w:r>
                </w:p>
              </w:tc>
              <w:tc>
                <w:tcPr>
                  <w:tcW w:w="794" w:type="pct"/>
                  <w:tcBorders>
                    <w:top w:val="nil"/>
                    <w:left w:val="nil"/>
                    <w:bottom w:val="single" w:color="auto" w:sz="8" w:space="0"/>
                  </w:tcBorders>
                  <w:shd w:val="clear" w:color="auto" w:fill="auto"/>
                  <w:vAlign w:val="center"/>
                </w:tcPr>
                <w:p w14:paraId="52E6A009">
                  <w:pPr>
                    <w:keepNext w:val="0"/>
                    <w:keepLines w:val="0"/>
                    <w:widowControl/>
                    <w:suppressLineNumbers w:val="0"/>
                    <w:jc w:val="center"/>
                    <w:textAlignment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131.6</w:t>
                  </w:r>
                </w:p>
              </w:tc>
            </w:tr>
            <w:tr w14:paraId="5E2D074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top w:val="nil"/>
                    <w:bottom w:val="single" w:color="auto" w:sz="8" w:space="0"/>
                    <w:right w:val="single" w:color="auto" w:sz="8" w:space="0"/>
                  </w:tcBorders>
                  <w:shd w:val="clear" w:color="auto" w:fill="auto"/>
                  <w:vAlign w:val="center"/>
                </w:tcPr>
                <w:p w14:paraId="4F42164D">
                  <w:pPr>
                    <w:widowControl/>
                    <w:jc w:val="center"/>
                    <w:rPr>
                      <w:color w:val="auto"/>
                      <w:kern w:val="0"/>
                      <w:sz w:val="21"/>
                      <w:szCs w:val="21"/>
                      <w:u w:val="single"/>
                    </w:rPr>
                  </w:pPr>
                  <w:r>
                    <w:rPr>
                      <w:color w:val="auto"/>
                      <w:kern w:val="0"/>
                      <w:sz w:val="21"/>
                      <w:szCs w:val="21"/>
                      <w:u w:val="single"/>
                    </w:rPr>
                    <w:t>2</w:t>
                  </w:r>
                </w:p>
              </w:tc>
              <w:tc>
                <w:tcPr>
                  <w:tcW w:w="637" w:type="pct"/>
                  <w:tcBorders>
                    <w:top w:val="nil"/>
                    <w:left w:val="nil"/>
                    <w:bottom w:val="single" w:color="auto" w:sz="8" w:space="0"/>
                    <w:right w:val="single" w:color="auto" w:sz="8" w:space="0"/>
                  </w:tcBorders>
                  <w:shd w:val="clear" w:color="auto" w:fill="auto"/>
                  <w:vAlign w:val="center"/>
                </w:tcPr>
                <w:p w14:paraId="7AD14A41">
                  <w:pPr>
                    <w:widowControl/>
                    <w:jc w:val="center"/>
                    <w:rPr>
                      <w:rFonts w:ascii="宋体" w:hAnsi="宋体" w:cs="宋体"/>
                      <w:color w:val="auto"/>
                      <w:kern w:val="0"/>
                      <w:sz w:val="21"/>
                      <w:szCs w:val="21"/>
                      <w:u w:val="single"/>
                    </w:rPr>
                  </w:pPr>
                  <w:r>
                    <w:rPr>
                      <w:rFonts w:hint="eastAsia" w:ascii="宋体" w:hAnsi="宋体" w:cs="宋体"/>
                      <w:color w:val="auto"/>
                      <w:kern w:val="0"/>
                      <w:sz w:val="21"/>
                      <w:szCs w:val="21"/>
                      <w:u w:val="single"/>
                    </w:rPr>
                    <w:t>公共卫生间用水</w:t>
                  </w:r>
                </w:p>
              </w:tc>
              <w:tc>
                <w:tcPr>
                  <w:tcW w:w="672" w:type="pct"/>
                  <w:tcBorders>
                    <w:top w:val="nil"/>
                    <w:left w:val="nil"/>
                    <w:bottom w:val="single" w:color="auto" w:sz="8" w:space="0"/>
                    <w:right w:val="single" w:color="auto" w:sz="8" w:space="0"/>
                  </w:tcBorders>
                  <w:shd w:val="clear" w:color="auto" w:fill="auto"/>
                  <w:vAlign w:val="center"/>
                </w:tcPr>
                <w:p w14:paraId="2607BDC0">
                  <w:pPr>
                    <w:widowControl/>
                    <w:jc w:val="center"/>
                    <w:rPr>
                      <w:color w:val="auto"/>
                      <w:kern w:val="0"/>
                      <w:sz w:val="21"/>
                      <w:szCs w:val="21"/>
                      <w:u w:val="single"/>
                    </w:rPr>
                  </w:pPr>
                  <w:r>
                    <w:rPr>
                      <w:rFonts w:hint="eastAsia"/>
                      <w:color w:val="auto"/>
                      <w:kern w:val="0"/>
                      <w:sz w:val="21"/>
                      <w:szCs w:val="21"/>
                      <w:u w:val="single"/>
                      <w:lang w:val="en-US" w:eastAsia="zh-CN"/>
                    </w:rPr>
                    <w:t>10</w:t>
                  </w:r>
                  <w:r>
                    <w:rPr>
                      <w:color w:val="auto"/>
                      <w:kern w:val="0"/>
                      <w:sz w:val="21"/>
                      <w:szCs w:val="21"/>
                      <w:u w:val="single"/>
                    </w:rPr>
                    <w:t>L/</w:t>
                  </w:r>
                  <w:r>
                    <w:rPr>
                      <w:rFonts w:hint="eastAsia" w:ascii="宋体" w:hAnsi="宋体"/>
                      <w:color w:val="auto"/>
                      <w:kern w:val="0"/>
                      <w:sz w:val="21"/>
                      <w:szCs w:val="21"/>
                      <w:u w:val="single"/>
                    </w:rPr>
                    <w:t>人</w:t>
                  </w:r>
                  <w:r>
                    <w:rPr>
                      <w:color w:val="auto"/>
                      <w:kern w:val="0"/>
                      <w:sz w:val="21"/>
                      <w:szCs w:val="21"/>
                      <w:u w:val="single"/>
                    </w:rPr>
                    <w:t>•</w:t>
                  </w:r>
                  <w:r>
                    <w:rPr>
                      <w:rFonts w:hint="eastAsia" w:ascii="宋体" w:hAnsi="宋体"/>
                      <w:color w:val="auto"/>
                      <w:kern w:val="0"/>
                      <w:sz w:val="21"/>
                      <w:szCs w:val="21"/>
                      <w:u w:val="single"/>
                    </w:rPr>
                    <w:t>次</w:t>
                  </w:r>
                </w:p>
              </w:tc>
              <w:tc>
                <w:tcPr>
                  <w:tcW w:w="612" w:type="pct"/>
                  <w:tcBorders>
                    <w:top w:val="nil"/>
                    <w:left w:val="nil"/>
                    <w:bottom w:val="single" w:color="auto" w:sz="8" w:space="0"/>
                    <w:right w:val="single" w:color="auto" w:sz="8" w:space="0"/>
                  </w:tcBorders>
                  <w:shd w:val="clear" w:color="auto" w:fill="auto"/>
                  <w:vAlign w:val="center"/>
                </w:tcPr>
                <w:p w14:paraId="2EB02F49">
                  <w:pPr>
                    <w:widowControl/>
                    <w:jc w:val="center"/>
                    <w:rPr>
                      <w:color w:val="auto"/>
                      <w:kern w:val="0"/>
                      <w:sz w:val="21"/>
                      <w:szCs w:val="21"/>
                      <w:u w:val="single"/>
                    </w:rPr>
                  </w:pPr>
                  <w:r>
                    <w:rPr>
                      <w:rFonts w:hint="eastAsia"/>
                      <w:color w:val="auto"/>
                      <w:kern w:val="0"/>
                      <w:sz w:val="21"/>
                      <w:szCs w:val="21"/>
                      <w:u w:val="single"/>
                      <w:lang w:val="en-US" w:eastAsia="zh-CN"/>
                    </w:rPr>
                    <w:t>50</w:t>
                  </w:r>
                  <w:r>
                    <w:rPr>
                      <w:rFonts w:hint="eastAsia" w:ascii="宋体" w:hAnsi="宋体"/>
                      <w:color w:val="auto"/>
                      <w:kern w:val="0"/>
                      <w:sz w:val="21"/>
                      <w:szCs w:val="21"/>
                      <w:u w:val="single"/>
                    </w:rPr>
                    <w:t>人次</w:t>
                  </w:r>
                  <w:r>
                    <w:rPr>
                      <w:color w:val="auto"/>
                      <w:kern w:val="0"/>
                      <w:sz w:val="21"/>
                      <w:szCs w:val="21"/>
                      <w:u w:val="single"/>
                    </w:rPr>
                    <w:t>/d</w:t>
                  </w:r>
                </w:p>
              </w:tc>
              <w:tc>
                <w:tcPr>
                  <w:tcW w:w="567" w:type="pct"/>
                  <w:tcBorders>
                    <w:top w:val="nil"/>
                    <w:left w:val="nil"/>
                    <w:bottom w:val="single" w:color="auto" w:sz="8" w:space="0"/>
                    <w:right w:val="single" w:color="auto" w:sz="8" w:space="0"/>
                  </w:tcBorders>
                  <w:shd w:val="clear" w:color="auto" w:fill="auto"/>
                  <w:vAlign w:val="center"/>
                </w:tcPr>
                <w:p w14:paraId="32437239">
                  <w:pPr>
                    <w:widowControl/>
                    <w:jc w:val="center"/>
                    <w:rPr>
                      <w:color w:val="auto"/>
                      <w:kern w:val="0"/>
                      <w:sz w:val="21"/>
                      <w:szCs w:val="21"/>
                      <w:u w:val="single"/>
                    </w:rPr>
                  </w:pPr>
                  <w:r>
                    <w:rPr>
                      <w:color w:val="auto"/>
                      <w:kern w:val="0"/>
                      <w:sz w:val="21"/>
                      <w:szCs w:val="21"/>
                      <w:u w:val="single"/>
                    </w:rPr>
                    <w:t>365d</w:t>
                  </w:r>
                </w:p>
              </w:tc>
              <w:tc>
                <w:tcPr>
                  <w:tcW w:w="623" w:type="pct"/>
                  <w:tcBorders>
                    <w:top w:val="nil"/>
                    <w:left w:val="nil"/>
                    <w:bottom w:val="single" w:color="auto" w:sz="8" w:space="0"/>
                    <w:right w:val="single" w:color="auto" w:sz="8" w:space="0"/>
                  </w:tcBorders>
                  <w:shd w:val="clear" w:color="auto" w:fill="auto"/>
                  <w:vAlign w:val="center"/>
                </w:tcPr>
                <w:p w14:paraId="6D439B3F">
                  <w:pPr>
                    <w:keepNext w:val="0"/>
                    <w:keepLines w:val="0"/>
                    <w:widowControl/>
                    <w:suppressLineNumbers w:val="0"/>
                    <w:jc w:val="center"/>
                    <w:textAlignment w:val="center"/>
                    <w:rPr>
                      <w:rFonts w:hint="default" w:eastAsia="宋体"/>
                      <w:color w:val="auto"/>
                      <w:kern w:val="0"/>
                      <w:sz w:val="21"/>
                      <w:szCs w:val="21"/>
                      <w:u w:val="single"/>
                      <w:lang w:val="en-US" w:eastAsia="zh-CN"/>
                    </w:rPr>
                  </w:pPr>
                  <w:r>
                    <w:rPr>
                      <w:rFonts w:hint="eastAsia" w:cs="Times New Roman"/>
                      <w:i w:val="0"/>
                      <w:iCs w:val="0"/>
                      <w:color w:val="000000"/>
                      <w:kern w:val="0"/>
                      <w:sz w:val="21"/>
                      <w:szCs w:val="21"/>
                      <w:u w:val="single"/>
                      <w:lang w:val="en-US" w:eastAsia="zh-CN" w:bidi="ar"/>
                    </w:rPr>
                    <w:t>182.5</w:t>
                  </w:r>
                </w:p>
              </w:tc>
              <w:tc>
                <w:tcPr>
                  <w:tcW w:w="576" w:type="pct"/>
                  <w:tcBorders>
                    <w:top w:val="nil"/>
                    <w:left w:val="nil"/>
                    <w:bottom w:val="single" w:color="auto" w:sz="8" w:space="0"/>
                    <w:right w:val="single" w:color="auto" w:sz="8" w:space="0"/>
                  </w:tcBorders>
                  <w:shd w:val="clear" w:color="auto" w:fill="auto"/>
                  <w:vAlign w:val="center"/>
                </w:tcPr>
                <w:p w14:paraId="6D2A80EE">
                  <w:pPr>
                    <w:widowControl/>
                    <w:jc w:val="center"/>
                    <w:rPr>
                      <w:color w:val="auto"/>
                      <w:kern w:val="0"/>
                      <w:sz w:val="21"/>
                      <w:szCs w:val="21"/>
                      <w:u w:val="single"/>
                    </w:rPr>
                  </w:pPr>
                  <w:r>
                    <w:rPr>
                      <w:color w:val="auto"/>
                      <w:kern w:val="0"/>
                      <w:sz w:val="21"/>
                      <w:szCs w:val="21"/>
                      <w:u w:val="single"/>
                    </w:rPr>
                    <w:t>0.8</w:t>
                  </w:r>
                </w:p>
              </w:tc>
              <w:tc>
                <w:tcPr>
                  <w:tcW w:w="794" w:type="pct"/>
                  <w:tcBorders>
                    <w:top w:val="nil"/>
                    <w:left w:val="nil"/>
                    <w:bottom w:val="single" w:color="auto" w:sz="8" w:space="0"/>
                  </w:tcBorders>
                  <w:shd w:val="clear" w:color="auto" w:fill="auto"/>
                  <w:vAlign w:val="center"/>
                </w:tcPr>
                <w:p w14:paraId="1D075F9E">
                  <w:pPr>
                    <w:keepNext w:val="0"/>
                    <w:keepLines w:val="0"/>
                    <w:widowControl/>
                    <w:suppressLineNumbers w:val="0"/>
                    <w:jc w:val="center"/>
                    <w:textAlignment w:val="center"/>
                    <w:rPr>
                      <w:color w:val="auto"/>
                      <w:kern w:val="0"/>
                      <w:sz w:val="21"/>
                      <w:szCs w:val="21"/>
                      <w:u w:val="single"/>
                    </w:rPr>
                  </w:pPr>
                  <w:r>
                    <w:rPr>
                      <w:rFonts w:hint="eastAsia"/>
                      <w:color w:val="auto"/>
                      <w:kern w:val="0"/>
                      <w:sz w:val="21"/>
                      <w:szCs w:val="21"/>
                      <w:u w:val="single"/>
                    </w:rPr>
                    <w:t>146</w:t>
                  </w:r>
                </w:p>
              </w:tc>
            </w:tr>
            <w:tr w14:paraId="36059E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top w:val="nil"/>
                    <w:bottom w:val="single" w:color="auto" w:sz="8" w:space="0"/>
                    <w:right w:val="single" w:color="auto" w:sz="8" w:space="0"/>
                  </w:tcBorders>
                  <w:shd w:val="clear" w:color="auto" w:fill="auto"/>
                  <w:vAlign w:val="center"/>
                </w:tcPr>
                <w:p w14:paraId="6B45A852">
                  <w:pPr>
                    <w:widowControl/>
                    <w:jc w:val="center"/>
                    <w:rPr>
                      <w:color w:val="auto"/>
                      <w:kern w:val="0"/>
                      <w:sz w:val="21"/>
                      <w:szCs w:val="21"/>
                      <w:u w:val="single"/>
                    </w:rPr>
                  </w:pPr>
                  <w:r>
                    <w:rPr>
                      <w:color w:val="auto"/>
                      <w:kern w:val="0"/>
                      <w:sz w:val="21"/>
                      <w:szCs w:val="21"/>
                      <w:u w:val="single"/>
                    </w:rPr>
                    <w:t>3</w:t>
                  </w:r>
                </w:p>
              </w:tc>
              <w:tc>
                <w:tcPr>
                  <w:tcW w:w="637" w:type="pct"/>
                  <w:tcBorders>
                    <w:top w:val="nil"/>
                    <w:left w:val="nil"/>
                    <w:bottom w:val="single" w:color="auto" w:sz="8" w:space="0"/>
                    <w:right w:val="single" w:color="auto" w:sz="8" w:space="0"/>
                  </w:tcBorders>
                  <w:shd w:val="clear" w:color="auto" w:fill="auto"/>
                  <w:vAlign w:val="center"/>
                </w:tcPr>
                <w:p w14:paraId="707D7451">
                  <w:pPr>
                    <w:widowControl/>
                    <w:jc w:val="center"/>
                    <w:rPr>
                      <w:rFonts w:ascii="宋体" w:hAnsi="宋体" w:cs="宋体"/>
                      <w:color w:val="auto"/>
                      <w:kern w:val="0"/>
                      <w:sz w:val="21"/>
                      <w:szCs w:val="21"/>
                      <w:u w:val="single"/>
                    </w:rPr>
                  </w:pPr>
                  <w:r>
                    <w:rPr>
                      <w:rFonts w:hint="eastAsia" w:ascii="宋体" w:hAnsi="宋体" w:cs="宋体"/>
                      <w:color w:val="auto"/>
                      <w:kern w:val="0"/>
                      <w:sz w:val="21"/>
                      <w:szCs w:val="21"/>
                      <w:u w:val="single"/>
                    </w:rPr>
                    <w:t>地面清洗用水</w:t>
                  </w:r>
                </w:p>
              </w:tc>
              <w:tc>
                <w:tcPr>
                  <w:tcW w:w="672" w:type="pct"/>
                  <w:tcBorders>
                    <w:top w:val="nil"/>
                    <w:left w:val="nil"/>
                    <w:bottom w:val="single" w:color="auto" w:sz="8" w:space="0"/>
                    <w:right w:val="single" w:color="auto" w:sz="8" w:space="0"/>
                  </w:tcBorders>
                  <w:shd w:val="clear" w:color="auto" w:fill="auto"/>
                  <w:vAlign w:val="center"/>
                </w:tcPr>
                <w:p w14:paraId="784C8E4F">
                  <w:pPr>
                    <w:widowControl/>
                    <w:jc w:val="center"/>
                    <w:rPr>
                      <w:color w:val="auto"/>
                      <w:kern w:val="0"/>
                      <w:sz w:val="21"/>
                      <w:szCs w:val="21"/>
                      <w:u w:val="single"/>
                    </w:rPr>
                  </w:pPr>
                  <w:r>
                    <w:rPr>
                      <w:color w:val="auto"/>
                      <w:kern w:val="0"/>
                      <w:sz w:val="21"/>
                      <w:szCs w:val="21"/>
                      <w:u w:val="single"/>
                    </w:rPr>
                    <w:t>2L/m</w:t>
                  </w:r>
                  <w:r>
                    <w:rPr>
                      <w:color w:val="auto"/>
                      <w:kern w:val="0"/>
                      <w:sz w:val="21"/>
                      <w:szCs w:val="21"/>
                      <w:u w:val="single"/>
                      <w:vertAlign w:val="superscript"/>
                    </w:rPr>
                    <w:t>2</w:t>
                  </w:r>
                  <w:r>
                    <w:rPr>
                      <w:color w:val="auto"/>
                      <w:kern w:val="0"/>
                      <w:sz w:val="21"/>
                      <w:szCs w:val="21"/>
                      <w:u w:val="single"/>
                    </w:rPr>
                    <w:t>•</w:t>
                  </w:r>
                  <w:r>
                    <w:rPr>
                      <w:rFonts w:hint="eastAsia" w:ascii="宋体" w:hAnsi="宋体"/>
                      <w:color w:val="auto"/>
                      <w:kern w:val="0"/>
                      <w:sz w:val="21"/>
                      <w:szCs w:val="21"/>
                      <w:u w:val="single"/>
                    </w:rPr>
                    <w:t>次</w:t>
                  </w:r>
                </w:p>
              </w:tc>
              <w:tc>
                <w:tcPr>
                  <w:tcW w:w="612" w:type="pct"/>
                  <w:tcBorders>
                    <w:top w:val="nil"/>
                    <w:left w:val="nil"/>
                    <w:bottom w:val="single" w:color="auto" w:sz="8" w:space="0"/>
                    <w:right w:val="single" w:color="auto" w:sz="8" w:space="0"/>
                  </w:tcBorders>
                  <w:shd w:val="clear" w:color="auto" w:fill="auto"/>
                  <w:vAlign w:val="center"/>
                </w:tcPr>
                <w:p w14:paraId="61DCEA8F">
                  <w:pPr>
                    <w:widowControl/>
                    <w:jc w:val="center"/>
                    <w:rPr>
                      <w:color w:val="auto"/>
                      <w:kern w:val="0"/>
                      <w:sz w:val="21"/>
                      <w:szCs w:val="21"/>
                      <w:u w:val="single"/>
                    </w:rPr>
                  </w:pPr>
                  <w:r>
                    <w:rPr>
                      <w:rFonts w:hint="eastAsia"/>
                      <w:color w:val="auto"/>
                      <w:kern w:val="0"/>
                      <w:sz w:val="21"/>
                      <w:szCs w:val="21"/>
                      <w:u w:val="single"/>
                    </w:rPr>
                    <w:t>325.95</w:t>
                  </w:r>
                  <w:r>
                    <w:rPr>
                      <w:color w:val="auto"/>
                      <w:kern w:val="0"/>
                      <w:sz w:val="21"/>
                      <w:szCs w:val="21"/>
                      <w:u w:val="single"/>
                    </w:rPr>
                    <w:t>m</w:t>
                  </w:r>
                  <w:r>
                    <w:rPr>
                      <w:color w:val="auto"/>
                      <w:kern w:val="0"/>
                      <w:sz w:val="21"/>
                      <w:szCs w:val="21"/>
                      <w:u w:val="single"/>
                      <w:vertAlign w:val="superscript"/>
                    </w:rPr>
                    <w:t>2</w:t>
                  </w:r>
                </w:p>
              </w:tc>
              <w:tc>
                <w:tcPr>
                  <w:tcW w:w="567" w:type="pct"/>
                  <w:tcBorders>
                    <w:top w:val="nil"/>
                    <w:left w:val="nil"/>
                    <w:bottom w:val="single" w:color="auto" w:sz="8" w:space="0"/>
                    <w:right w:val="single" w:color="auto" w:sz="8" w:space="0"/>
                  </w:tcBorders>
                  <w:shd w:val="clear" w:color="auto" w:fill="auto"/>
                  <w:vAlign w:val="center"/>
                </w:tcPr>
                <w:p w14:paraId="0D271484">
                  <w:pPr>
                    <w:widowControl/>
                    <w:jc w:val="center"/>
                    <w:rPr>
                      <w:color w:val="auto"/>
                      <w:kern w:val="0"/>
                      <w:sz w:val="21"/>
                      <w:szCs w:val="21"/>
                      <w:u w:val="single"/>
                    </w:rPr>
                  </w:pPr>
                  <w:r>
                    <w:rPr>
                      <w:rFonts w:hint="eastAsia"/>
                      <w:color w:val="auto"/>
                      <w:kern w:val="0"/>
                      <w:sz w:val="21"/>
                      <w:szCs w:val="21"/>
                      <w:u w:val="single"/>
                      <w:lang w:val="en-US" w:eastAsia="zh-CN"/>
                    </w:rPr>
                    <w:t>48</w:t>
                  </w:r>
                  <w:r>
                    <w:rPr>
                      <w:rFonts w:hint="eastAsia" w:ascii="宋体" w:hAnsi="宋体"/>
                      <w:color w:val="auto"/>
                      <w:kern w:val="0"/>
                      <w:sz w:val="21"/>
                      <w:szCs w:val="21"/>
                      <w:u w:val="single"/>
                    </w:rPr>
                    <w:t>次</w:t>
                  </w:r>
                </w:p>
              </w:tc>
              <w:tc>
                <w:tcPr>
                  <w:tcW w:w="623" w:type="pct"/>
                  <w:tcBorders>
                    <w:top w:val="nil"/>
                    <w:left w:val="nil"/>
                    <w:bottom w:val="single" w:color="auto" w:sz="8" w:space="0"/>
                    <w:right w:val="single" w:color="auto" w:sz="8" w:space="0"/>
                  </w:tcBorders>
                  <w:shd w:val="clear" w:color="auto" w:fill="auto"/>
                  <w:vAlign w:val="center"/>
                </w:tcPr>
                <w:p w14:paraId="2DCCE8DF">
                  <w:pPr>
                    <w:keepNext w:val="0"/>
                    <w:keepLines w:val="0"/>
                    <w:widowControl/>
                    <w:suppressLineNumbers w:val="0"/>
                    <w:jc w:val="center"/>
                    <w:textAlignment w:val="center"/>
                    <w:rPr>
                      <w:color w:val="auto"/>
                      <w:kern w:val="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31.3</w:t>
                  </w:r>
                </w:p>
              </w:tc>
              <w:tc>
                <w:tcPr>
                  <w:tcW w:w="576" w:type="pct"/>
                  <w:tcBorders>
                    <w:top w:val="nil"/>
                    <w:left w:val="nil"/>
                    <w:bottom w:val="single" w:color="auto" w:sz="8" w:space="0"/>
                    <w:right w:val="single" w:color="auto" w:sz="8" w:space="0"/>
                  </w:tcBorders>
                  <w:shd w:val="clear" w:color="auto" w:fill="auto"/>
                  <w:vAlign w:val="center"/>
                </w:tcPr>
                <w:p w14:paraId="2DC5B1F4">
                  <w:pPr>
                    <w:widowControl/>
                    <w:jc w:val="center"/>
                    <w:rPr>
                      <w:color w:val="auto"/>
                      <w:kern w:val="0"/>
                      <w:sz w:val="21"/>
                      <w:szCs w:val="21"/>
                      <w:u w:val="single"/>
                    </w:rPr>
                  </w:pPr>
                  <w:r>
                    <w:rPr>
                      <w:color w:val="auto"/>
                      <w:kern w:val="0"/>
                      <w:sz w:val="21"/>
                      <w:szCs w:val="21"/>
                      <w:u w:val="single"/>
                    </w:rPr>
                    <w:t>0.8</w:t>
                  </w:r>
                </w:p>
              </w:tc>
              <w:tc>
                <w:tcPr>
                  <w:tcW w:w="794" w:type="pct"/>
                  <w:tcBorders>
                    <w:top w:val="nil"/>
                    <w:left w:val="nil"/>
                    <w:bottom w:val="single" w:color="auto" w:sz="8" w:space="0"/>
                  </w:tcBorders>
                  <w:shd w:val="clear" w:color="auto" w:fill="auto"/>
                  <w:vAlign w:val="center"/>
                </w:tcPr>
                <w:p w14:paraId="5188304B">
                  <w:pPr>
                    <w:keepNext w:val="0"/>
                    <w:keepLines w:val="0"/>
                    <w:widowControl/>
                    <w:suppressLineNumbers w:val="0"/>
                    <w:jc w:val="center"/>
                    <w:textAlignment w:val="center"/>
                    <w:rPr>
                      <w:color w:val="auto"/>
                      <w:kern w:val="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25.04</w:t>
                  </w:r>
                </w:p>
              </w:tc>
            </w:tr>
            <w:tr w14:paraId="1C7567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top w:val="nil"/>
                    <w:bottom w:val="single" w:color="auto" w:sz="8" w:space="0"/>
                    <w:right w:val="single" w:color="auto" w:sz="8" w:space="0"/>
                  </w:tcBorders>
                  <w:shd w:val="clear" w:color="auto" w:fill="auto"/>
                  <w:vAlign w:val="center"/>
                </w:tcPr>
                <w:p w14:paraId="730EFAA0">
                  <w:pPr>
                    <w:widowControl/>
                    <w:jc w:val="center"/>
                    <w:rPr>
                      <w:rFonts w:hint="default"/>
                      <w:color w:val="auto"/>
                      <w:kern w:val="0"/>
                      <w:sz w:val="21"/>
                      <w:szCs w:val="21"/>
                      <w:u w:val="single"/>
                      <w:lang w:val="en-US" w:eastAsia="zh-CN"/>
                    </w:rPr>
                  </w:pPr>
                  <w:r>
                    <w:rPr>
                      <w:rFonts w:hint="eastAsia"/>
                      <w:color w:val="auto"/>
                      <w:kern w:val="0"/>
                      <w:sz w:val="21"/>
                      <w:szCs w:val="21"/>
                      <w:u w:val="single"/>
                      <w:lang w:val="en-US" w:eastAsia="zh-CN"/>
                    </w:rPr>
                    <w:t>4</w:t>
                  </w:r>
                </w:p>
              </w:tc>
              <w:tc>
                <w:tcPr>
                  <w:tcW w:w="637" w:type="pct"/>
                  <w:tcBorders>
                    <w:top w:val="nil"/>
                    <w:left w:val="nil"/>
                    <w:bottom w:val="single" w:color="auto" w:sz="8" w:space="0"/>
                    <w:right w:val="single" w:color="auto" w:sz="8" w:space="0"/>
                  </w:tcBorders>
                  <w:shd w:val="clear" w:color="auto" w:fill="auto"/>
                  <w:vAlign w:val="center"/>
                </w:tcPr>
                <w:p w14:paraId="651ABE74">
                  <w:pPr>
                    <w:widowControl/>
                    <w:jc w:val="center"/>
                    <w:rPr>
                      <w:rFonts w:hint="default" w:ascii="宋体" w:hAnsi="宋体" w:eastAsia="宋体" w:cs="宋体"/>
                      <w:color w:val="auto"/>
                      <w:kern w:val="0"/>
                      <w:sz w:val="21"/>
                      <w:szCs w:val="21"/>
                      <w:u w:val="single"/>
                      <w:lang w:val="en-US" w:eastAsia="zh-CN"/>
                    </w:rPr>
                  </w:pPr>
                  <w:r>
                    <w:rPr>
                      <w:rFonts w:hint="eastAsia" w:ascii="宋体" w:hAnsi="宋体" w:cs="宋体"/>
                      <w:color w:val="auto"/>
                      <w:kern w:val="0"/>
                      <w:sz w:val="21"/>
                      <w:szCs w:val="21"/>
                      <w:u w:val="single"/>
                      <w:lang w:val="en-US" w:eastAsia="zh-CN"/>
                    </w:rPr>
                    <w:t>洗车用水</w:t>
                  </w:r>
                </w:p>
              </w:tc>
              <w:tc>
                <w:tcPr>
                  <w:tcW w:w="672" w:type="pct"/>
                  <w:tcBorders>
                    <w:top w:val="nil"/>
                    <w:left w:val="nil"/>
                    <w:bottom w:val="single" w:color="auto" w:sz="8" w:space="0"/>
                    <w:right w:val="single" w:color="auto" w:sz="8" w:space="0"/>
                  </w:tcBorders>
                  <w:shd w:val="clear" w:color="auto" w:fill="auto"/>
                  <w:vAlign w:val="center"/>
                </w:tcPr>
                <w:p w14:paraId="58760F49">
                  <w:pPr>
                    <w:widowControl/>
                    <w:jc w:val="center"/>
                    <w:rPr>
                      <w:rFonts w:hint="default" w:eastAsia="宋体"/>
                      <w:color w:val="auto"/>
                      <w:kern w:val="0"/>
                      <w:sz w:val="21"/>
                      <w:szCs w:val="21"/>
                      <w:u w:val="single"/>
                      <w:lang w:val="en-US" w:eastAsia="zh-CN"/>
                    </w:rPr>
                  </w:pPr>
                  <w:r>
                    <w:rPr>
                      <w:rFonts w:hint="default" w:eastAsia="宋体"/>
                      <w:color w:val="auto"/>
                      <w:kern w:val="0"/>
                      <w:sz w:val="21"/>
                      <w:szCs w:val="21"/>
                      <w:u w:val="single"/>
                      <w:lang w:val="en-US" w:eastAsia="zh-CN"/>
                    </w:rPr>
                    <w:t>33L/（辆·次）</w:t>
                  </w:r>
                </w:p>
              </w:tc>
              <w:tc>
                <w:tcPr>
                  <w:tcW w:w="612" w:type="pct"/>
                  <w:tcBorders>
                    <w:top w:val="nil"/>
                    <w:left w:val="nil"/>
                    <w:bottom w:val="single" w:color="auto" w:sz="8" w:space="0"/>
                    <w:right w:val="single" w:color="auto" w:sz="8" w:space="0"/>
                  </w:tcBorders>
                  <w:shd w:val="clear" w:color="auto" w:fill="auto"/>
                  <w:vAlign w:val="center"/>
                </w:tcPr>
                <w:p w14:paraId="6BE32A38">
                  <w:pPr>
                    <w:widowControl/>
                    <w:jc w:val="center"/>
                    <w:rPr>
                      <w:rFonts w:hint="default"/>
                      <w:color w:val="auto"/>
                      <w:kern w:val="0"/>
                      <w:sz w:val="21"/>
                      <w:szCs w:val="21"/>
                      <w:u w:val="single"/>
                      <w:lang w:val="en-US" w:eastAsia="zh-CN"/>
                    </w:rPr>
                  </w:pPr>
                  <w:r>
                    <w:rPr>
                      <w:rFonts w:hint="eastAsia"/>
                      <w:color w:val="auto"/>
                      <w:kern w:val="0"/>
                      <w:sz w:val="21"/>
                      <w:szCs w:val="21"/>
                      <w:u w:val="single"/>
                      <w:lang w:val="en-US" w:eastAsia="zh-CN"/>
                    </w:rPr>
                    <w:t>30辆/天</w:t>
                  </w:r>
                </w:p>
              </w:tc>
              <w:tc>
                <w:tcPr>
                  <w:tcW w:w="567" w:type="pct"/>
                  <w:tcBorders>
                    <w:top w:val="nil"/>
                    <w:left w:val="nil"/>
                    <w:bottom w:val="single" w:color="auto" w:sz="8" w:space="0"/>
                    <w:right w:val="single" w:color="auto" w:sz="8" w:space="0"/>
                  </w:tcBorders>
                  <w:shd w:val="clear" w:color="auto" w:fill="auto"/>
                  <w:vAlign w:val="center"/>
                </w:tcPr>
                <w:p w14:paraId="7A486A30">
                  <w:pPr>
                    <w:widowControl/>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365d</w:t>
                  </w:r>
                </w:p>
              </w:tc>
              <w:tc>
                <w:tcPr>
                  <w:tcW w:w="623" w:type="pct"/>
                  <w:tcBorders>
                    <w:top w:val="nil"/>
                    <w:left w:val="nil"/>
                    <w:bottom w:val="single" w:color="auto" w:sz="8" w:space="0"/>
                    <w:right w:val="single" w:color="auto" w:sz="8" w:space="0"/>
                  </w:tcBorders>
                  <w:shd w:val="clear" w:color="auto" w:fill="auto"/>
                  <w:vAlign w:val="center"/>
                </w:tcPr>
                <w:p w14:paraId="68766EAA">
                  <w:pPr>
                    <w:keepNext w:val="0"/>
                    <w:keepLines w:val="0"/>
                    <w:widowControl/>
                    <w:suppressLineNumbers w:val="0"/>
                    <w:jc w:val="center"/>
                    <w:textAlignment w:val="center"/>
                    <w:rPr>
                      <w:rFonts w:hint="default"/>
                      <w:color w:val="auto"/>
                      <w:kern w:val="0"/>
                      <w:sz w:val="21"/>
                      <w:szCs w:val="21"/>
                      <w:u w:val="single"/>
                      <w:lang w:val="en-US" w:eastAsia="zh-CN"/>
                    </w:rPr>
                  </w:pPr>
                  <w:r>
                    <w:rPr>
                      <w:rFonts w:hint="eastAsia" w:cs="Times New Roman"/>
                      <w:i w:val="0"/>
                      <w:iCs w:val="0"/>
                      <w:color w:val="000000"/>
                      <w:kern w:val="0"/>
                      <w:sz w:val="21"/>
                      <w:szCs w:val="21"/>
                      <w:u w:val="single"/>
                      <w:lang w:val="en-US" w:eastAsia="zh-CN" w:bidi="ar"/>
                    </w:rPr>
                    <w:t>361.35</w:t>
                  </w:r>
                </w:p>
              </w:tc>
              <w:tc>
                <w:tcPr>
                  <w:tcW w:w="576" w:type="pct"/>
                  <w:tcBorders>
                    <w:top w:val="nil"/>
                    <w:left w:val="nil"/>
                    <w:bottom w:val="single" w:color="auto" w:sz="8" w:space="0"/>
                    <w:right w:val="single" w:color="auto" w:sz="8" w:space="0"/>
                  </w:tcBorders>
                  <w:shd w:val="clear" w:color="auto" w:fill="auto"/>
                  <w:vAlign w:val="center"/>
                </w:tcPr>
                <w:p w14:paraId="6A096603">
                  <w:pPr>
                    <w:widowControl/>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0.9</w:t>
                  </w:r>
                </w:p>
              </w:tc>
              <w:tc>
                <w:tcPr>
                  <w:tcW w:w="794" w:type="pct"/>
                  <w:tcBorders>
                    <w:top w:val="nil"/>
                    <w:left w:val="nil"/>
                    <w:bottom w:val="single" w:color="auto" w:sz="8" w:space="0"/>
                  </w:tcBorders>
                  <w:shd w:val="clear" w:color="auto" w:fill="auto"/>
                  <w:vAlign w:val="center"/>
                </w:tcPr>
                <w:p w14:paraId="480B7F6C">
                  <w:pPr>
                    <w:keepNext w:val="0"/>
                    <w:keepLines w:val="0"/>
                    <w:widowControl/>
                    <w:suppressLineNumbers w:val="0"/>
                    <w:jc w:val="center"/>
                    <w:textAlignment w:val="center"/>
                    <w:rPr>
                      <w:rFonts w:hint="default" w:eastAsia="宋体"/>
                      <w:color w:val="auto"/>
                      <w:kern w:val="0"/>
                      <w:sz w:val="21"/>
                      <w:szCs w:val="21"/>
                      <w:u w:val="single"/>
                      <w:lang w:val="en-US" w:eastAsia="zh-CN"/>
                    </w:rPr>
                  </w:pPr>
                  <w:r>
                    <w:rPr>
                      <w:rFonts w:hint="default" w:eastAsia="宋体"/>
                      <w:color w:val="auto"/>
                      <w:kern w:val="0"/>
                      <w:sz w:val="21"/>
                      <w:szCs w:val="21"/>
                      <w:u w:val="single"/>
                      <w:lang w:val="en-US" w:eastAsia="zh-CN"/>
                    </w:rPr>
                    <w:t>325.22</w:t>
                  </w:r>
                </w:p>
              </w:tc>
            </w:tr>
            <w:tr w14:paraId="39667E6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top w:val="nil"/>
                    <w:bottom w:val="single" w:color="auto" w:sz="8" w:space="0"/>
                    <w:right w:val="single" w:color="auto" w:sz="8" w:space="0"/>
                  </w:tcBorders>
                  <w:shd w:val="clear" w:color="auto" w:fill="auto"/>
                  <w:vAlign w:val="center"/>
                </w:tcPr>
                <w:p w14:paraId="3449070E">
                  <w:pPr>
                    <w:widowControl/>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 w:val="21"/>
                      <w:szCs w:val="21"/>
                      <w:u w:val="single"/>
                      <w:lang w:val="en-US" w:eastAsia="zh-CN"/>
                    </w:rPr>
                    <w:t>5</w:t>
                  </w:r>
                </w:p>
              </w:tc>
              <w:tc>
                <w:tcPr>
                  <w:tcW w:w="637" w:type="pct"/>
                  <w:tcBorders>
                    <w:top w:val="nil"/>
                    <w:left w:val="nil"/>
                    <w:bottom w:val="single" w:color="auto" w:sz="8" w:space="0"/>
                    <w:right w:val="single" w:color="auto" w:sz="8" w:space="0"/>
                  </w:tcBorders>
                  <w:shd w:val="clear" w:color="auto" w:fill="auto"/>
                  <w:vAlign w:val="center"/>
                </w:tcPr>
                <w:p w14:paraId="37D1585A">
                  <w:pPr>
                    <w:widowControl/>
                    <w:jc w:val="center"/>
                    <w:rPr>
                      <w:rFonts w:hint="eastAsia" w:ascii="宋体" w:hAnsi="宋体" w:eastAsia="宋体" w:cs="宋体"/>
                      <w:color w:val="auto"/>
                      <w:kern w:val="0"/>
                      <w:sz w:val="21"/>
                      <w:szCs w:val="21"/>
                      <w:u w:val="single"/>
                      <w:lang w:val="en-US" w:eastAsia="zh-CN" w:bidi="ar-SA"/>
                    </w:rPr>
                  </w:pPr>
                  <w:r>
                    <w:rPr>
                      <w:rFonts w:hint="eastAsia" w:ascii="宋体" w:hAnsi="宋体" w:cs="宋体"/>
                      <w:color w:val="auto"/>
                      <w:kern w:val="0"/>
                      <w:sz w:val="21"/>
                      <w:szCs w:val="21"/>
                      <w:u w:val="single"/>
                    </w:rPr>
                    <w:t>绿化用水</w:t>
                  </w:r>
                </w:p>
              </w:tc>
              <w:tc>
                <w:tcPr>
                  <w:tcW w:w="672" w:type="pct"/>
                  <w:tcBorders>
                    <w:top w:val="nil"/>
                    <w:left w:val="nil"/>
                    <w:bottom w:val="single" w:color="auto" w:sz="8" w:space="0"/>
                    <w:right w:val="single" w:color="auto" w:sz="8" w:space="0"/>
                  </w:tcBorders>
                  <w:shd w:val="clear" w:color="auto" w:fill="auto"/>
                  <w:vAlign w:val="center"/>
                </w:tcPr>
                <w:p w14:paraId="2F909E54">
                  <w:pPr>
                    <w:widowControl/>
                    <w:jc w:val="center"/>
                    <w:rPr>
                      <w:rFonts w:hint="eastAsia" w:ascii="Times New Roman" w:hAnsi="Times New Roman" w:eastAsia="宋体" w:cs="Times New Roman"/>
                      <w:color w:val="auto"/>
                      <w:kern w:val="0"/>
                      <w:sz w:val="21"/>
                      <w:szCs w:val="21"/>
                      <w:u w:val="single"/>
                      <w:lang w:val="en-US" w:eastAsia="zh-CN" w:bidi="ar-SA"/>
                    </w:rPr>
                  </w:pPr>
                  <w:r>
                    <w:rPr>
                      <w:color w:val="auto"/>
                      <w:kern w:val="0"/>
                      <w:sz w:val="21"/>
                      <w:szCs w:val="21"/>
                      <w:u w:val="single"/>
                    </w:rPr>
                    <w:t>2</w:t>
                  </w:r>
                  <w:r>
                    <w:rPr>
                      <w:rFonts w:hint="eastAsia"/>
                      <w:color w:val="auto"/>
                      <w:kern w:val="0"/>
                      <w:sz w:val="21"/>
                      <w:szCs w:val="21"/>
                      <w:u w:val="single"/>
                      <w:lang w:val="en-US" w:eastAsia="zh-CN"/>
                    </w:rPr>
                    <w:t>.4</w:t>
                  </w:r>
                  <w:r>
                    <w:rPr>
                      <w:color w:val="auto"/>
                      <w:kern w:val="0"/>
                      <w:sz w:val="21"/>
                      <w:szCs w:val="21"/>
                      <w:u w:val="single"/>
                    </w:rPr>
                    <w:t>L/m</w:t>
                  </w:r>
                  <w:r>
                    <w:rPr>
                      <w:color w:val="auto"/>
                      <w:kern w:val="0"/>
                      <w:sz w:val="21"/>
                      <w:szCs w:val="21"/>
                      <w:u w:val="single"/>
                      <w:vertAlign w:val="superscript"/>
                    </w:rPr>
                    <w:t>2</w:t>
                  </w:r>
                  <w:r>
                    <w:rPr>
                      <w:color w:val="auto"/>
                      <w:kern w:val="0"/>
                      <w:sz w:val="21"/>
                      <w:szCs w:val="21"/>
                      <w:u w:val="single"/>
                    </w:rPr>
                    <w:t>•d</w:t>
                  </w:r>
                </w:p>
              </w:tc>
              <w:tc>
                <w:tcPr>
                  <w:tcW w:w="612" w:type="pct"/>
                  <w:tcBorders>
                    <w:top w:val="nil"/>
                    <w:left w:val="nil"/>
                    <w:bottom w:val="single" w:color="auto" w:sz="8" w:space="0"/>
                    <w:right w:val="single" w:color="auto" w:sz="8" w:space="0"/>
                  </w:tcBorders>
                  <w:shd w:val="clear" w:color="auto" w:fill="auto"/>
                  <w:vAlign w:val="center"/>
                </w:tcPr>
                <w:p w14:paraId="5105E7ED">
                  <w:pPr>
                    <w:widowControl/>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 w:val="21"/>
                      <w:szCs w:val="21"/>
                      <w:u w:val="single"/>
                    </w:rPr>
                    <w:t>235.65</w:t>
                  </w:r>
                  <w:r>
                    <w:rPr>
                      <w:color w:val="auto"/>
                      <w:kern w:val="0"/>
                      <w:sz w:val="21"/>
                      <w:szCs w:val="21"/>
                      <w:u w:val="single"/>
                    </w:rPr>
                    <w:t>m</w:t>
                  </w:r>
                  <w:r>
                    <w:rPr>
                      <w:color w:val="auto"/>
                      <w:kern w:val="0"/>
                      <w:sz w:val="21"/>
                      <w:szCs w:val="21"/>
                      <w:u w:val="single"/>
                      <w:vertAlign w:val="superscript"/>
                    </w:rPr>
                    <w:t>2</w:t>
                  </w:r>
                </w:p>
              </w:tc>
              <w:tc>
                <w:tcPr>
                  <w:tcW w:w="567" w:type="pct"/>
                  <w:tcBorders>
                    <w:top w:val="nil"/>
                    <w:left w:val="nil"/>
                    <w:bottom w:val="single" w:color="auto" w:sz="8" w:space="0"/>
                    <w:right w:val="single" w:color="auto" w:sz="8" w:space="0"/>
                  </w:tcBorders>
                  <w:shd w:val="clear" w:color="auto" w:fill="auto"/>
                  <w:vAlign w:val="center"/>
                </w:tcPr>
                <w:p w14:paraId="65B830A7">
                  <w:pPr>
                    <w:widowControl/>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180d</w:t>
                  </w:r>
                </w:p>
              </w:tc>
              <w:tc>
                <w:tcPr>
                  <w:tcW w:w="623" w:type="pct"/>
                  <w:tcBorders>
                    <w:top w:val="nil"/>
                    <w:left w:val="nil"/>
                    <w:bottom w:val="single" w:color="auto" w:sz="8" w:space="0"/>
                    <w:right w:val="single" w:color="auto" w:sz="8" w:space="0"/>
                  </w:tcBorders>
                  <w:shd w:val="clear" w:color="auto" w:fill="auto"/>
                  <w:vAlign w:val="center"/>
                </w:tcPr>
                <w:p w14:paraId="32553C0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single"/>
                      <w:lang w:val="en-US" w:eastAsia="zh-CN" w:bidi="ar-SA"/>
                    </w:rPr>
                  </w:pPr>
                  <w:r>
                    <w:rPr>
                      <w:rFonts w:hint="eastAsia" w:cs="Times New Roman"/>
                      <w:i w:val="0"/>
                      <w:iCs w:val="0"/>
                      <w:color w:val="000000"/>
                      <w:kern w:val="0"/>
                      <w:sz w:val="21"/>
                      <w:szCs w:val="21"/>
                      <w:u w:val="single"/>
                      <w:lang w:val="en-US" w:eastAsia="zh-CN" w:bidi="ar"/>
                    </w:rPr>
                    <w:t>101.8</w:t>
                  </w:r>
                </w:p>
              </w:tc>
              <w:tc>
                <w:tcPr>
                  <w:tcW w:w="576" w:type="pct"/>
                  <w:tcBorders>
                    <w:top w:val="nil"/>
                    <w:left w:val="nil"/>
                    <w:bottom w:val="single" w:color="auto" w:sz="8" w:space="0"/>
                    <w:right w:val="single" w:color="auto" w:sz="8" w:space="0"/>
                  </w:tcBorders>
                  <w:shd w:val="clear" w:color="auto" w:fill="auto"/>
                  <w:vAlign w:val="center"/>
                </w:tcPr>
                <w:p w14:paraId="7B9DC838">
                  <w:pPr>
                    <w:widowControl/>
                    <w:jc w:val="center"/>
                    <w:rPr>
                      <w:rFonts w:hint="eastAsia" w:ascii="Times New Roman" w:hAnsi="Times New Roman" w:eastAsia="宋体" w:cs="Times New Roman"/>
                      <w:color w:val="auto"/>
                      <w:kern w:val="0"/>
                      <w:sz w:val="21"/>
                      <w:szCs w:val="21"/>
                      <w:u w:val="single"/>
                      <w:lang w:val="en-US" w:eastAsia="zh-CN" w:bidi="ar-SA"/>
                    </w:rPr>
                  </w:pPr>
                  <w:r>
                    <w:rPr>
                      <w:color w:val="auto"/>
                      <w:kern w:val="0"/>
                      <w:sz w:val="21"/>
                      <w:szCs w:val="21"/>
                      <w:u w:val="single"/>
                    </w:rPr>
                    <w:t>0</w:t>
                  </w:r>
                </w:p>
              </w:tc>
              <w:tc>
                <w:tcPr>
                  <w:tcW w:w="794" w:type="pct"/>
                  <w:tcBorders>
                    <w:top w:val="nil"/>
                    <w:left w:val="nil"/>
                    <w:bottom w:val="single" w:color="auto" w:sz="8" w:space="0"/>
                  </w:tcBorders>
                  <w:shd w:val="clear" w:color="auto" w:fill="auto"/>
                  <w:vAlign w:val="center"/>
                </w:tcPr>
                <w:p w14:paraId="2BF530B7">
                  <w:pPr>
                    <w:widowControl/>
                    <w:jc w:val="center"/>
                    <w:rPr>
                      <w:rFonts w:ascii="Times New Roman" w:hAnsi="Times New Roman" w:eastAsia="宋体" w:cs="Times New Roman"/>
                      <w:color w:val="auto"/>
                      <w:kern w:val="0"/>
                      <w:sz w:val="21"/>
                      <w:szCs w:val="21"/>
                      <w:u w:val="single"/>
                      <w:lang w:val="en-US" w:eastAsia="zh-CN" w:bidi="ar-SA"/>
                    </w:rPr>
                  </w:pPr>
                  <w:r>
                    <w:rPr>
                      <w:color w:val="auto"/>
                      <w:kern w:val="0"/>
                      <w:sz w:val="21"/>
                      <w:szCs w:val="21"/>
                      <w:u w:val="single"/>
                    </w:rPr>
                    <w:t>0</w:t>
                  </w:r>
                </w:p>
              </w:tc>
            </w:tr>
            <w:tr w14:paraId="2750C8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515" w:type="pct"/>
                  <w:tcBorders>
                    <w:top w:val="nil"/>
                    <w:bottom w:val="single" w:color="auto" w:sz="8" w:space="0"/>
                    <w:right w:val="single" w:color="auto" w:sz="8" w:space="0"/>
                  </w:tcBorders>
                  <w:shd w:val="clear" w:color="auto" w:fill="auto"/>
                  <w:vAlign w:val="center"/>
                </w:tcPr>
                <w:p w14:paraId="750428C6">
                  <w:pPr>
                    <w:widowControl/>
                    <w:jc w:val="center"/>
                    <w:rPr>
                      <w:rFonts w:hint="eastAsia" w:eastAsia="宋体"/>
                      <w:color w:val="auto"/>
                      <w:kern w:val="0"/>
                      <w:sz w:val="21"/>
                      <w:szCs w:val="21"/>
                      <w:u w:val="single"/>
                      <w:lang w:eastAsia="zh-CN"/>
                    </w:rPr>
                  </w:pPr>
                  <w:r>
                    <w:rPr>
                      <w:rFonts w:hint="eastAsia"/>
                      <w:color w:val="auto"/>
                      <w:kern w:val="0"/>
                      <w:sz w:val="21"/>
                      <w:szCs w:val="21"/>
                      <w:u w:val="single"/>
                      <w:lang w:val="en-US" w:eastAsia="zh-CN"/>
                    </w:rPr>
                    <w:t>6</w:t>
                  </w:r>
                </w:p>
              </w:tc>
              <w:tc>
                <w:tcPr>
                  <w:tcW w:w="637" w:type="pct"/>
                  <w:tcBorders>
                    <w:top w:val="nil"/>
                    <w:left w:val="nil"/>
                    <w:bottom w:val="single" w:color="auto" w:sz="8" w:space="0"/>
                    <w:right w:val="single" w:color="auto" w:sz="8" w:space="0"/>
                  </w:tcBorders>
                  <w:shd w:val="clear" w:color="auto" w:fill="auto"/>
                  <w:vAlign w:val="center"/>
                </w:tcPr>
                <w:p w14:paraId="3ED97221">
                  <w:pPr>
                    <w:widowControl/>
                    <w:jc w:val="center"/>
                    <w:rPr>
                      <w:rFonts w:ascii="宋体" w:hAnsi="宋体" w:cs="宋体"/>
                      <w:color w:val="auto"/>
                      <w:kern w:val="0"/>
                      <w:sz w:val="21"/>
                      <w:szCs w:val="21"/>
                      <w:u w:val="single"/>
                    </w:rPr>
                  </w:pPr>
                  <w:r>
                    <w:rPr>
                      <w:rFonts w:hint="eastAsia" w:ascii="宋体" w:hAnsi="宋体" w:cs="宋体"/>
                      <w:color w:val="auto"/>
                      <w:kern w:val="0"/>
                      <w:sz w:val="21"/>
                      <w:szCs w:val="21"/>
                      <w:u w:val="single"/>
                    </w:rPr>
                    <w:t>初期雨水</w:t>
                  </w:r>
                </w:p>
              </w:tc>
              <w:tc>
                <w:tcPr>
                  <w:tcW w:w="672" w:type="pct"/>
                  <w:tcBorders>
                    <w:top w:val="nil"/>
                    <w:left w:val="nil"/>
                    <w:bottom w:val="single" w:color="auto" w:sz="8" w:space="0"/>
                    <w:right w:val="single" w:color="auto" w:sz="8" w:space="0"/>
                  </w:tcBorders>
                  <w:shd w:val="clear" w:color="auto" w:fill="auto"/>
                  <w:vAlign w:val="center"/>
                </w:tcPr>
                <w:p w14:paraId="70AC597A">
                  <w:pPr>
                    <w:widowControl/>
                    <w:jc w:val="center"/>
                    <w:rPr>
                      <w:color w:val="auto"/>
                      <w:kern w:val="0"/>
                      <w:sz w:val="21"/>
                      <w:szCs w:val="21"/>
                      <w:u w:val="single"/>
                    </w:rPr>
                  </w:pPr>
                  <w:r>
                    <w:rPr>
                      <w:color w:val="auto"/>
                      <w:kern w:val="0"/>
                      <w:sz w:val="21"/>
                      <w:szCs w:val="21"/>
                      <w:u w:val="single"/>
                    </w:rPr>
                    <w:t>/</w:t>
                  </w:r>
                </w:p>
              </w:tc>
              <w:tc>
                <w:tcPr>
                  <w:tcW w:w="612" w:type="pct"/>
                  <w:tcBorders>
                    <w:top w:val="nil"/>
                    <w:left w:val="nil"/>
                    <w:bottom w:val="single" w:color="auto" w:sz="8" w:space="0"/>
                    <w:right w:val="single" w:color="auto" w:sz="8" w:space="0"/>
                  </w:tcBorders>
                  <w:shd w:val="clear" w:color="auto" w:fill="auto"/>
                  <w:vAlign w:val="center"/>
                </w:tcPr>
                <w:p w14:paraId="10469F07">
                  <w:pPr>
                    <w:widowControl/>
                    <w:jc w:val="center"/>
                    <w:rPr>
                      <w:color w:val="auto"/>
                      <w:kern w:val="0"/>
                      <w:sz w:val="21"/>
                      <w:szCs w:val="21"/>
                      <w:u w:val="single"/>
                    </w:rPr>
                  </w:pPr>
                  <w:r>
                    <w:rPr>
                      <w:color w:val="auto"/>
                      <w:kern w:val="0"/>
                      <w:sz w:val="21"/>
                      <w:szCs w:val="21"/>
                      <w:u w:val="single"/>
                    </w:rPr>
                    <w:t>/</w:t>
                  </w:r>
                </w:p>
              </w:tc>
              <w:tc>
                <w:tcPr>
                  <w:tcW w:w="567" w:type="pct"/>
                  <w:tcBorders>
                    <w:top w:val="nil"/>
                    <w:left w:val="nil"/>
                    <w:bottom w:val="single" w:color="auto" w:sz="8" w:space="0"/>
                    <w:right w:val="single" w:color="auto" w:sz="8" w:space="0"/>
                  </w:tcBorders>
                  <w:shd w:val="clear" w:color="auto" w:fill="auto"/>
                  <w:vAlign w:val="center"/>
                </w:tcPr>
                <w:p w14:paraId="314D273C">
                  <w:pPr>
                    <w:widowControl/>
                    <w:jc w:val="center"/>
                    <w:rPr>
                      <w:color w:val="auto"/>
                      <w:kern w:val="0"/>
                      <w:sz w:val="21"/>
                      <w:szCs w:val="21"/>
                      <w:u w:val="single"/>
                    </w:rPr>
                  </w:pPr>
                  <w:r>
                    <w:rPr>
                      <w:color w:val="auto"/>
                      <w:kern w:val="0"/>
                      <w:sz w:val="21"/>
                      <w:szCs w:val="21"/>
                      <w:u w:val="single"/>
                    </w:rPr>
                    <w:t>/</w:t>
                  </w:r>
                </w:p>
              </w:tc>
              <w:tc>
                <w:tcPr>
                  <w:tcW w:w="623" w:type="pct"/>
                  <w:tcBorders>
                    <w:top w:val="nil"/>
                    <w:left w:val="nil"/>
                    <w:bottom w:val="single" w:color="auto" w:sz="8" w:space="0"/>
                    <w:right w:val="single" w:color="auto" w:sz="8" w:space="0"/>
                  </w:tcBorders>
                  <w:shd w:val="clear" w:color="auto" w:fill="auto"/>
                  <w:vAlign w:val="center"/>
                </w:tcPr>
                <w:p w14:paraId="73317087">
                  <w:pPr>
                    <w:widowControl/>
                    <w:jc w:val="center"/>
                    <w:rPr>
                      <w:color w:val="auto"/>
                      <w:kern w:val="0"/>
                      <w:sz w:val="21"/>
                      <w:szCs w:val="21"/>
                      <w:u w:val="single"/>
                    </w:rPr>
                  </w:pPr>
                  <w:r>
                    <w:rPr>
                      <w:color w:val="auto"/>
                      <w:kern w:val="0"/>
                      <w:sz w:val="21"/>
                      <w:szCs w:val="21"/>
                      <w:u w:val="single"/>
                    </w:rPr>
                    <w:t>/</w:t>
                  </w:r>
                </w:p>
              </w:tc>
              <w:tc>
                <w:tcPr>
                  <w:tcW w:w="576" w:type="pct"/>
                  <w:tcBorders>
                    <w:top w:val="nil"/>
                    <w:left w:val="nil"/>
                    <w:bottom w:val="single" w:color="auto" w:sz="8" w:space="0"/>
                    <w:right w:val="single" w:color="auto" w:sz="8" w:space="0"/>
                  </w:tcBorders>
                  <w:shd w:val="clear" w:color="auto" w:fill="auto"/>
                  <w:vAlign w:val="center"/>
                </w:tcPr>
                <w:p w14:paraId="2CBF213A">
                  <w:pPr>
                    <w:widowControl/>
                    <w:jc w:val="center"/>
                    <w:rPr>
                      <w:color w:val="auto"/>
                      <w:kern w:val="0"/>
                      <w:sz w:val="21"/>
                      <w:szCs w:val="21"/>
                      <w:u w:val="single"/>
                    </w:rPr>
                  </w:pPr>
                  <w:r>
                    <w:rPr>
                      <w:color w:val="auto"/>
                      <w:kern w:val="0"/>
                      <w:sz w:val="21"/>
                      <w:szCs w:val="21"/>
                      <w:u w:val="single"/>
                    </w:rPr>
                    <w:t>/</w:t>
                  </w:r>
                </w:p>
              </w:tc>
              <w:tc>
                <w:tcPr>
                  <w:tcW w:w="794" w:type="pct"/>
                  <w:tcBorders>
                    <w:top w:val="nil"/>
                    <w:left w:val="nil"/>
                    <w:bottom w:val="single" w:color="auto" w:sz="8" w:space="0"/>
                  </w:tcBorders>
                  <w:shd w:val="clear" w:color="auto" w:fill="auto"/>
                  <w:vAlign w:val="center"/>
                </w:tcPr>
                <w:p w14:paraId="0E6A8D8E">
                  <w:pPr>
                    <w:widowControl/>
                    <w:jc w:val="center"/>
                    <w:rPr>
                      <w:rFonts w:hint="default" w:eastAsia="宋体"/>
                      <w:color w:val="auto"/>
                      <w:kern w:val="0"/>
                      <w:sz w:val="21"/>
                      <w:szCs w:val="21"/>
                      <w:u w:val="single"/>
                      <w:lang w:val="en-US" w:eastAsia="zh-CN"/>
                    </w:rPr>
                  </w:pPr>
                  <w:r>
                    <w:rPr>
                      <w:rFonts w:hint="default" w:eastAsia="宋体"/>
                      <w:color w:val="auto"/>
                      <w:kern w:val="0"/>
                      <w:sz w:val="21"/>
                      <w:szCs w:val="21"/>
                      <w:u w:val="single"/>
                      <w:lang w:val="en-US" w:eastAsia="zh-CN"/>
                    </w:rPr>
                    <w:t>370.44</w:t>
                  </w:r>
                </w:p>
              </w:tc>
            </w:tr>
            <w:tr w14:paraId="3E1FF9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 w:hRule="atLeast"/>
              </w:trPr>
              <w:tc>
                <w:tcPr>
                  <w:tcW w:w="1152" w:type="pct"/>
                  <w:gridSpan w:val="2"/>
                  <w:tcBorders>
                    <w:top w:val="single" w:color="auto" w:sz="8" w:space="0"/>
                    <w:right w:val="single" w:color="000000" w:sz="8" w:space="0"/>
                  </w:tcBorders>
                  <w:shd w:val="clear" w:color="auto" w:fill="auto"/>
                  <w:vAlign w:val="center"/>
                </w:tcPr>
                <w:p w14:paraId="727CD8B1">
                  <w:pPr>
                    <w:widowControl/>
                    <w:jc w:val="center"/>
                    <w:rPr>
                      <w:rFonts w:ascii="宋体" w:hAnsi="宋体" w:cs="宋体"/>
                      <w:color w:val="auto"/>
                      <w:kern w:val="0"/>
                      <w:sz w:val="21"/>
                      <w:szCs w:val="21"/>
                      <w:u w:val="single"/>
                    </w:rPr>
                  </w:pPr>
                  <w:r>
                    <w:rPr>
                      <w:rFonts w:hint="eastAsia" w:ascii="宋体" w:hAnsi="宋体" w:cs="宋体"/>
                      <w:color w:val="auto"/>
                      <w:kern w:val="0"/>
                      <w:sz w:val="21"/>
                      <w:szCs w:val="21"/>
                      <w:u w:val="single"/>
                    </w:rPr>
                    <w:t>合计</w:t>
                  </w:r>
                </w:p>
              </w:tc>
              <w:tc>
                <w:tcPr>
                  <w:tcW w:w="672" w:type="pct"/>
                  <w:tcBorders>
                    <w:top w:val="nil"/>
                    <w:left w:val="nil"/>
                    <w:right w:val="single" w:color="auto" w:sz="8" w:space="0"/>
                  </w:tcBorders>
                  <w:shd w:val="clear" w:color="auto" w:fill="auto"/>
                  <w:vAlign w:val="center"/>
                </w:tcPr>
                <w:p w14:paraId="7D46780C">
                  <w:pPr>
                    <w:widowControl/>
                    <w:jc w:val="center"/>
                    <w:rPr>
                      <w:color w:val="auto"/>
                      <w:kern w:val="0"/>
                      <w:sz w:val="21"/>
                      <w:szCs w:val="21"/>
                      <w:u w:val="single"/>
                    </w:rPr>
                  </w:pPr>
                  <w:r>
                    <w:rPr>
                      <w:color w:val="auto"/>
                      <w:kern w:val="0"/>
                      <w:sz w:val="21"/>
                      <w:szCs w:val="21"/>
                      <w:u w:val="single"/>
                    </w:rPr>
                    <w:t>/</w:t>
                  </w:r>
                </w:p>
              </w:tc>
              <w:tc>
                <w:tcPr>
                  <w:tcW w:w="612" w:type="pct"/>
                  <w:tcBorders>
                    <w:top w:val="nil"/>
                    <w:left w:val="nil"/>
                    <w:right w:val="single" w:color="auto" w:sz="8" w:space="0"/>
                  </w:tcBorders>
                  <w:shd w:val="clear" w:color="auto" w:fill="auto"/>
                  <w:vAlign w:val="center"/>
                </w:tcPr>
                <w:p w14:paraId="0B24044C">
                  <w:pPr>
                    <w:widowControl/>
                    <w:jc w:val="center"/>
                    <w:rPr>
                      <w:color w:val="auto"/>
                      <w:kern w:val="0"/>
                      <w:sz w:val="21"/>
                      <w:szCs w:val="21"/>
                      <w:u w:val="single"/>
                    </w:rPr>
                  </w:pPr>
                  <w:r>
                    <w:rPr>
                      <w:color w:val="auto"/>
                      <w:kern w:val="0"/>
                      <w:sz w:val="21"/>
                      <w:szCs w:val="21"/>
                      <w:u w:val="single"/>
                    </w:rPr>
                    <w:t>/</w:t>
                  </w:r>
                </w:p>
              </w:tc>
              <w:tc>
                <w:tcPr>
                  <w:tcW w:w="567" w:type="pct"/>
                  <w:tcBorders>
                    <w:top w:val="nil"/>
                    <w:left w:val="nil"/>
                    <w:right w:val="single" w:color="auto" w:sz="8" w:space="0"/>
                  </w:tcBorders>
                  <w:shd w:val="clear" w:color="auto" w:fill="auto"/>
                  <w:vAlign w:val="center"/>
                </w:tcPr>
                <w:p w14:paraId="4B87DED6">
                  <w:pPr>
                    <w:widowControl/>
                    <w:jc w:val="center"/>
                    <w:rPr>
                      <w:color w:val="auto"/>
                      <w:kern w:val="0"/>
                      <w:sz w:val="21"/>
                      <w:szCs w:val="21"/>
                      <w:u w:val="single"/>
                    </w:rPr>
                  </w:pPr>
                  <w:r>
                    <w:rPr>
                      <w:color w:val="auto"/>
                      <w:kern w:val="0"/>
                      <w:sz w:val="21"/>
                      <w:szCs w:val="21"/>
                      <w:u w:val="single"/>
                    </w:rPr>
                    <w:t>/</w:t>
                  </w:r>
                </w:p>
              </w:tc>
              <w:tc>
                <w:tcPr>
                  <w:tcW w:w="623" w:type="pct"/>
                  <w:tcBorders>
                    <w:top w:val="nil"/>
                    <w:left w:val="nil"/>
                    <w:right w:val="single" w:color="auto" w:sz="8" w:space="0"/>
                  </w:tcBorders>
                  <w:shd w:val="clear" w:color="auto" w:fill="auto"/>
                  <w:vAlign w:val="center"/>
                </w:tcPr>
                <w:p w14:paraId="278667BA">
                  <w:pPr>
                    <w:widowControl/>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1045.85</w:t>
                  </w:r>
                </w:p>
              </w:tc>
              <w:tc>
                <w:tcPr>
                  <w:tcW w:w="576" w:type="pct"/>
                  <w:tcBorders>
                    <w:top w:val="nil"/>
                    <w:left w:val="nil"/>
                    <w:right w:val="single" w:color="auto" w:sz="8" w:space="0"/>
                  </w:tcBorders>
                  <w:shd w:val="clear" w:color="auto" w:fill="auto"/>
                  <w:vAlign w:val="center"/>
                </w:tcPr>
                <w:p w14:paraId="4EBADAD8">
                  <w:pPr>
                    <w:widowControl/>
                    <w:jc w:val="center"/>
                    <w:rPr>
                      <w:color w:val="auto"/>
                      <w:kern w:val="0"/>
                      <w:sz w:val="21"/>
                      <w:szCs w:val="21"/>
                      <w:u w:val="single"/>
                    </w:rPr>
                  </w:pPr>
                  <w:r>
                    <w:rPr>
                      <w:color w:val="auto"/>
                      <w:kern w:val="0"/>
                      <w:sz w:val="21"/>
                      <w:szCs w:val="21"/>
                      <w:u w:val="single"/>
                    </w:rPr>
                    <w:t>/</w:t>
                  </w:r>
                </w:p>
              </w:tc>
              <w:tc>
                <w:tcPr>
                  <w:tcW w:w="794" w:type="pct"/>
                  <w:tcBorders>
                    <w:top w:val="nil"/>
                    <w:left w:val="nil"/>
                  </w:tcBorders>
                  <w:shd w:val="clear" w:color="auto" w:fill="auto"/>
                  <w:vAlign w:val="center"/>
                </w:tcPr>
                <w:p w14:paraId="30F0EB4D">
                  <w:pPr>
                    <w:widowControl/>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1161.82</w:t>
                  </w:r>
                </w:p>
              </w:tc>
            </w:tr>
          </w:tbl>
          <w:p w14:paraId="74244541">
            <w:pPr>
              <w:adjustRightInd w:val="0"/>
              <w:spacing w:line="240" w:lineRule="auto"/>
              <w:jc w:val="center"/>
              <w:rPr>
                <w:b/>
                <w:bCs/>
                <w:color w:val="auto"/>
                <w:sz w:val="24"/>
                <w:szCs w:val="24"/>
                <w:u w:val="none"/>
              </w:rPr>
            </w:pPr>
            <w:r>
              <w:rPr>
                <w:rFonts w:hint="eastAsia" w:eastAsia="宋体"/>
                <w:b/>
                <w:bCs/>
                <w:snapToGrid w:val="0"/>
                <w:color w:val="000000" w:themeColor="text1"/>
                <w:sz w:val="24"/>
                <w:u w:val="single"/>
                <w:lang w:eastAsia="zh-CN"/>
                <w14:textFill>
                  <w14:solidFill>
                    <w14:schemeClr w14:val="tx1"/>
                  </w14:solidFill>
                </w14:textFill>
              </w:rPr>
              <w:object>
                <v:shape id="_x0000_i1026" o:spt="75" type="#_x0000_t75" style="height:187.9pt;width:419.8pt;" o:ole="t" filled="f" o:preferrelative="t" stroked="t" coordsize="21600,21600">
                  <v:path/>
                  <v:fill on="f" focussize="0,0"/>
                  <v:stroke color="#000000" joinstyle="miter"/>
                  <v:imagedata r:id="rId12" o:title=""/>
                  <o:lock v:ext="edit" aspectratio="t"/>
                  <w10:wrap type="none"/>
                  <w10:anchorlock/>
                </v:shape>
                <o:OLEObject Type="Embed" ProgID="Visio.Drawing.11" ShapeID="_x0000_i1026" DrawAspect="Content" ObjectID="_1468075726" r:id="rId11">
                  <o:LockedField>false</o:LockedField>
                </o:OLEObject>
              </w:object>
            </w:r>
            <w:r>
              <w:rPr>
                <w:b/>
                <w:bCs/>
                <w:color w:val="auto"/>
                <w:sz w:val="24"/>
                <w:szCs w:val="24"/>
                <w:u w:val="none"/>
              </w:rPr>
              <w:t>图2-1 项目水平衡图 单位m</w:t>
            </w:r>
            <w:r>
              <w:rPr>
                <w:b/>
                <w:bCs/>
                <w:color w:val="auto"/>
                <w:sz w:val="24"/>
                <w:szCs w:val="24"/>
                <w:u w:val="none"/>
                <w:vertAlign w:val="superscript"/>
              </w:rPr>
              <w:t>3</w:t>
            </w:r>
            <w:r>
              <w:rPr>
                <w:b/>
                <w:bCs/>
                <w:color w:val="auto"/>
                <w:sz w:val="24"/>
                <w:szCs w:val="24"/>
                <w:u w:val="none"/>
              </w:rPr>
              <w:t>/a</w:t>
            </w:r>
          </w:p>
          <w:p w14:paraId="2AFD5E53">
            <w:pPr>
              <w:adjustRightInd w:val="0"/>
              <w:snapToGrid w:val="0"/>
              <w:spacing w:line="300" w:lineRule="auto"/>
              <w:jc w:val="left"/>
              <w:rPr>
                <w:b/>
                <w:bCs/>
                <w:spacing w:val="-2"/>
                <w:sz w:val="24"/>
              </w:rPr>
            </w:pPr>
            <w:r>
              <w:rPr>
                <w:rFonts w:hint="eastAsia"/>
                <w:b/>
                <w:color w:val="auto"/>
                <w:sz w:val="24"/>
                <w:u w:val="none"/>
              </w:rPr>
              <w:t>2.</w:t>
            </w:r>
            <w:r>
              <w:rPr>
                <w:rFonts w:hint="eastAsia"/>
                <w:b/>
                <w:color w:val="auto"/>
                <w:sz w:val="24"/>
                <w:u w:val="none"/>
                <w:lang w:val="en-US" w:eastAsia="zh-CN"/>
              </w:rPr>
              <w:t>6.3</w:t>
            </w:r>
            <w:r>
              <w:rPr>
                <w:rFonts w:hint="eastAsia"/>
                <w:b/>
                <w:color w:val="auto"/>
                <w:sz w:val="24"/>
                <w:u w:val="none"/>
              </w:rPr>
              <w:t xml:space="preserve"> </w:t>
            </w:r>
            <w:r>
              <w:rPr>
                <w:b/>
                <w:bCs/>
                <w:spacing w:val="-2"/>
                <w:sz w:val="24"/>
              </w:rPr>
              <w:t>供电工程</w:t>
            </w:r>
          </w:p>
          <w:p w14:paraId="1D2382C2">
            <w:pPr>
              <w:spacing w:line="360" w:lineRule="auto"/>
              <w:ind w:firstLine="472" w:firstLineChars="200"/>
              <w:rPr>
                <w:spacing w:val="-2"/>
                <w:sz w:val="24"/>
              </w:rPr>
            </w:pPr>
            <w:r>
              <w:rPr>
                <w:spacing w:val="-2"/>
                <w:sz w:val="24"/>
              </w:rPr>
              <w:t>本项目用电由市政供电系统供给，供电条件可以满足项目需要。</w:t>
            </w:r>
          </w:p>
          <w:p w14:paraId="525AA7C4">
            <w:pPr>
              <w:pStyle w:val="16"/>
              <w:spacing w:before="0" w:after="0" w:line="360" w:lineRule="auto"/>
              <w:ind w:right="0"/>
              <w:rPr>
                <w:rFonts w:hint="eastAsia" w:eastAsia="宋体"/>
                <w:b/>
                <w:bCs/>
                <w:spacing w:val="-2"/>
                <w:sz w:val="24"/>
                <w:szCs w:val="24"/>
                <w:lang w:eastAsia="zh-CN"/>
              </w:rPr>
            </w:pPr>
            <w:r>
              <w:rPr>
                <w:rFonts w:hint="eastAsia"/>
                <w:b/>
                <w:color w:val="auto"/>
                <w:sz w:val="24"/>
                <w:u w:val="none"/>
              </w:rPr>
              <w:t>2.</w:t>
            </w:r>
            <w:r>
              <w:rPr>
                <w:rFonts w:hint="eastAsia"/>
                <w:b/>
                <w:color w:val="auto"/>
                <w:sz w:val="24"/>
                <w:u w:val="none"/>
                <w:lang w:val="en-US" w:eastAsia="zh-CN"/>
              </w:rPr>
              <w:t>6.4</w:t>
            </w:r>
            <w:r>
              <w:rPr>
                <w:rFonts w:hint="eastAsia"/>
                <w:b/>
                <w:color w:val="auto"/>
                <w:sz w:val="24"/>
                <w:u w:val="none"/>
              </w:rPr>
              <w:t xml:space="preserve"> </w:t>
            </w:r>
            <w:r>
              <w:rPr>
                <w:rFonts w:hint="eastAsia"/>
                <w:b/>
                <w:bCs/>
                <w:spacing w:val="-2"/>
                <w:sz w:val="24"/>
                <w:szCs w:val="24"/>
                <w:lang w:val="en-US" w:eastAsia="zh-CN"/>
              </w:rPr>
              <w:t>消防</w:t>
            </w:r>
          </w:p>
          <w:p w14:paraId="7A18D951">
            <w:pPr>
              <w:pStyle w:val="16"/>
              <w:spacing w:before="0" w:after="0" w:line="360" w:lineRule="auto"/>
              <w:ind w:right="0" w:firstLine="472" w:firstLineChars="200"/>
              <w:rPr>
                <w:rFonts w:hint="eastAsia" w:ascii="Times New Roman" w:hAnsi="Times New Roman" w:eastAsia="宋体" w:cs="Times New Roman"/>
                <w:spacing w:val="-2"/>
                <w:kern w:val="2"/>
                <w:sz w:val="24"/>
                <w:szCs w:val="24"/>
                <w:lang w:val="en-US" w:eastAsia="zh-CN" w:bidi="ar-SA"/>
              </w:rPr>
            </w:pPr>
            <w:r>
              <w:rPr>
                <w:rFonts w:hint="eastAsia" w:ascii="Times New Roman" w:hAnsi="Times New Roman" w:eastAsia="宋体" w:cs="Times New Roman"/>
                <w:spacing w:val="-2"/>
                <w:kern w:val="2"/>
                <w:sz w:val="24"/>
                <w:szCs w:val="24"/>
                <w:lang w:val="en-US" w:eastAsia="zh-CN" w:bidi="ar-SA"/>
              </w:rPr>
              <w:t>根据《汽车加油加气加氢站技术标准》GB50156-2021第12.1.1条规定：</w:t>
            </w:r>
          </w:p>
          <w:p w14:paraId="395AB55D">
            <w:pPr>
              <w:pStyle w:val="16"/>
              <w:spacing w:before="0" w:after="0" w:line="360" w:lineRule="auto"/>
              <w:ind w:right="0" w:firstLine="472" w:firstLineChars="200"/>
              <w:rPr>
                <w:rFonts w:hint="eastAsia" w:ascii="Times New Roman" w:hAnsi="Times New Roman" w:eastAsia="宋体" w:cs="Times New Roman"/>
                <w:spacing w:val="-2"/>
                <w:kern w:val="2"/>
                <w:sz w:val="24"/>
                <w:szCs w:val="24"/>
                <w:lang w:val="en-US" w:eastAsia="zh-CN" w:bidi="ar-SA"/>
              </w:rPr>
            </w:pPr>
            <w:r>
              <w:rPr>
                <w:rFonts w:hint="eastAsia" w:ascii="Times New Roman" w:hAnsi="Times New Roman" w:eastAsia="宋体" w:cs="Times New Roman"/>
                <w:spacing w:val="-2"/>
                <w:kern w:val="2"/>
                <w:sz w:val="24"/>
                <w:szCs w:val="24"/>
                <w:lang w:val="en-US" w:eastAsia="zh-CN" w:bidi="ar-SA"/>
              </w:rPr>
              <w:t>1）每两台加油机设置5kg手提式干粉灭火器2具，加油机不足两台按两台计算。本站有4台加油机，设5kg手提式干粉灭火器8具；</w:t>
            </w:r>
          </w:p>
          <w:p w14:paraId="78B138CF">
            <w:pPr>
              <w:pStyle w:val="16"/>
              <w:spacing w:before="0" w:after="0" w:line="360" w:lineRule="auto"/>
              <w:ind w:right="0" w:firstLine="472" w:firstLineChars="200"/>
              <w:rPr>
                <w:rFonts w:hint="default" w:ascii="Times New Roman" w:hAnsi="Times New Roman" w:eastAsia="宋体" w:cs="Times New Roman"/>
                <w:spacing w:val="-2"/>
                <w:kern w:val="2"/>
                <w:sz w:val="24"/>
                <w:szCs w:val="24"/>
                <w:lang w:val="en-US" w:eastAsia="zh-CN" w:bidi="ar-SA"/>
              </w:rPr>
            </w:pPr>
            <w:r>
              <w:rPr>
                <w:rFonts w:hint="eastAsia" w:ascii="Times New Roman" w:hAnsi="Times New Roman" w:eastAsia="宋体" w:cs="Times New Roman"/>
                <w:spacing w:val="-2"/>
                <w:kern w:val="2"/>
                <w:sz w:val="24"/>
                <w:szCs w:val="24"/>
                <w:lang w:val="en-US" w:eastAsia="zh-CN" w:bidi="ar-SA"/>
              </w:rPr>
              <w:t>2）地下储罐、卸油区附近各设置35kg推车式干粉灭火器1台；</w:t>
            </w:r>
          </w:p>
          <w:p w14:paraId="35ACBA8D">
            <w:pPr>
              <w:pStyle w:val="16"/>
              <w:spacing w:before="0" w:after="0" w:line="360" w:lineRule="auto"/>
              <w:ind w:right="0" w:firstLine="472" w:firstLineChars="200"/>
              <w:rPr>
                <w:rFonts w:ascii="Times New Roman" w:hAnsi="Times New Roman" w:eastAsia="宋体" w:cs="Times New Roman"/>
                <w:spacing w:val="-2"/>
                <w:kern w:val="2"/>
                <w:sz w:val="24"/>
                <w:szCs w:val="24"/>
                <w:lang w:val="en-US" w:eastAsia="zh-CN" w:bidi="ar-SA"/>
              </w:rPr>
            </w:pPr>
            <w:r>
              <w:rPr>
                <w:rFonts w:hint="eastAsia" w:ascii="Times New Roman" w:hAnsi="Times New Roman" w:eastAsia="宋体" w:cs="Times New Roman"/>
                <w:spacing w:val="-2"/>
                <w:kern w:val="2"/>
                <w:sz w:val="24"/>
                <w:szCs w:val="24"/>
                <w:lang w:val="en-US" w:eastAsia="zh-CN" w:bidi="ar-SA"/>
              </w:rPr>
              <w:t>3）本站为二级站，配置灭火毯5块，消防沙2m；</w:t>
            </w:r>
          </w:p>
          <w:p w14:paraId="6D6F3C18">
            <w:pPr>
              <w:pStyle w:val="16"/>
              <w:spacing w:before="0" w:after="0" w:line="360" w:lineRule="auto"/>
              <w:ind w:right="0" w:firstLine="472" w:firstLineChars="200"/>
              <w:rPr>
                <w:b/>
                <w:bCs/>
                <w:spacing w:val="-2"/>
                <w:sz w:val="24"/>
                <w:szCs w:val="24"/>
              </w:rPr>
            </w:pPr>
            <w:r>
              <w:rPr>
                <w:rFonts w:hint="eastAsia" w:ascii="Times New Roman" w:hAnsi="Times New Roman" w:eastAsia="宋体" w:cs="Times New Roman"/>
                <w:spacing w:val="-2"/>
                <w:kern w:val="2"/>
                <w:sz w:val="24"/>
                <w:szCs w:val="24"/>
                <w:lang w:val="en-US" w:eastAsia="zh-CN" w:bidi="ar-SA"/>
              </w:rPr>
              <w:t>4）</w:t>
            </w:r>
            <w:r>
              <w:rPr>
                <w:rFonts w:hint="eastAsia"/>
                <w:spacing w:val="9"/>
                <w:sz w:val="24"/>
                <w:szCs w:val="24"/>
              </w:rPr>
              <w:t>站房和辅房内按《建筑灭火器配置设计规范》GB50140-2005中的相关规定，站房和辅房等所属建构筑物共配置5kg手提式干粉灭火器28具，</w:t>
            </w:r>
            <w:r>
              <w:rPr>
                <w:rFonts w:hint="eastAsia"/>
                <w:spacing w:val="9"/>
                <w:sz w:val="24"/>
                <w:szCs w:val="24"/>
                <w:lang w:val="en-US" w:eastAsia="zh-CN"/>
              </w:rPr>
              <w:t>以</w:t>
            </w:r>
            <w:r>
              <w:rPr>
                <w:rFonts w:hint="eastAsia"/>
                <w:spacing w:val="9"/>
                <w:sz w:val="24"/>
                <w:szCs w:val="24"/>
              </w:rPr>
              <w:t>满足安全消防要求</w:t>
            </w:r>
            <w:r>
              <w:rPr>
                <w:spacing w:val="9"/>
                <w:sz w:val="24"/>
                <w:szCs w:val="24"/>
              </w:rPr>
              <w:t>。</w:t>
            </w:r>
          </w:p>
          <w:p w14:paraId="05C9A2CE">
            <w:pPr>
              <w:keepNext w:val="0"/>
              <w:keepLines w:val="0"/>
              <w:pageBreakBefore w:val="0"/>
              <w:widowControl w:val="0"/>
              <w:tabs>
                <w:tab w:val="left" w:pos="471"/>
              </w:tabs>
              <w:kinsoku/>
              <w:wordWrap w:val="0"/>
              <w:overflowPunct/>
              <w:topLinePunct/>
              <w:autoSpaceDE/>
              <w:autoSpaceDN/>
              <w:bidi w:val="0"/>
              <w:adjustRightInd w:val="0"/>
              <w:snapToGrid w:val="0"/>
              <w:spacing w:line="360" w:lineRule="auto"/>
              <w:textAlignment w:val="auto"/>
              <w:rPr>
                <w:b/>
                <w:sz w:val="24"/>
              </w:rPr>
            </w:pPr>
            <w:r>
              <w:rPr>
                <w:rFonts w:hint="eastAsia"/>
                <w:b/>
                <w:color w:val="auto"/>
                <w:sz w:val="24"/>
                <w:u w:val="none"/>
              </w:rPr>
              <w:t>2.</w:t>
            </w:r>
            <w:r>
              <w:rPr>
                <w:rFonts w:hint="eastAsia"/>
                <w:b/>
                <w:color w:val="auto"/>
                <w:sz w:val="24"/>
                <w:u w:val="none"/>
                <w:lang w:val="en-US" w:eastAsia="zh-CN"/>
              </w:rPr>
              <w:t>7</w:t>
            </w:r>
            <w:r>
              <w:rPr>
                <w:rFonts w:hint="eastAsia"/>
                <w:b/>
                <w:color w:val="auto"/>
                <w:sz w:val="24"/>
                <w:u w:val="none"/>
              </w:rPr>
              <w:t xml:space="preserve"> </w:t>
            </w:r>
            <w:r>
              <w:rPr>
                <w:b/>
                <w:sz w:val="24"/>
              </w:rPr>
              <w:t>劳动定员及工作制度</w:t>
            </w:r>
          </w:p>
          <w:p w14:paraId="2B58AD94">
            <w:pPr>
              <w:pStyle w:val="118"/>
              <w:spacing w:line="360" w:lineRule="auto"/>
              <w:ind w:firstLine="472" w:firstLineChars="200"/>
              <w:rPr>
                <w:spacing w:val="-2"/>
                <w:szCs w:val="21"/>
              </w:rPr>
            </w:pPr>
            <w:r>
              <w:rPr>
                <w:spacing w:val="-2"/>
                <w:szCs w:val="21"/>
              </w:rPr>
              <w:t>本项目预计工作人员共</w:t>
            </w:r>
            <w:r>
              <w:rPr>
                <w:rFonts w:hint="eastAsia"/>
                <w:spacing w:val="-2"/>
                <w:szCs w:val="21"/>
                <w:lang w:val="en-US" w:eastAsia="zh-CN"/>
              </w:rPr>
              <w:t>10</w:t>
            </w:r>
            <w:r>
              <w:rPr>
                <w:spacing w:val="-2"/>
                <w:szCs w:val="21"/>
              </w:rPr>
              <w:t>人，年工作365天，24小时营业。项目设置餐厅、值班室及宿舍，3人在厂区住宿。</w:t>
            </w:r>
          </w:p>
          <w:p w14:paraId="54694E17">
            <w:pPr>
              <w:pStyle w:val="118"/>
              <w:spacing w:line="360" w:lineRule="auto"/>
              <w:ind w:left="0" w:leftChars="0" w:firstLine="0" w:firstLineChars="0"/>
              <w:rPr>
                <w:b/>
                <w:bCs/>
              </w:rPr>
            </w:pPr>
            <w:r>
              <w:rPr>
                <w:rFonts w:hint="eastAsia"/>
                <w:b/>
                <w:color w:val="auto"/>
                <w:sz w:val="24"/>
                <w:u w:val="none"/>
              </w:rPr>
              <w:t>2.</w:t>
            </w:r>
            <w:r>
              <w:rPr>
                <w:rFonts w:hint="eastAsia"/>
                <w:b/>
                <w:color w:val="auto"/>
                <w:sz w:val="24"/>
                <w:u w:val="none"/>
                <w:lang w:val="en-US" w:eastAsia="zh-CN"/>
              </w:rPr>
              <w:t>8</w:t>
            </w:r>
            <w:r>
              <w:rPr>
                <w:rFonts w:hint="eastAsia"/>
                <w:b/>
                <w:color w:val="auto"/>
                <w:sz w:val="24"/>
                <w:u w:val="none"/>
              </w:rPr>
              <w:t xml:space="preserve"> </w:t>
            </w:r>
            <w:r>
              <w:rPr>
                <w:b/>
                <w:bCs/>
              </w:rPr>
              <w:t>项目平面布置</w:t>
            </w:r>
          </w:p>
          <w:p w14:paraId="68313D10">
            <w:pPr>
              <w:adjustRightInd w:val="0"/>
              <w:snapToGrid w:val="0"/>
              <w:spacing w:line="360" w:lineRule="auto"/>
              <w:ind w:firstLine="516" w:firstLineChars="200"/>
              <w:rPr>
                <w:rFonts w:hint="eastAsia" w:eastAsia="宋体"/>
                <w:color w:val="auto"/>
                <w:spacing w:val="-11"/>
                <w:sz w:val="24"/>
                <w:lang w:eastAsia="zh-CN"/>
              </w:rPr>
            </w:pPr>
            <w:r>
              <w:rPr>
                <w:rFonts w:hint="default"/>
                <w:color w:val="auto"/>
                <w:spacing w:val="9"/>
                <w:sz w:val="24"/>
              </w:rPr>
              <w:t>本项目的建设根据</w:t>
            </w:r>
            <w:r>
              <w:rPr>
                <w:rFonts w:hint="default"/>
                <w:color w:val="auto"/>
                <w:spacing w:val="9"/>
                <w:sz w:val="24"/>
                <w:lang w:val="en-US" w:eastAsia="zh-CN"/>
              </w:rPr>
              <w:t>绕城</w:t>
            </w:r>
            <w:r>
              <w:rPr>
                <w:rFonts w:hint="eastAsia"/>
                <w:color w:val="auto"/>
                <w:spacing w:val="9"/>
                <w:sz w:val="24"/>
                <w:lang w:val="en-US" w:eastAsia="zh-CN"/>
              </w:rPr>
              <w:t>公路</w:t>
            </w:r>
            <w:r>
              <w:rPr>
                <w:rFonts w:hint="default"/>
                <w:color w:val="auto"/>
                <w:spacing w:val="9"/>
                <w:sz w:val="24"/>
              </w:rPr>
              <w:t>加油站的职能特点、流程和管理的要求，为便于管理、使用，满足生产活动的需要，将本项目拟建建筑物根据各个功能用途合理的分布于场地各功能区域内，功能和用途相近的空间应相对集中设置</w:t>
            </w:r>
            <w:r>
              <w:rPr>
                <w:rFonts w:hint="default"/>
                <w:color w:val="auto"/>
                <w:spacing w:val="-11"/>
                <w:sz w:val="24"/>
              </w:rPr>
              <w:t>。设计充分结合地形及交通情况以及业主单位的企业文化，在满足工艺需要的条件下，平面布置如下</w:t>
            </w:r>
            <w:r>
              <w:rPr>
                <w:rFonts w:hint="eastAsia"/>
                <w:color w:val="auto"/>
                <w:spacing w:val="-11"/>
                <w:sz w:val="24"/>
                <w:lang w:eastAsia="zh-CN"/>
              </w:rPr>
              <w:t>：</w:t>
            </w:r>
          </w:p>
          <w:p w14:paraId="77E0EB8B">
            <w:pPr>
              <w:adjustRightInd w:val="0"/>
              <w:snapToGrid w:val="0"/>
              <w:spacing w:line="360" w:lineRule="auto"/>
              <w:ind w:firstLine="436" w:firstLineChars="200"/>
              <w:rPr>
                <w:rFonts w:hint="default"/>
                <w:color w:val="auto"/>
                <w:spacing w:val="9"/>
                <w:sz w:val="24"/>
                <w:u w:val="single"/>
              </w:rPr>
            </w:pPr>
            <w:r>
              <w:rPr>
                <w:rFonts w:hint="default"/>
                <w:color w:val="auto"/>
                <w:spacing w:val="-11"/>
                <w:sz w:val="24"/>
                <w:u w:val="single"/>
                <w:lang w:val="en-US" w:eastAsia="zh-CN"/>
              </w:rPr>
              <w:t>站区</w:t>
            </w:r>
            <w:r>
              <w:rPr>
                <w:rFonts w:hint="default"/>
                <w:color w:val="auto"/>
                <w:spacing w:val="-11"/>
                <w:sz w:val="24"/>
                <w:u w:val="single"/>
              </w:rPr>
              <w:t>中部作为加油场地，设4座加油岛，共设置4台加油机</w:t>
            </w:r>
            <w:r>
              <w:rPr>
                <w:rFonts w:hint="default"/>
                <w:color w:val="auto"/>
                <w:spacing w:val="-11"/>
                <w:sz w:val="24"/>
                <w:u w:val="single"/>
                <w:lang w:eastAsia="zh-CN"/>
              </w:rPr>
              <w:t>；</w:t>
            </w:r>
            <w:r>
              <w:rPr>
                <w:rFonts w:hint="default"/>
                <w:color w:val="auto"/>
                <w:spacing w:val="-11"/>
                <w:sz w:val="24"/>
                <w:u w:val="single"/>
              </w:rPr>
              <w:t>罩棚下布置埋地储油罐区，</w:t>
            </w:r>
            <w:r>
              <w:rPr>
                <w:rFonts w:hint="default"/>
                <w:color w:val="auto"/>
                <w:spacing w:val="-11"/>
                <w:sz w:val="24"/>
                <w:u w:val="single"/>
                <w:lang w:val="en-US" w:eastAsia="zh-CN"/>
              </w:rPr>
              <w:t>站区</w:t>
            </w:r>
            <w:r>
              <w:rPr>
                <w:rFonts w:hint="default"/>
                <w:color w:val="auto"/>
                <w:spacing w:val="-11"/>
                <w:sz w:val="24"/>
                <w:u w:val="single"/>
              </w:rPr>
              <w:t>南侧布置卸油区，</w:t>
            </w:r>
            <w:r>
              <w:rPr>
                <w:rFonts w:hint="default"/>
                <w:color w:val="auto"/>
                <w:spacing w:val="-11"/>
                <w:sz w:val="24"/>
                <w:u w:val="single"/>
                <w:lang w:val="en-US" w:eastAsia="zh-CN"/>
              </w:rPr>
              <w:t>站区</w:t>
            </w:r>
            <w:r>
              <w:rPr>
                <w:rFonts w:hint="default"/>
                <w:color w:val="auto"/>
                <w:spacing w:val="-11"/>
                <w:sz w:val="24"/>
                <w:u w:val="single"/>
              </w:rPr>
              <w:t>北侧设置一座三层辅房和1台洗车机，</w:t>
            </w:r>
            <w:r>
              <w:rPr>
                <w:rFonts w:hint="default"/>
                <w:color w:val="auto"/>
                <w:spacing w:val="-11"/>
                <w:sz w:val="24"/>
                <w:u w:val="single"/>
                <w:lang w:val="en-US" w:eastAsia="zh-CN"/>
              </w:rPr>
              <w:t>站区</w:t>
            </w:r>
            <w:r>
              <w:rPr>
                <w:rFonts w:hint="default"/>
                <w:color w:val="auto"/>
                <w:spacing w:val="-11"/>
                <w:sz w:val="24"/>
                <w:u w:val="single"/>
              </w:rPr>
              <w:t>东侧设置一座二层站房，</w:t>
            </w:r>
            <w:r>
              <w:rPr>
                <w:rFonts w:hint="default"/>
                <w:color w:val="auto"/>
                <w:spacing w:val="-11"/>
                <w:sz w:val="24"/>
                <w:u w:val="single"/>
                <w:lang w:val="en-US" w:eastAsia="zh-CN"/>
              </w:rPr>
              <w:t>危废废物暂存间位于辅房内，站区</w:t>
            </w:r>
            <w:r>
              <w:rPr>
                <w:rFonts w:hint="default"/>
                <w:color w:val="auto"/>
                <w:spacing w:val="-11"/>
                <w:sz w:val="24"/>
                <w:u w:val="single"/>
              </w:rPr>
              <w:t>东、南、西侧设置有绿化景观带，</w:t>
            </w:r>
            <w:r>
              <w:rPr>
                <w:rFonts w:hint="default"/>
                <w:color w:val="auto"/>
                <w:spacing w:val="-11"/>
                <w:sz w:val="24"/>
                <w:u w:val="single"/>
                <w:lang w:val="en-US" w:eastAsia="zh-CN"/>
              </w:rPr>
              <w:t>化粪池位于站区东北角侧，隔油沉淀池位于南侧，经处理后的废水经厂区管道排入厂区西侧市政管网，</w:t>
            </w:r>
            <w:r>
              <w:rPr>
                <w:rFonts w:hint="default"/>
                <w:color w:val="auto"/>
                <w:spacing w:val="-11"/>
                <w:sz w:val="24"/>
                <w:u w:val="single"/>
              </w:rPr>
              <w:t>项目进出口设置于场地西侧，与西侧祁阳大道接临</w:t>
            </w:r>
            <w:r>
              <w:rPr>
                <w:rFonts w:hint="default"/>
                <w:color w:val="auto"/>
                <w:spacing w:val="9"/>
                <w:sz w:val="24"/>
                <w:u w:val="single"/>
              </w:rPr>
              <w:t>。</w:t>
            </w:r>
          </w:p>
          <w:p w14:paraId="43D38A0E">
            <w:pPr>
              <w:pStyle w:val="202"/>
              <w:ind w:firstLine="516"/>
              <w:rPr>
                <w:rFonts w:hint="default" w:ascii="Times New Roman" w:hAnsi="Times New Roman"/>
                <w:u w:val="single"/>
              </w:rPr>
            </w:pPr>
            <w:r>
              <w:rPr>
                <w:rFonts w:hint="default" w:ascii="Times New Roman" w:hAnsi="Times New Roman"/>
                <w:bCs w:val="0"/>
                <w:spacing w:val="9"/>
                <w:sz w:val="24"/>
                <w:u w:val="single"/>
              </w:rPr>
              <w:t>本项目平面布局按照《汽车加油加气加氢站技术标准》（GB50156-2021）的规定，车辆入口和出口分开设置，站内道路宽度符合要求，站内设施之间防火距离符合《汽车加油加气加氢站技术标准》（GB50156-2021）的规定。</w:t>
            </w:r>
          </w:p>
          <w:p w14:paraId="589CBE4D">
            <w:pPr>
              <w:wordWrap w:val="0"/>
              <w:topLinePunct/>
              <w:adjustRightInd w:val="0"/>
              <w:snapToGrid w:val="0"/>
              <w:spacing w:line="360" w:lineRule="auto"/>
              <w:ind w:firstLine="472" w:firstLineChars="200"/>
            </w:pPr>
            <w:r>
              <w:rPr>
                <w:rFonts w:hint="default"/>
                <w:spacing w:val="-2"/>
                <w:sz w:val="24"/>
              </w:rPr>
              <w:t>本项目场区平面布置见附图</w:t>
            </w:r>
            <w:r>
              <w:rPr>
                <w:rFonts w:hint="default"/>
                <w:spacing w:val="-2"/>
                <w:sz w:val="24"/>
                <w:lang w:val="en-US" w:eastAsia="zh-CN"/>
              </w:rPr>
              <w:t>2</w:t>
            </w:r>
            <w:r>
              <w:rPr>
                <w:rFonts w:hint="default"/>
                <w:spacing w:val="-2"/>
                <w:sz w:val="24"/>
              </w:rPr>
              <w:t>。</w:t>
            </w:r>
          </w:p>
        </w:tc>
      </w:tr>
      <w:tr w14:paraId="19D8E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9" w:hRule="atLeast"/>
          <w:jc w:val="center"/>
        </w:trPr>
        <w:tc>
          <w:tcPr>
            <w:tcW w:w="230" w:type="pct"/>
            <w:vAlign w:val="center"/>
          </w:tcPr>
          <w:p w14:paraId="4B5D6536">
            <w:pPr>
              <w:pStyle w:val="47"/>
              <w:adjustRightInd w:val="0"/>
              <w:snapToGrid w:val="0"/>
              <w:spacing w:before="0" w:beforeAutospacing="0" w:after="0" w:afterAutospacing="0"/>
              <w:jc w:val="center"/>
              <w:outlineLvl w:val="1"/>
              <w:rPr>
                <w:rFonts w:ascii="Times New Roman" w:hAnsi="Times New Roman"/>
                <w:szCs w:val="24"/>
              </w:rPr>
            </w:pPr>
            <w:bookmarkStart w:id="12" w:name="_Toc19049"/>
            <w:bookmarkStart w:id="13" w:name="_Toc67408757"/>
            <w:bookmarkStart w:id="14" w:name="_Toc3996"/>
            <w:bookmarkStart w:id="15" w:name="_Toc6980"/>
            <w:bookmarkStart w:id="16" w:name="_Toc25420"/>
            <w:bookmarkStart w:id="17" w:name="_Toc26721"/>
            <w:bookmarkStart w:id="18" w:name="_Toc129615024"/>
            <w:bookmarkStart w:id="19" w:name="_Toc29072"/>
            <w:r>
              <w:rPr>
                <w:rFonts w:ascii="Times New Roman" w:hAnsi="Times New Roman"/>
                <w:szCs w:val="24"/>
              </w:rPr>
              <w:t>工艺流程和产排污环节</w:t>
            </w:r>
            <w:bookmarkEnd w:id="12"/>
            <w:bookmarkEnd w:id="13"/>
            <w:bookmarkEnd w:id="14"/>
            <w:bookmarkEnd w:id="15"/>
            <w:bookmarkEnd w:id="16"/>
            <w:bookmarkEnd w:id="17"/>
            <w:bookmarkEnd w:id="18"/>
            <w:bookmarkEnd w:id="19"/>
          </w:p>
        </w:tc>
        <w:tc>
          <w:tcPr>
            <w:tcW w:w="4769" w:type="pct"/>
          </w:tcPr>
          <w:p w14:paraId="584ED387">
            <w:pPr>
              <w:wordWrap w:val="0"/>
              <w:topLinePunct/>
              <w:adjustRightInd w:val="0"/>
              <w:snapToGrid w:val="0"/>
              <w:spacing w:line="360" w:lineRule="auto"/>
              <w:rPr>
                <w:rFonts w:hint="eastAsia"/>
                <w:spacing w:val="-2"/>
                <w:sz w:val="24"/>
              </w:rPr>
            </w:pPr>
            <w:r>
              <w:rPr>
                <w:rFonts w:hint="eastAsia"/>
                <w:b/>
                <w:color w:val="auto"/>
                <w:sz w:val="24"/>
                <w:u w:val="none"/>
              </w:rPr>
              <w:t>2.</w:t>
            </w:r>
            <w:r>
              <w:rPr>
                <w:rFonts w:hint="eastAsia"/>
                <w:b/>
                <w:color w:val="auto"/>
                <w:sz w:val="24"/>
                <w:u w:val="none"/>
                <w:lang w:val="en-US" w:eastAsia="zh-CN"/>
              </w:rPr>
              <w:t>9</w:t>
            </w:r>
            <w:r>
              <w:rPr>
                <w:rFonts w:hint="eastAsia"/>
                <w:b/>
                <w:color w:val="auto"/>
                <w:sz w:val="24"/>
                <w:u w:val="none"/>
              </w:rPr>
              <w:t xml:space="preserve"> </w:t>
            </w:r>
            <w:r>
              <w:rPr>
                <w:rFonts w:hint="eastAsia"/>
                <w:b/>
                <w:bCs/>
                <w:spacing w:val="-2"/>
                <w:sz w:val="24"/>
              </w:rPr>
              <w:t>施工期工艺流程和产排污环节</w:t>
            </w:r>
          </w:p>
          <w:p w14:paraId="60E8B3EB">
            <w:pPr>
              <w:wordWrap w:val="0"/>
              <w:topLinePunct/>
              <w:adjustRightInd w:val="0"/>
              <w:snapToGrid w:val="0"/>
              <w:spacing w:line="360" w:lineRule="auto"/>
              <w:rPr>
                <w:rFonts w:hint="eastAsia"/>
                <w:b/>
                <w:bCs w:val="0"/>
                <w:spacing w:val="-2"/>
                <w:sz w:val="24"/>
              </w:rPr>
            </w:pPr>
            <w:r>
              <w:rPr>
                <w:rFonts w:hint="eastAsia"/>
                <w:b/>
                <w:bCs w:val="0"/>
                <w:color w:val="auto"/>
                <w:sz w:val="24"/>
                <w:u w:val="none"/>
              </w:rPr>
              <w:t>2.</w:t>
            </w:r>
            <w:r>
              <w:rPr>
                <w:rFonts w:hint="eastAsia"/>
                <w:b/>
                <w:bCs w:val="0"/>
                <w:color w:val="auto"/>
                <w:sz w:val="24"/>
                <w:u w:val="none"/>
                <w:lang w:val="en-US" w:eastAsia="zh-CN"/>
              </w:rPr>
              <w:t>9.1</w:t>
            </w:r>
            <w:r>
              <w:rPr>
                <w:rFonts w:hint="eastAsia"/>
                <w:b/>
                <w:bCs w:val="0"/>
                <w:color w:val="auto"/>
                <w:sz w:val="24"/>
                <w:u w:val="none"/>
              </w:rPr>
              <w:t xml:space="preserve"> </w:t>
            </w:r>
            <w:r>
              <w:rPr>
                <w:rFonts w:hint="eastAsia"/>
                <w:b/>
                <w:bCs w:val="0"/>
                <w:spacing w:val="-2"/>
                <w:sz w:val="24"/>
              </w:rPr>
              <w:t>施工期工艺流程及产排污节点</w:t>
            </w:r>
          </w:p>
          <w:p w14:paraId="77CEBF88">
            <w:pPr>
              <w:wordWrap w:val="0"/>
              <w:topLinePunct/>
              <w:adjustRightInd w:val="0"/>
              <w:snapToGrid w:val="0"/>
              <w:spacing w:line="360" w:lineRule="auto"/>
              <w:ind w:firstLine="472" w:firstLineChars="200"/>
              <w:rPr>
                <w:rFonts w:hint="eastAsia"/>
                <w:spacing w:val="-2"/>
                <w:sz w:val="24"/>
              </w:rPr>
            </w:pPr>
            <w:r>
              <w:rPr>
                <w:rFonts w:hint="eastAsia"/>
                <w:spacing w:val="-2"/>
                <w:sz w:val="24"/>
              </w:rPr>
              <w:t>施工期工艺流程主要为场地平整、土石方工程、打桩、建（构）筑物施工等，具体工程流程及产污节点示意图见下图。</w:t>
            </w:r>
          </w:p>
          <w:p w14:paraId="39F50690">
            <w:pPr>
              <w:wordWrap w:val="0"/>
              <w:topLinePunct/>
              <w:adjustRightInd w:val="0"/>
              <w:snapToGrid w:val="0"/>
              <w:spacing w:line="240" w:lineRule="auto"/>
              <w:rPr>
                <w:rFonts w:hint="eastAsia"/>
                <w:spacing w:val="-2"/>
                <w:sz w:val="24"/>
              </w:rPr>
            </w:pPr>
            <w:r>
              <w:rPr>
                <w:rFonts w:hint="default" w:ascii="Times New Roman" w:hAnsi="Times New Roman" w:eastAsia="仿宋" w:cs="Times New Roman"/>
                <w:color w:val="auto"/>
              </w:rPr>
              <w:drawing>
                <wp:inline distT="0" distB="0" distL="114300" distR="114300">
                  <wp:extent cx="5322570" cy="1424940"/>
                  <wp:effectExtent l="9525" t="9525" r="2095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322570" cy="1424940"/>
                          </a:xfrm>
                          <a:prstGeom prst="rect">
                            <a:avLst/>
                          </a:prstGeom>
                          <a:noFill/>
                          <a:ln>
                            <a:solidFill>
                              <a:schemeClr val="tx1"/>
                            </a:solidFill>
                          </a:ln>
                        </pic:spPr>
                      </pic:pic>
                    </a:graphicData>
                  </a:graphic>
                </wp:inline>
              </w:drawing>
            </w:r>
          </w:p>
          <w:p w14:paraId="790A4A02">
            <w:pPr>
              <w:wordWrap w:val="0"/>
              <w:topLinePunct/>
              <w:adjustRightInd w:val="0"/>
              <w:snapToGrid w:val="0"/>
              <w:spacing w:line="240" w:lineRule="auto"/>
              <w:jc w:val="center"/>
              <w:rPr>
                <w:rFonts w:hint="eastAsia"/>
                <w:spacing w:val="-2"/>
                <w:sz w:val="24"/>
              </w:rPr>
            </w:pPr>
            <w:r>
              <w:rPr>
                <w:rFonts w:hint="eastAsia"/>
                <w:b/>
                <w:bCs/>
                <w:spacing w:val="-2"/>
                <w:sz w:val="24"/>
              </w:rPr>
              <w:t>图2-</w:t>
            </w:r>
            <w:r>
              <w:rPr>
                <w:rFonts w:hint="eastAsia"/>
                <w:b/>
                <w:bCs/>
                <w:spacing w:val="-2"/>
                <w:sz w:val="24"/>
                <w:lang w:val="en-US" w:eastAsia="zh-CN"/>
              </w:rPr>
              <w:t>2</w:t>
            </w:r>
            <w:r>
              <w:rPr>
                <w:rFonts w:hint="eastAsia"/>
                <w:b/>
                <w:bCs/>
                <w:spacing w:val="-2"/>
                <w:sz w:val="24"/>
              </w:rPr>
              <w:t xml:space="preserve"> 施工期工艺流程及产排污节点</w:t>
            </w:r>
          </w:p>
          <w:p w14:paraId="0B61FA58">
            <w:pPr>
              <w:wordWrap w:val="0"/>
              <w:topLinePunct/>
              <w:adjustRightInd w:val="0"/>
              <w:snapToGrid w:val="0"/>
              <w:spacing w:line="360" w:lineRule="auto"/>
              <w:rPr>
                <w:rFonts w:hint="eastAsia"/>
                <w:b/>
                <w:bCs w:val="0"/>
                <w:spacing w:val="-2"/>
                <w:sz w:val="24"/>
              </w:rPr>
            </w:pPr>
            <w:r>
              <w:rPr>
                <w:rFonts w:hint="eastAsia"/>
                <w:b/>
                <w:bCs w:val="0"/>
                <w:color w:val="auto"/>
                <w:sz w:val="24"/>
                <w:u w:val="none"/>
              </w:rPr>
              <w:t>2.</w:t>
            </w:r>
            <w:r>
              <w:rPr>
                <w:rFonts w:hint="eastAsia"/>
                <w:b/>
                <w:bCs w:val="0"/>
                <w:color w:val="auto"/>
                <w:sz w:val="24"/>
                <w:u w:val="none"/>
                <w:lang w:val="en-US" w:eastAsia="zh-CN"/>
              </w:rPr>
              <w:t>9.2</w:t>
            </w:r>
            <w:r>
              <w:rPr>
                <w:rFonts w:hint="eastAsia"/>
                <w:b/>
                <w:bCs w:val="0"/>
                <w:color w:val="auto"/>
                <w:sz w:val="24"/>
                <w:u w:val="none"/>
              </w:rPr>
              <w:t xml:space="preserve"> </w:t>
            </w:r>
            <w:r>
              <w:rPr>
                <w:rFonts w:hint="eastAsia"/>
                <w:b/>
                <w:bCs w:val="0"/>
                <w:spacing w:val="-2"/>
                <w:sz w:val="24"/>
              </w:rPr>
              <w:t>施工期产排污环节分析</w:t>
            </w:r>
          </w:p>
          <w:p w14:paraId="143337AC">
            <w:pPr>
              <w:wordWrap w:val="0"/>
              <w:topLinePunct/>
              <w:adjustRightInd w:val="0"/>
              <w:snapToGrid w:val="0"/>
              <w:spacing w:line="360" w:lineRule="auto"/>
              <w:ind w:firstLine="472" w:firstLineChars="200"/>
              <w:rPr>
                <w:rFonts w:hint="eastAsia"/>
                <w:spacing w:val="-2"/>
                <w:sz w:val="24"/>
              </w:rPr>
            </w:pPr>
            <w:r>
              <w:rPr>
                <w:rFonts w:hint="eastAsia"/>
                <w:spacing w:val="-2"/>
                <w:sz w:val="24"/>
              </w:rPr>
              <w:t>1）废气：包括场地平整、土石方运输及堆放、建筑材料运输及装卸等过程中产生的施工扬尘，施工机械排放的车辆尾气（主要污染物为 NOx、CO、THC等），及建构筑物室内外装修（油漆、喷涂、建筑及装饰材料等）产生的废气。</w:t>
            </w:r>
          </w:p>
          <w:p w14:paraId="7122523B">
            <w:pPr>
              <w:wordWrap w:val="0"/>
              <w:topLinePunct/>
              <w:adjustRightInd w:val="0"/>
              <w:snapToGrid w:val="0"/>
              <w:spacing w:line="360" w:lineRule="auto"/>
              <w:ind w:firstLine="472" w:firstLineChars="200"/>
              <w:rPr>
                <w:rFonts w:hint="eastAsia"/>
                <w:spacing w:val="-2"/>
                <w:sz w:val="24"/>
              </w:rPr>
            </w:pPr>
            <w:r>
              <w:rPr>
                <w:rFonts w:hint="eastAsia"/>
                <w:spacing w:val="-2"/>
                <w:sz w:val="24"/>
              </w:rPr>
              <w:t>2）废水：主要为施工机械冲洗水、施工人员生活污水等。</w:t>
            </w:r>
          </w:p>
          <w:p w14:paraId="7446A2BA">
            <w:pPr>
              <w:wordWrap w:val="0"/>
              <w:topLinePunct/>
              <w:adjustRightInd w:val="0"/>
              <w:snapToGrid w:val="0"/>
              <w:spacing w:line="360" w:lineRule="auto"/>
              <w:ind w:firstLine="472" w:firstLineChars="200"/>
              <w:rPr>
                <w:rFonts w:hint="eastAsia"/>
                <w:spacing w:val="-2"/>
                <w:sz w:val="24"/>
              </w:rPr>
            </w:pPr>
            <w:r>
              <w:rPr>
                <w:rFonts w:hint="eastAsia"/>
                <w:spacing w:val="-2"/>
                <w:sz w:val="24"/>
              </w:rPr>
              <w:t>3）噪声：源于施工作业时运行施工机械、设备和施工车辆。</w:t>
            </w:r>
          </w:p>
          <w:p w14:paraId="4059FDD0">
            <w:pPr>
              <w:wordWrap w:val="0"/>
              <w:topLinePunct/>
              <w:adjustRightInd w:val="0"/>
              <w:snapToGrid w:val="0"/>
              <w:spacing w:line="360" w:lineRule="auto"/>
              <w:ind w:firstLine="472" w:firstLineChars="200"/>
              <w:rPr>
                <w:spacing w:val="-2"/>
                <w:sz w:val="24"/>
              </w:rPr>
            </w:pPr>
            <w:r>
              <w:rPr>
                <w:rFonts w:hint="eastAsia"/>
                <w:spacing w:val="-2"/>
                <w:sz w:val="24"/>
              </w:rPr>
              <w:t>4）固废：主要为施工过程中产生的废土方、建筑垃圾，以及施工人员产生的生活垃圾。</w:t>
            </w:r>
          </w:p>
          <w:p w14:paraId="3120D457">
            <w:pPr>
              <w:adjustRightInd w:val="0"/>
              <w:snapToGrid w:val="0"/>
              <w:spacing w:line="360" w:lineRule="auto"/>
              <w:rPr>
                <w:rFonts w:hint="eastAsia" w:eastAsia="宋体"/>
                <w:b/>
                <w:bCs/>
                <w:sz w:val="24"/>
                <w:lang w:eastAsia="zh-CN"/>
              </w:rPr>
            </w:pPr>
            <w:r>
              <w:rPr>
                <w:rFonts w:hint="eastAsia"/>
                <w:b/>
                <w:color w:val="auto"/>
                <w:sz w:val="24"/>
                <w:u w:val="none"/>
              </w:rPr>
              <w:t>2.</w:t>
            </w:r>
            <w:r>
              <w:rPr>
                <w:rFonts w:hint="eastAsia"/>
                <w:b/>
                <w:color w:val="auto"/>
                <w:sz w:val="24"/>
                <w:u w:val="none"/>
                <w:lang w:val="en-US" w:eastAsia="zh-CN"/>
              </w:rPr>
              <w:t>10</w:t>
            </w:r>
            <w:r>
              <w:rPr>
                <w:rFonts w:hint="eastAsia"/>
                <w:b/>
                <w:color w:val="auto"/>
                <w:sz w:val="24"/>
                <w:u w:val="none"/>
              </w:rPr>
              <w:t xml:space="preserve"> </w:t>
            </w:r>
            <w:r>
              <w:rPr>
                <w:b/>
                <w:bCs/>
                <w:sz w:val="24"/>
              </w:rPr>
              <w:t>运营期工艺流程及产污环节</w:t>
            </w:r>
            <w:r>
              <w:rPr>
                <w:rFonts w:hint="eastAsia"/>
                <w:b/>
                <w:bCs/>
                <w:sz w:val="24"/>
                <w:lang w:eastAsia="zh-CN"/>
              </w:rPr>
              <w:t>：</w:t>
            </w:r>
          </w:p>
          <w:p w14:paraId="1FFE20E7">
            <w:pPr>
              <w:tabs>
                <w:tab w:val="left" w:pos="884"/>
              </w:tabs>
              <w:wordWrap w:val="0"/>
              <w:topLinePunct/>
              <w:adjustRightInd w:val="0"/>
              <w:snapToGrid w:val="0"/>
              <w:spacing w:line="360" w:lineRule="auto"/>
              <w:rPr>
                <w:b/>
              </w:rPr>
            </w:pPr>
            <w:r>
              <w:rPr>
                <w:rFonts w:hint="eastAsia"/>
                <w:b/>
                <w:bCs w:val="0"/>
                <w:color w:val="auto"/>
                <w:sz w:val="24"/>
                <w:u w:val="none"/>
              </w:rPr>
              <w:t>2.</w:t>
            </w:r>
            <w:r>
              <w:rPr>
                <w:rFonts w:hint="eastAsia"/>
                <w:b/>
                <w:bCs w:val="0"/>
                <w:color w:val="auto"/>
                <w:sz w:val="24"/>
                <w:u w:val="none"/>
                <w:lang w:val="en-US" w:eastAsia="zh-CN"/>
              </w:rPr>
              <w:t>10.1</w:t>
            </w:r>
            <w:r>
              <w:rPr>
                <w:rFonts w:hint="eastAsia"/>
                <w:b/>
                <w:bCs w:val="0"/>
                <w:color w:val="auto"/>
                <w:sz w:val="24"/>
                <w:u w:val="none"/>
              </w:rPr>
              <w:t xml:space="preserve"> </w:t>
            </w:r>
            <w:r>
              <w:rPr>
                <w:b/>
                <w:bCs/>
                <w:sz w:val="24"/>
              </w:rPr>
              <w:t>运营期</w:t>
            </w:r>
            <w:r>
              <w:rPr>
                <w:rFonts w:hint="eastAsia"/>
                <w:b/>
                <w:bCs w:val="0"/>
                <w:color w:val="auto"/>
                <w:sz w:val="24"/>
                <w:u w:val="none"/>
              </w:rPr>
              <w:t>工艺流程及产排污节点</w:t>
            </w:r>
          </w:p>
          <w:p w14:paraId="0DEFF6F3">
            <w:pPr>
              <w:pStyle w:val="104"/>
              <w:keepNext w:val="0"/>
              <w:keepLines w:val="0"/>
              <w:pageBreakBefore w:val="0"/>
              <w:widowControl w:val="0"/>
              <w:kinsoku/>
              <w:wordWrap/>
              <w:overflowPunct/>
              <w:topLinePunct w:val="0"/>
              <w:autoSpaceDE/>
              <w:autoSpaceDN/>
              <w:bidi w:val="0"/>
              <w:adjustRightInd w:val="0"/>
              <w:snapToGrid w:val="0"/>
              <w:spacing w:before="0" w:beforeLines="0" w:after="0" w:afterLines="0"/>
              <w:ind w:left="0" w:leftChars="0" w:firstLine="0" w:firstLineChars="0"/>
              <w:jc w:val="center"/>
              <w:textAlignment w:val="auto"/>
              <w:rPr>
                <w:rFonts w:ascii="Times New Roman" w:hAnsi="Times New Roman" w:cs="Times New Roman"/>
              </w:rPr>
            </w:pPr>
            <w:r>
              <w:rPr>
                <w:rFonts w:hint="eastAsia" w:ascii="Times New Roman" w:hAnsi="Times New Roman" w:eastAsia="宋体" w:cs="Times New Roman"/>
                <w:lang w:eastAsia="zh-CN"/>
              </w:rPr>
              <w:drawing>
                <wp:inline distT="0" distB="0" distL="114300" distR="114300">
                  <wp:extent cx="5151120" cy="1828165"/>
                  <wp:effectExtent l="9525" t="9525" r="20955" b="10160"/>
                  <wp:docPr id="9" name="图片 9" descr="175029568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0295682096"/>
                          <pic:cNvPicPr>
                            <a:picLocks noChangeAspect="1"/>
                          </pic:cNvPicPr>
                        </pic:nvPicPr>
                        <pic:blipFill>
                          <a:blip r:embed="rId14"/>
                          <a:stretch>
                            <a:fillRect/>
                          </a:stretch>
                        </pic:blipFill>
                        <pic:spPr>
                          <a:xfrm>
                            <a:off x="0" y="0"/>
                            <a:ext cx="5151120" cy="1828165"/>
                          </a:xfrm>
                          <a:prstGeom prst="rect">
                            <a:avLst/>
                          </a:prstGeom>
                          <a:ln>
                            <a:solidFill>
                              <a:schemeClr val="tx1"/>
                            </a:solidFill>
                          </a:ln>
                        </pic:spPr>
                      </pic:pic>
                    </a:graphicData>
                  </a:graphic>
                </wp:inline>
              </w:drawing>
            </w:r>
          </w:p>
          <w:p w14:paraId="194E898C">
            <w:pPr>
              <w:spacing w:line="240" w:lineRule="auto"/>
              <w:jc w:val="center"/>
            </w:pPr>
            <w:r>
              <w:rPr>
                <w:b/>
                <w:bCs/>
                <w:sz w:val="24"/>
                <w:szCs w:val="24"/>
              </w:rPr>
              <w:t>图2-</w:t>
            </w:r>
            <w:r>
              <w:rPr>
                <w:rFonts w:hint="eastAsia"/>
                <w:b/>
                <w:bCs/>
                <w:sz w:val="24"/>
                <w:szCs w:val="24"/>
                <w:lang w:val="en-US" w:eastAsia="zh-CN"/>
              </w:rPr>
              <w:t>3</w:t>
            </w:r>
            <w:r>
              <w:rPr>
                <w:b/>
                <w:bCs/>
                <w:sz w:val="24"/>
                <w:szCs w:val="24"/>
              </w:rPr>
              <w:t xml:space="preserve"> 柴油、汽油卸油及加油工艺及产污节点图</w:t>
            </w:r>
          </w:p>
          <w:p w14:paraId="1541FC36">
            <w:pPr>
              <w:pStyle w:val="71"/>
              <w:spacing w:line="360" w:lineRule="auto"/>
              <w:ind w:firstLine="482" w:firstLineChars="200"/>
              <w:rPr>
                <w:rFonts w:ascii="Times New Roman" w:hAnsi="Times New Roman" w:cs="Times New Roman"/>
                <w:b/>
                <w:bCs/>
                <w:color w:val="auto"/>
                <w:szCs w:val="32"/>
              </w:rPr>
            </w:pPr>
            <w:r>
              <w:rPr>
                <w:rFonts w:hint="eastAsia" w:ascii="Times New Roman" w:hAnsi="Times New Roman" w:cs="Times New Roman"/>
                <w:b/>
                <w:bCs/>
                <w:color w:val="auto"/>
                <w:szCs w:val="32"/>
                <w:lang w:val="en-US" w:eastAsia="zh-CN"/>
              </w:rPr>
              <w:t>1、</w:t>
            </w:r>
            <w:r>
              <w:rPr>
                <w:rFonts w:ascii="Times New Roman" w:hAnsi="Times New Roman" w:cs="Times New Roman"/>
                <w:b/>
                <w:bCs/>
                <w:color w:val="auto"/>
                <w:szCs w:val="32"/>
              </w:rPr>
              <w:t>生产工艺流程简述：</w:t>
            </w:r>
          </w:p>
          <w:p w14:paraId="046EC863">
            <w:pPr>
              <w:spacing w:line="360" w:lineRule="auto"/>
              <w:ind w:firstLine="482" w:firstLineChars="200"/>
              <w:jc w:val="left"/>
              <w:rPr>
                <w:sz w:val="24"/>
              </w:rPr>
            </w:pPr>
            <w:r>
              <w:rPr>
                <w:b/>
                <w:sz w:val="24"/>
              </w:rPr>
              <w:t>①卸油：</w:t>
            </w:r>
            <w:r>
              <w:rPr>
                <w:sz w:val="24"/>
              </w:rPr>
              <w:t>该站拟采用油罐车经连通软管与油罐卸油孔连通卸油的方式卸油。装满汽油、柴油的油槽车到达加油站罐区后，在油罐附近停稳熄火，先接好静电接地装置，待油罐车熄火并静止15min后，将连通软管与油罐车的卸油口、储罐的进油口利用密闭快速接头连接好，经计量后准备接卸，卸油前，核对罐车与油罐中油品的品名、牌号是否一致，各项准备工作检查无误后，开始自流卸油。油品卸完后，拆卸油罐车连接端头，并将卸油管抬高使管内油料流入罐内并防止溅出，盖严罐口处的卸油帽，拆除静电接地装置，卸油完毕罐车静止15min后，发动油品罐车缓慢驶离罐区；</w:t>
            </w:r>
          </w:p>
          <w:p w14:paraId="3E253FD9">
            <w:pPr>
              <w:spacing w:line="360" w:lineRule="auto"/>
              <w:ind w:firstLine="482" w:firstLineChars="200"/>
              <w:jc w:val="left"/>
              <w:rPr>
                <w:b/>
                <w:sz w:val="24"/>
              </w:rPr>
            </w:pPr>
            <w:r>
              <w:rPr>
                <w:b/>
                <w:sz w:val="24"/>
              </w:rPr>
              <w:t>②储油：</w:t>
            </w:r>
            <w:r>
              <w:rPr>
                <w:sz w:val="24"/>
              </w:rPr>
              <w:t>对油罐车送来的油品在相应的油罐内进行储存，储存时间为2至3天，从而保证加油站不会出现销脱现象；</w:t>
            </w:r>
          </w:p>
          <w:p w14:paraId="2D332612">
            <w:pPr>
              <w:spacing w:line="360" w:lineRule="auto"/>
              <w:ind w:firstLine="482" w:firstLineChars="200"/>
              <w:jc w:val="left"/>
              <w:rPr>
                <w:b/>
                <w:sz w:val="24"/>
              </w:rPr>
            </w:pPr>
            <w:r>
              <w:rPr>
                <w:b/>
                <w:sz w:val="24"/>
              </w:rPr>
              <w:t>③加油：</w:t>
            </w:r>
            <w:r>
              <w:rPr>
                <w:sz w:val="24"/>
              </w:rPr>
              <w:t>加油采用加油工艺，将油品从储油罐吸出，经过加油机的计量器，再经加油枪加到汽车油箱中</w:t>
            </w:r>
            <w:r>
              <w:rPr>
                <w:rFonts w:hint="eastAsia"/>
                <w:sz w:val="24"/>
                <w:lang w:eastAsia="zh-CN"/>
              </w:rPr>
              <w:t>。</w:t>
            </w:r>
          </w:p>
          <w:p w14:paraId="4542B42C">
            <w:pPr>
              <w:spacing w:line="360" w:lineRule="auto"/>
              <w:jc w:val="left"/>
              <w:rPr>
                <w:b/>
                <w:sz w:val="24"/>
              </w:rPr>
            </w:pPr>
            <w:r>
              <w:rPr>
                <w:rFonts w:hint="eastAsia"/>
                <w:b/>
                <w:bCs w:val="0"/>
                <w:color w:val="auto"/>
                <w:sz w:val="24"/>
                <w:u w:val="none"/>
              </w:rPr>
              <w:t>2.</w:t>
            </w:r>
            <w:r>
              <w:rPr>
                <w:rFonts w:hint="eastAsia"/>
                <w:b/>
                <w:bCs w:val="0"/>
                <w:color w:val="auto"/>
                <w:sz w:val="24"/>
                <w:u w:val="none"/>
                <w:lang w:val="en-US" w:eastAsia="zh-CN"/>
              </w:rPr>
              <w:t xml:space="preserve">10.2 </w:t>
            </w:r>
            <w:r>
              <w:rPr>
                <w:b/>
                <w:bCs/>
                <w:sz w:val="24"/>
              </w:rPr>
              <w:t>汽油油气回收系统</w:t>
            </w:r>
          </w:p>
          <w:p w14:paraId="2DC2E84B">
            <w:pPr>
              <w:spacing w:line="360" w:lineRule="auto"/>
              <w:ind w:firstLine="480" w:firstLineChars="200"/>
              <w:jc w:val="left"/>
              <w:rPr>
                <w:sz w:val="24"/>
              </w:rPr>
            </w:pPr>
            <w:r>
              <w:rPr>
                <w:sz w:val="24"/>
              </w:rPr>
              <w:t>卸油油气回收系统：</w:t>
            </w:r>
          </w:p>
          <w:p w14:paraId="70417FF8">
            <w:pPr>
              <w:spacing w:line="360" w:lineRule="auto"/>
              <w:ind w:firstLine="480" w:firstLineChars="200"/>
              <w:jc w:val="left"/>
              <w:rPr>
                <w:bCs/>
                <w:sz w:val="24"/>
              </w:rPr>
            </w:pPr>
            <w:r>
              <w:rPr>
                <w:sz w:val="24"/>
              </w:rPr>
              <w:t>油罐车卸下一定数量的汽油油品，就需吸入大致相等的气体补充到槽车内部，而加油站内的埋地油罐也因注入油品而向外排出相当数量的油气。本加油站通过安装一根气相管线，将油槽车与汽油储罐连通，卸车过程中，油槽车内部的汽油通过卸车管线进入储罐，储罐的油气经过气相管线回油罐车内，完成密闭式卸油过程。回收到油罐车内的油气，可由油罐车带回油库后，再经油库安装的油气回收系统回收处理，回收效率可达到95%。</w:t>
            </w:r>
          </w:p>
          <w:p w14:paraId="2A6AC924">
            <w:pPr>
              <w:pStyle w:val="10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ascii="Times New Roman" w:hAnsi="Times New Roman" w:cs="Times New Roman"/>
              </w:rPr>
            </w:pPr>
            <w:r>
              <w:rPr>
                <w:rFonts w:ascii="Times New Roman" w:hAnsi="Times New Roman" w:cs="Times New Roman"/>
              </w:rPr>
              <w:drawing>
                <wp:inline distT="0" distB="0" distL="0" distR="0">
                  <wp:extent cx="5241290" cy="2033905"/>
                  <wp:effectExtent l="9525" t="9525" r="26035" b="13970"/>
                  <wp:docPr id="2" name="图片 16" descr="DLKJR6L@){[1LUCGAE(SU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DLKJR6L@){[1LUCGAE(SUV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41290" cy="2033905"/>
                          </a:xfrm>
                          <a:prstGeom prst="rect">
                            <a:avLst/>
                          </a:prstGeom>
                          <a:noFill/>
                          <a:ln>
                            <a:solidFill>
                              <a:schemeClr val="tx1"/>
                            </a:solidFill>
                          </a:ln>
                        </pic:spPr>
                      </pic:pic>
                    </a:graphicData>
                  </a:graphic>
                </wp:inline>
              </w:drawing>
            </w:r>
          </w:p>
          <w:p w14:paraId="721EADE6">
            <w:pPr>
              <w:jc w:val="center"/>
              <w:rPr>
                <w:sz w:val="24"/>
                <w:szCs w:val="24"/>
              </w:rPr>
            </w:pPr>
            <w:r>
              <w:rPr>
                <w:b/>
                <w:bCs/>
                <w:sz w:val="24"/>
                <w:szCs w:val="24"/>
              </w:rPr>
              <w:t>图2-</w:t>
            </w:r>
            <w:r>
              <w:rPr>
                <w:rFonts w:hint="eastAsia"/>
                <w:b/>
                <w:bCs/>
                <w:sz w:val="24"/>
                <w:szCs w:val="24"/>
                <w:lang w:val="en-US" w:eastAsia="zh-CN"/>
              </w:rPr>
              <w:t>4</w:t>
            </w:r>
            <w:r>
              <w:rPr>
                <w:b/>
                <w:bCs/>
                <w:sz w:val="24"/>
                <w:szCs w:val="24"/>
              </w:rPr>
              <w:t xml:space="preserve"> 一次油气回收系统基本原理</w:t>
            </w:r>
          </w:p>
          <w:p w14:paraId="289A0CFF">
            <w:pPr>
              <w:spacing w:line="360" w:lineRule="auto"/>
              <w:ind w:firstLine="480" w:firstLineChars="200"/>
              <w:jc w:val="left"/>
              <w:rPr>
                <w:sz w:val="24"/>
              </w:rPr>
            </w:pPr>
            <w:r>
              <w:rPr>
                <w:sz w:val="24"/>
              </w:rPr>
              <w:t>加油油气回收系统：</w:t>
            </w:r>
          </w:p>
          <w:p w14:paraId="7E7EBE72">
            <w:pPr>
              <w:pStyle w:val="104"/>
              <w:spacing w:before="0" w:beforeLines="0" w:after="0" w:afterLines="0" w:line="360" w:lineRule="auto"/>
              <w:ind w:firstLine="480" w:firstLineChars="200"/>
              <w:jc w:val="both"/>
              <w:rPr>
                <w:rFonts w:ascii="Times New Roman" w:hAnsi="Times New Roman" w:cs="Times New Roman"/>
                <w:bCs/>
                <w:kern w:val="2"/>
                <w:sz w:val="24"/>
                <w:szCs w:val="24"/>
              </w:rPr>
            </w:pPr>
            <w:r>
              <w:rPr>
                <w:rFonts w:ascii="Times New Roman" w:hAnsi="Times New Roman" w:cs="Times New Roman"/>
                <w:sz w:val="24"/>
              </w:rPr>
              <w:t>汽车加油过程中，将原来箱口散溢的气通经回收管线输送至储罐实现加油与气等体积置换，回收效率可达到95%</w:t>
            </w:r>
            <w:r>
              <w:rPr>
                <w:rFonts w:hint="eastAsia" w:cs="Times New Roman"/>
                <w:sz w:val="24"/>
                <w:lang w:eastAsia="zh-CN"/>
              </w:rPr>
              <w:t>，</w:t>
            </w:r>
            <w:r>
              <w:rPr>
                <w:rFonts w:ascii="Times New Roman" w:hAnsi="Times New Roman" w:cs="Times New Roman"/>
                <w:sz w:val="24"/>
              </w:rPr>
              <w:t>加油及油气回收工艺如下：</w:t>
            </w:r>
          </w:p>
          <w:p w14:paraId="562D87FB">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0" distR="0">
                  <wp:extent cx="5358765" cy="3512820"/>
                  <wp:effectExtent l="9525" t="9525" r="22860" b="20955"/>
                  <wp:docPr id="3" name="图片 18" descr="}]3ZZ7T9C`]86_NEVIVEP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3ZZ7T9C`]86_NEVIVEP_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58765" cy="3512820"/>
                          </a:xfrm>
                          <a:prstGeom prst="rect">
                            <a:avLst/>
                          </a:prstGeom>
                          <a:noFill/>
                          <a:ln>
                            <a:solidFill>
                              <a:schemeClr val="tx1"/>
                            </a:solidFill>
                          </a:ln>
                        </pic:spPr>
                      </pic:pic>
                    </a:graphicData>
                  </a:graphic>
                </wp:inline>
              </w:drawing>
            </w:r>
          </w:p>
          <w:p w14:paraId="13D9CBDD">
            <w:pPr>
              <w:pStyle w:val="104"/>
              <w:spacing w:before="48" w:after="48"/>
              <w:rPr>
                <w:rFonts w:ascii="Times New Roman" w:hAnsi="Times New Roman" w:cs="Times New Roman"/>
                <w:bCs/>
                <w:kern w:val="2"/>
                <w:sz w:val="24"/>
                <w:szCs w:val="24"/>
              </w:rPr>
            </w:pPr>
            <w:r>
              <w:rPr>
                <w:rFonts w:ascii="Times New Roman" w:hAnsi="Times New Roman" w:cs="Times New Roman"/>
                <w:b/>
                <w:bCs/>
                <w:sz w:val="24"/>
                <w:szCs w:val="24"/>
              </w:rPr>
              <w:t>图2-</w:t>
            </w:r>
            <w:r>
              <w:rPr>
                <w:rFonts w:hint="eastAsia" w:cs="Times New Roman"/>
                <w:b/>
                <w:bCs/>
                <w:sz w:val="24"/>
                <w:szCs w:val="24"/>
                <w:lang w:val="en-US" w:eastAsia="zh-CN"/>
              </w:rPr>
              <w:t>5</w:t>
            </w:r>
            <w:r>
              <w:rPr>
                <w:rFonts w:ascii="Times New Roman" w:hAnsi="Times New Roman" w:cs="Times New Roman"/>
                <w:b/>
                <w:bCs/>
                <w:sz w:val="24"/>
                <w:szCs w:val="24"/>
              </w:rPr>
              <w:t xml:space="preserve"> 二次油气回收系统基本原理</w:t>
            </w:r>
          </w:p>
          <w:p w14:paraId="772725E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i w:val="0"/>
                <w:iCs w:val="0"/>
                <w:color w:val="auto"/>
                <w:spacing w:val="0"/>
                <w:position w:val="0"/>
                <w:sz w:val="24"/>
                <w:szCs w:val="24"/>
                <w:highlight w:val="none"/>
                <w:u w:val="none" w:color="auto"/>
                <w:lang w:val="en-US" w:eastAsia="zh-CN"/>
              </w:rPr>
            </w:pPr>
            <w:r>
              <w:rPr>
                <w:rFonts w:hint="default" w:ascii="Times New Roman" w:hAnsi="Times New Roman" w:eastAsia="宋体" w:cs="Times New Roman"/>
                <w:bCs/>
                <w:i w:val="0"/>
                <w:iCs w:val="0"/>
                <w:color w:val="auto"/>
                <w:spacing w:val="0"/>
                <w:position w:val="0"/>
                <w:sz w:val="24"/>
                <w:szCs w:val="24"/>
                <w:highlight w:val="none"/>
                <w:u w:val="none" w:color="auto"/>
                <w:lang w:val="en-US" w:eastAsia="zh-CN"/>
              </w:rPr>
              <w:t>储油油气回收（三次油气回收）系统：</w:t>
            </w:r>
          </w:p>
          <w:p w14:paraId="662E6DC1">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u w:val="none"/>
                <w:lang w:val="en-US" w:eastAsia="zh-CN" w:bidi="ar"/>
              </w:rPr>
            </w:pPr>
            <w:r>
              <w:rPr>
                <w:rFonts w:hint="eastAsia" w:ascii="宋体" w:hAnsi="宋体" w:cs="宋体"/>
                <w:color w:val="000000"/>
                <w:kern w:val="0"/>
                <w:sz w:val="24"/>
                <w:szCs w:val="24"/>
                <w:u w:val="none"/>
                <w:lang w:val="en-US" w:eastAsia="zh-CN" w:bidi="ar"/>
              </w:rPr>
              <w:t>由</w:t>
            </w:r>
            <w:r>
              <w:rPr>
                <w:rFonts w:hint="eastAsia" w:ascii="宋体" w:hAnsi="宋体" w:eastAsia="宋体" w:cs="宋体"/>
                <w:color w:val="000000"/>
                <w:kern w:val="0"/>
                <w:sz w:val="24"/>
                <w:szCs w:val="24"/>
                <w:u w:val="none"/>
                <w:lang w:val="en-US" w:eastAsia="zh-CN" w:bidi="ar"/>
              </w:rPr>
              <w:t>于汽油非常容易挥发，当油罐系统温度升高时，汽油蒸发加剧，会引起呼吸阀排放油气；由于热胀冷缩现象，当油罐系统温度降低时，呼吸阀会吸入空气，当油罐系统温度再次升高时，也会引起呼吸阀排放油气。</w:t>
            </w:r>
          </w:p>
          <w:p w14:paraId="7588AC77">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u w:val="none"/>
                <w:lang w:val="en-US" w:eastAsia="zh-CN" w:bidi="ar"/>
              </w:rPr>
            </w:pPr>
            <w:r>
              <w:rPr>
                <w:rFonts w:hint="eastAsia" w:ascii="宋体" w:hAnsi="宋体" w:eastAsia="宋体" w:cs="宋体"/>
                <w:color w:val="000000"/>
                <w:kern w:val="0"/>
                <w:sz w:val="24"/>
                <w:szCs w:val="24"/>
                <w:u w:val="none"/>
                <w:lang w:val="en-US" w:eastAsia="zh-CN" w:bidi="ar"/>
              </w:rPr>
              <w:t>目前国内外对加油站三次油气回收的治理主要有冷凝法、吸收法、吸附法、膜分离法几种方法，以及它们的组合工艺。本项目使用冷凝+吸附式油气回收处理系统的方法进行第三次油气回收。</w:t>
            </w:r>
          </w:p>
          <w:p w14:paraId="773AA236">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u w:val="none"/>
                <w:lang w:val="en-US" w:eastAsia="zh-CN" w:bidi="ar"/>
              </w:rPr>
            </w:pPr>
            <w:r>
              <w:rPr>
                <w:rFonts w:hint="eastAsia" w:ascii="宋体" w:hAnsi="宋体" w:cs="宋体"/>
                <w:color w:val="000000"/>
                <w:kern w:val="0"/>
                <w:sz w:val="24"/>
                <w:szCs w:val="24"/>
                <w:u w:val="none"/>
                <w:lang w:val="en-US" w:eastAsia="zh-CN" w:bidi="ar"/>
              </w:rPr>
              <w:t>冷</w:t>
            </w:r>
            <w:r>
              <w:rPr>
                <w:rFonts w:hint="default" w:ascii="宋体" w:hAnsi="宋体" w:eastAsia="宋体" w:cs="宋体"/>
                <w:color w:val="000000"/>
                <w:kern w:val="0"/>
                <w:sz w:val="24"/>
                <w:szCs w:val="24"/>
                <w:u w:val="none"/>
                <w:lang w:val="en-US" w:eastAsia="zh-CN" w:bidi="ar"/>
              </w:rPr>
              <w:t>凝法：是利用油气在不同温度和压力下具有不同的饱和蒸气压，通过降低 温度或增加压力，使油气首先凝结出来。</w:t>
            </w:r>
          </w:p>
          <w:p w14:paraId="75649EC0">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u w:val="none"/>
                <w:lang w:val="en-US" w:eastAsia="zh-CN" w:bidi="ar"/>
              </w:rPr>
            </w:pPr>
            <w:r>
              <w:rPr>
                <w:rFonts w:hint="default" w:ascii="宋体" w:hAnsi="宋体" w:eastAsia="宋体" w:cs="宋体"/>
                <w:color w:val="000000"/>
                <w:kern w:val="0"/>
                <w:sz w:val="24"/>
                <w:szCs w:val="24"/>
                <w:u w:val="none"/>
                <w:lang w:val="en-US" w:eastAsia="zh-CN" w:bidi="ar"/>
              </w:rPr>
              <w:t>吸附法：是利用油气中各组分与吸附剂（活性炭）间结合力不同，实现难吸 附组分与易吸附组分的分离。</w:t>
            </w:r>
          </w:p>
          <w:p w14:paraId="3A97283F">
            <w:pPr>
              <w:pStyle w:val="1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highlight w:val="none"/>
              </w:rPr>
            </w:pPr>
            <w:r>
              <w:drawing>
                <wp:inline distT="0" distB="0" distL="114300" distR="114300">
                  <wp:extent cx="5365750" cy="2896870"/>
                  <wp:effectExtent l="9525" t="9525" r="15875" b="273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7"/>
                          <a:stretch>
                            <a:fillRect/>
                          </a:stretch>
                        </pic:blipFill>
                        <pic:spPr>
                          <a:xfrm>
                            <a:off x="0" y="0"/>
                            <a:ext cx="5365750" cy="2896870"/>
                          </a:xfrm>
                          <a:prstGeom prst="rect">
                            <a:avLst/>
                          </a:prstGeom>
                          <a:noFill/>
                          <a:ln>
                            <a:solidFill>
                              <a:schemeClr val="tx1"/>
                            </a:solidFill>
                          </a:ln>
                        </pic:spPr>
                      </pic:pic>
                    </a:graphicData>
                  </a:graphic>
                </wp:inline>
              </w:drawing>
            </w:r>
          </w:p>
          <w:p w14:paraId="5975776B">
            <w:pPr>
              <w:pStyle w:val="28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textAlignment w:val="auto"/>
              <w:outlineLvl w:val="9"/>
              <w:rPr>
                <w:rFonts w:hint="eastAsia" w:ascii="宋体" w:hAnsi="宋体" w:eastAsia="宋体" w:cs="宋体"/>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 xml:space="preserve">图2-6 </w:t>
            </w:r>
            <w:r>
              <w:rPr>
                <w:rFonts w:hint="eastAsia" w:ascii="宋体" w:hAnsi="宋体" w:eastAsia="宋体" w:cs="宋体"/>
                <w:b/>
                <w:bCs/>
                <w:color w:val="auto"/>
                <w:sz w:val="24"/>
                <w:szCs w:val="24"/>
                <w:highlight w:val="none"/>
                <w:lang w:val="en-US" w:eastAsia="zh-CN"/>
              </w:rPr>
              <w:t>三次油气回收系统示意图</w:t>
            </w:r>
          </w:p>
          <w:p w14:paraId="60B77C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冷凝+吸附式油气回收处理系统原理为：利用制冷技术将油气的热量置换出来，实现油气组分从气相到液相的直接转换。加油站油气回收冷凝法是利用烃类物质在不同温度下的蒸汽压差异，通过降温使油气中一些烃类蒸汽压达到过饱和状态，过饱和蒸汽冷凝成液态，回收油气的方法。冷凝系统由预冷~一级冷凝~二级冷凝组成：预冷段的冷量来自于二级冷凝出来的油气，一级冷凝和二级冷凝的冷量来自于制冷机组，制冷剂为 R-404A 型环保制冷剂，由供应商家定期到加油站管道密闭补充，均在日常生产时被消耗殆尽，故本项目不产生废制冷剂。</w:t>
            </w:r>
          </w:p>
          <w:p w14:paraId="4D1A97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油气经过预冷装置将进入回收装置的气体温度从环境温度下降至 5℃左右；气体离开预冷器后进入浅冷装置，可将气体温度冷却至-35℃，可回收油气中近一半的烃类物质；离开浅冷的油气进入中冷装置，可将气体冷却至-65℃，回收绝大部分组分。未被冷静的油气进入后段吸附工艺利用活性炭吸附剂对混合气的吸附力的大小不同，实现油气和空气的分离。油气通过活性炭吸附，油气组分吸附在吸附剂表面，然后再经过减压脱附，富集的油气用真空泵抽吸到油罐；而吸附剂对空气的吸附力非常小，未被吸附的尾气经排气管排放。</w:t>
            </w:r>
          </w:p>
          <w:p w14:paraId="35984A98">
            <w:pPr>
              <w:keepNext w:val="0"/>
              <w:keepLines w:val="0"/>
              <w:suppressLineNumbers w:val="0"/>
              <w:spacing w:before="0" w:beforeAutospacing="0" w:after="0" w:afterAutospacing="0" w:line="360" w:lineRule="auto"/>
              <w:ind w:right="0"/>
              <w:rPr>
                <w:rFonts w:hint="default" w:ascii="Times New Roman" w:hAnsi="Times New Roman" w:eastAsia="宋体" w:cs="Times New Roman"/>
                <w:b/>
                <w:bCs/>
                <w:color w:val="auto"/>
                <w:sz w:val="24"/>
                <w:highlight w:val="none"/>
                <w:u w:val="none" w:color="auto"/>
                <w:lang w:val="en-US" w:eastAsia="zh-CN"/>
              </w:rPr>
            </w:pPr>
            <w:r>
              <w:rPr>
                <w:rFonts w:hint="eastAsia"/>
                <w:b/>
                <w:bCs w:val="0"/>
                <w:color w:val="auto"/>
                <w:sz w:val="24"/>
                <w:u w:val="none"/>
              </w:rPr>
              <w:t>2.</w:t>
            </w:r>
            <w:r>
              <w:rPr>
                <w:rFonts w:hint="eastAsia"/>
                <w:b/>
                <w:bCs w:val="0"/>
                <w:color w:val="auto"/>
                <w:sz w:val="24"/>
                <w:u w:val="none"/>
                <w:lang w:val="en-US" w:eastAsia="zh-CN"/>
              </w:rPr>
              <w:t xml:space="preserve">10.3 </w:t>
            </w:r>
            <w:r>
              <w:rPr>
                <w:rFonts w:hint="default" w:ascii="Times New Roman" w:hAnsi="Times New Roman" w:eastAsia="宋体" w:cs="Times New Roman"/>
                <w:b/>
                <w:bCs/>
                <w:color w:val="auto"/>
                <w:sz w:val="24"/>
                <w:highlight w:val="none"/>
                <w:u w:val="none" w:color="auto"/>
              </w:rPr>
              <w:t>产排污环节</w:t>
            </w:r>
            <w:r>
              <w:rPr>
                <w:rFonts w:hint="default" w:ascii="Times New Roman" w:hAnsi="Times New Roman" w:eastAsia="宋体" w:cs="Times New Roman"/>
                <w:b/>
                <w:bCs/>
                <w:color w:val="auto"/>
                <w:sz w:val="24"/>
                <w:highlight w:val="none"/>
                <w:u w:val="none" w:color="auto"/>
                <w:lang w:val="en-US" w:eastAsia="zh-CN"/>
              </w:rPr>
              <w:t>分析</w:t>
            </w:r>
          </w:p>
          <w:p w14:paraId="3C00EE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1）废气：卸油、储油、加油过程油品挥发，评价因子为非甲烷总烃；油罐车、加油车辆汽车尾气，污染因子</w:t>
            </w:r>
            <w:r>
              <w:rPr>
                <w:rFonts w:hint="default" w:ascii="Times New Roman" w:hAnsi="Times New Roman" w:eastAsia="宋体" w:cs="Times New Roman"/>
                <w:color w:val="auto"/>
                <w:sz w:val="24"/>
                <w:szCs w:val="24"/>
                <w:highlight w:val="none"/>
                <w:u w:val="none" w:color="auto"/>
                <w:lang w:eastAsia="zh-CN"/>
              </w:rPr>
              <w:t>NO</w:t>
            </w:r>
            <w:r>
              <w:rPr>
                <w:rFonts w:hint="default" w:ascii="Times New Roman" w:hAnsi="Times New Roman" w:eastAsia="宋体" w:cs="Times New Roman"/>
                <w:color w:val="auto"/>
                <w:sz w:val="24"/>
                <w:szCs w:val="24"/>
                <w:highlight w:val="none"/>
                <w:u w:val="none" w:color="auto"/>
                <w:vertAlign w:val="subscript"/>
                <w:lang w:eastAsia="zh-CN"/>
              </w:rPr>
              <w:t>X</w:t>
            </w:r>
            <w:r>
              <w:rPr>
                <w:rFonts w:hint="default" w:ascii="Times New Roman" w:hAnsi="Times New Roman" w:eastAsia="宋体" w:cs="Times New Roman"/>
                <w:color w:val="auto"/>
                <w:sz w:val="24"/>
                <w:szCs w:val="24"/>
                <w:highlight w:val="none"/>
                <w:u w:val="none" w:color="auto"/>
              </w:rPr>
              <w:t>、CO、THC等</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发电机烟气</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污染因子为</w:t>
            </w:r>
            <w:r>
              <w:rPr>
                <w:rFonts w:hint="default" w:ascii="Times New Roman" w:hAnsi="Times New Roman" w:eastAsia="宋体" w:cs="Times New Roman"/>
                <w:b w:val="0"/>
                <w:bCs w:val="0"/>
                <w:i w:val="0"/>
                <w:iCs w:val="0"/>
                <w:color w:val="auto"/>
                <w:spacing w:val="0"/>
                <w:kern w:val="2"/>
                <w:position w:val="0"/>
                <w:sz w:val="24"/>
                <w:szCs w:val="24"/>
                <w:highlight w:val="none"/>
                <w:u w:val="none" w:color="auto"/>
                <w:vertAlign w:val="baseline"/>
                <w:lang w:val="en-US" w:eastAsia="zh-CN" w:bidi="ar-SA"/>
              </w:rPr>
              <w:t>SO</w:t>
            </w:r>
            <w:r>
              <w:rPr>
                <w:rFonts w:hint="default" w:ascii="Times New Roman" w:hAnsi="Times New Roman" w:eastAsia="宋体" w:cs="Times New Roman"/>
                <w:b w:val="0"/>
                <w:bCs w:val="0"/>
                <w:i w:val="0"/>
                <w:iCs w:val="0"/>
                <w:color w:val="auto"/>
                <w:spacing w:val="0"/>
                <w:kern w:val="2"/>
                <w:position w:val="0"/>
                <w:sz w:val="24"/>
                <w:szCs w:val="24"/>
                <w:highlight w:val="none"/>
                <w:u w:val="none" w:color="auto"/>
                <w:vertAlign w:val="subscript"/>
                <w:lang w:val="en-US" w:eastAsia="zh-CN" w:bidi="ar-SA"/>
              </w:rPr>
              <w:t>2</w:t>
            </w:r>
            <w:r>
              <w:rPr>
                <w:rFonts w:hint="default" w:ascii="Times New Roman" w:hAnsi="Times New Roman" w:eastAsia="宋体" w:cs="Times New Roman"/>
                <w:b w:val="0"/>
                <w:bCs w:val="0"/>
                <w:i w:val="0"/>
                <w:iCs w:val="0"/>
                <w:color w:val="auto"/>
                <w:spacing w:val="0"/>
                <w:kern w:val="2"/>
                <w:position w:val="0"/>
                <w:sz w:val="24"/>
                <w:szCs w:val="24"/>
                <w:highlight w:val="none"/>
                <w:u w:val="none" w:color="auto"/>
                <w:vertAlign w:val="baseline"/>
                <w:lang w:val="en-US" w:eastAsia="zh-CN" w:bidi="ar-SA"/>
              </w:rPr>
              <w:t>、NO</w:t>
            </w:r>
            <w:r>
              <w:rPr>
                <w:rFonts w:hint="default" w:ascii="Times New Roman" w:hAnsi="Times New Roman" w:eastAsia="宋体" w:cs="Times New Roman"/>
                <w:b w:val="0"/>
                <w:bCs w:val="0"/>
                <w:i w:val="0"/>
                <w:iCs w:val="0"/>
                <w:color w:val="auto"/>
                <w:spacing w:val="0"/>
                <w:kern w:val="2"/>
                <w:position w:val="0"/>
                <w:sz w:val="24"/>
                <w:szCs w:val="24"/>
                <w:highlight w:val="none"/>
                <w:u w:val="none" w:color="auto"/>
                <w:vertAlign w:val="subscript"/>
                <w:lang w:val="en-US" w:eastAsia="zh-CN" w:bidi="ar-SA"/>
              </w:rPr>
              <w:t>X</w:t>
            </w:r>
            <w:r>
              <w:rPr>
                <w:rFonts w:hint="default" w:ascii="Times New Roman" w:hAnsi="Times New Roman" w:eastAsia="宋体" w:cs="Times New Roman"/>
                <w:b w:val="0"/>
                <w:bCs w:val="0"/>
                <w:i w:val="0"/>
                <w:iCs w:val="0"/>
                <w:color w:val="auto"/>
                <w:spacing w:val="0"/>
                <w:kern w:val="2"/>
                <w:position w:val="0"/>
                <w:sz w:val="24"/>
                <w:szCs w:val="24"/>
                <w:highlight w:val="none"/>
                <w:u w:val="none" w:color="auto"/>
                <w:vertAlign w:val="baseline"/>
                <w:lang w:val="en-US" w:eastAsia="zh-CN" w:bidi="ar-SA"/>
              </w:rPr>
              <w:t>、烟尘等</w:t>
            </w:r>
            <w:r>
              <w:rPr>
                <w:rFonts w:hint="default" w:ascii="Times New Roman" w:hAnsi="Times New Roman" w:eastAsia="宋体" w:cs="Times New Roman"/>
                <w:color w:val="auto"/>
                <w:sz w:val="24"/>
                <w:szCs w:val="24"/>
                <w:highlight w:val="none"/>
                <w:u w:val="none" w:color="auto"/>
                <w:lang w:val="en-US" w:eastAsia="zh-CN"/>
              </w:rPr>
              <w:t>；食堂油烟等</w:t>
            </w:r>
            <w:r>
              <w:rPr>
                <w:rFonts w:hint="default" w:ascii="Times New Roman" w:hAnsi="Times New Roman" w:eastAsia="宋体" w:cs="Times New Roman"/>
                <w:color w:val="auto"/>
                <w:sz w:val="24"/>
                <w:szCs w:val="24"/>
                <w:highlight w:val="none"/>
                <w:u w:val="none" w:color="auto"/>
              </w:rPr>
              <w:t>。</w:t>
            </w:r>
          </w:p>
          <w:p w14:paraId="35963B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2）废水：主要为</w:t>
            </w:r>
            <w:r>
              <w:rPr>
                <w:rFonts w:hint="default" w:ascii="Times New Roman" w:hAnsi="Times New Roman" w:eastAsia="宋体" w:cs="Times New Roman"/>
                <w:color w:val="auto"/>
                <w:sz w:val="24"/>
                <w:szCs w:val="24"/>
                <w:highlight w:val="none"/>
                <w:u w:val="none" w:color="auto"/>
                <w:lang w:val="en-US" w:eastAsia="zh-CN"/>
              </w:rPr>
              <w:t>场地冲洗废水</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初期雨水</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员工</w:t>
            </w:r>
            <w:r>
              <w:rPr>
                <w:rFonts w:hint="eastAsia" w:ascii="Times New Roman" w:hAnsi="Times New Roman" w:eastAsia="宋体" w:cs="Times New Roman"/>
                <w:color w:val="auto"/>
                <w:sz w:val="24"/>
                <w:szCs w:val="24"/>
                <w:highlight w:val="none"/>
                <w:u w:val="none" w:color="auto"/>
                <w:lang w:val="en-US" w:eastAsia="zh-CN"/>
              </w:rPr>
              <w:t>生活污水</w:t>
            </w:r>
            <w:r>
              <w:rPr>
                <w:rFonts w:hint="default" w:ascii="Times New Roman" w:hAnsi="Times New Roman" w:eastAsia="宋体" w:cs="Times New Roman"/>
                <w:color w:val="auto"/>
                <w:sz w:val="24"/>
                <w:szCs w:val="24"/>
                <w:highlight w:val="none"/>
                <w:u w:val="none" w:color="auto"/>
              </w:rPr>
              <w:t>和公共卫生间</w:t>
            </w:r>
            <w:r>
              <w:rPr>
                <w:rFonts w:hint="eastAsia" w:cs="Times New Roman"/>
                <w:color w:val="auto"/>
                <w:sz w:val="24"/>
                <w:szCs w:val="24"/>
                <w:highlight w:val="none"/>
                <w:u w:val="none" w:color="auto"/>
                <w:lang w:val="en-US" w:eastAsia="zh-CN"/>
              </w:rPr>
              <w:t>废水</w:t>
            </w:r>
            <w:r>
              <w:rPr>
                <w:rFonts w:hint="eastAsia" w:cs="Times New Roman"/>
                <w:color w:val="auto"/>
                <w:sz w:val="24"/>
                <w:szCs w:val="24"/>
                <w:highlight w:val="none"/>
                <w:u w:val="none" w:color="auto"/>
                <w:lang w:eastAsia="zh-CN"/>
              </w:rPr>
              <w:t>、</w:t>
            </w:r>
            <w:r>
              <w:rPr>
                <w:rFonts w:hint="eastAsia" w:cs="Times New Roman"/>
                <w:color w:val="auto"/>
                <w:sz w:val="24"/>
                <w:szCs w:val="24"/>
                <w:highlight w:val="none"/>
                <w:u w:val="none" w:color="auto"/>
                <w:lang w:val="en-US" w:eastAsia="zh-CN"/>
              </w:rPr>
              <w:t>洗车废水</w:t>
            </w:r>
            <w:r>
              <w:rPr>
                <w:rFonts w:hint="default" w:ascii="Times New Roman" w:hAnsi="Times New Roman" w:eastAsia="宋体" w:cs="Times New Roman"/>
                <w:color w:val="auto"/>
                <w:sz w:val="24"/>
                <w:szCs w:val="24"/>
                <w:highlight w:val="none"/>
                <w:u w:val="none" w:color="auto"/>
              </w:rPr>
              <w:t>。</w:t>
            </w:r>
          </w:p>
          <w:p w14:paraId="307F97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3）噪声：噪声源主要为加油泵等设备运行时产生的设备噪声以及加油车辆在进出加油站时产生的交通噪声。</w:t>
            </w:r>
          </w:p>
          <w:p w14:paraId="40C6E016">
            <w:pPr>
              <w:pStyle w:val="1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rPr>
            </w:pPr>
            <w:r>
              <w:rPr>
                <w:rFonts w:hint="default" w:ascii="Times New Roman" w:hAnsi="Times New Roman" w:eastAsia="宋体" w:cs="Times New Roman"/>
                <w:color w:val="auto"/>
                <w:sz w:val="24"/>
                <w:szCs w:val="24"/>
                <w:highlight w:val="none"/>
                <w:u w:val="none" w:color="auto"/>
              </w:rPr>
              <w:t>4）固废：主要为生活垃圾</w:t>
            </w:r>
            <w:r>
              <w:rPr>
                <w:rFonts w:hint="default" w:ascii="Times New Roman" w:hAnsi="Times New Roman" w:eastAsia="宋体" w:cs="Times New Roman"/>
                <w:color w:val="auto"/>
                <w:sz w:val="24"/>
                <w:szCs w:val="24"/>
                <w:highlight w:val="none"/>
                <w:u w:val="none" w:color="auto"/>
                <w:lang w:eastAsia="zh-CN"/>
              </w:rPr>
              <w:t>、清罐油泥、隔油</w:t>
            </w:r>
            <w:r>
              <w:rPr>
                <w:rFonts w:hint="eastAsia" w:cs="Times New Roman"/>
                <w:color w:val="auto"/>
                <w:sz w:val="24"/>
                <w:szCs w:val="24"/>
                <w:highlight w:val="none"/>
                <w:u w:val="none" w:color="auto"/>
                <w:lang w:val="en-US" w:eastAsia="zh-CN"/>
              </w:rPr>
              <w:t>沉淀</w:t>
            </w:r>
            <w:r>
              <w:rPr>
                <w:rFonts w:hint="default" w:ascii="Times New Roman" w:hAnsi="Times New Roman" w:eastAsia="宋体" w:cs="Times New Roman"/>
                <w:color w:val="auto"/>
                <w:sz w:val="24"/>
                <w:szCs w:val="24"/>
                <w:highlight w:val="none"/>
                <w:u w:val="none" w:color="auto"/>
                <w:lang w:eastAsia="zh-CN"/>
              </w:rPr>
              <w:t>池浮油及油泥、废含油抹布手套、废机油</w:t>
            </w:r>
            <w:r>
              <w:rPr>
                <w:rFonts w:hint="eastAsia" w:cs="Times New Roman"/>
                <w:color w:val="auto"/>
                <w:sz w:val="24"/>
                <w:szCs w:val="24"/>
                <w:highlight w:val="none"/>
                <w:u w:val="none" w:color="auto"/>
                <w:lang w:eastAsia="zh-CN"/>
              </w:rPr>
              <w:t>、</w:t>
            </w:r>
            <w:r>
              <w:rPr>
                <w:rFonts w:hint="eastAsia" w:cs="Times New Roman"/>
                <w:color w:val="auto"/>
                <w:sz w:val="24"/>
                <w:szCs w:val="24"/>
                <w:highlight w:val="none"/>
                <w:u w:val="none" w:color="auto"/>
                <w:lang w:val="en-US" w:eastAsia="zh-CN"/>
              </w:rPr>
              <w:t>废活性炭</w:t>
            </w:r>
            <w:r>
              <w:rPr>
                <w:rFonts w:hint="default" w:ascii="Times New Roman" w:hAnsi="Times New Roman" w:eastAsia="宋体" w:cs="Times New Roman"/>
                <w:color w:val="auto"/>
                <w:sz w:val="24"/>
                <w:szCs w:val="24"/>
                <w:highlight w:val="none"/>
                <w:u w:val="none" w:color="auto"/>
              </w:rPr>
              <w:t>等</w:t>
            </w:r>
            <w:r>
              <w:rPr>
                <w:rFonts w:hint="default" w:ascii="Times New Roman" w:hAnsi="Times New Roman" w:eastAsia="宋体" w:cs="Times New Roman"/>
                <w:color w:val="auto"/>
                <w:sz w:val="24"/>
                <w:highlight w:val="none"/>
                <w:u w:val="none" w:color="auto"/>
              </w:rPr>
              <w:t>。</w:t>
            </w:r>
          </w:p>
          <w:p w14:paraId="3303A3AD">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b/>
              </w:rPr>
            </w:pPr>
            <w:r>
              <w:rPr>
                <w:rFonts w:hint="eastAsia"/>
                <w:b/>
                <w:bCs w:val="0"/>
                <w:color w:val="auto"/>
                <w:sz w:val="24"/>
                <w:u w:val="none"/>
              </w:rPr>
              <w:t>2.</w:t>
            </w:r>
            <w:r>
              <w:rPr>
                <w:rFonts w:hint="eastAsia"/>
                <w:b/>
                <w:bCs w:val="0"/>
                <w:color w:val="auto"/>
                <w:sz w:val="24"/>
                <w:u w:val="none"/>
                <w:lang w:val="en-US" w:eastAsia="zh-CN"/>
              </w:rPr>
              <w:t xml:space="preserve">10.4 </w:t>
            </w:r>
            <w:r>
              <w:rPr>
                <w:b/>
              </w:rPr>
              <w:t>本项目产污环节一览表</w:t>
            </w:r>
          </w:p>
          <w:p w14:paraId="7CACC7A3">
            <w:pPr>
              <w:pStyle w:val="163"/>
              <w:keepNext w:val="0"/>
              <w:keepLines w:val="0"/>
              <w:pageBreakBefore w:val="0"/>
              <w:widowControl w:val="0"/>
              <w:kinsoku/>
              <w:wordWrap/>
              <w:overflowPunct/>
              <w:topLinePunct w:val="0"/>
              <w:autoSpaceDE/>
              <w:autoSpaceDN/>
              <w:bidi w:val="0"/>
              <w:adjustRightInd w:val="0"/>
              <w:snapToGrid w:val="0"/>
              <w:spacing w:line="240" w:lineRule="auto"/>
              <w:rPr>
                <w:rFonts w:ascii="Times New Roman" w:eastAsia="宋体"/>
                <w:sz w:val="24"/>
                <w:szCs w:val="24"/>
              </w:rPr>
            </w:pPr>
            <w:r>
              <w:rPr>
                <w:rFonts w:ascii="Times New Roman" w:eastAsia="宋体"/>
                <w:sz w:val="24"/>
                <w:szCs w:val="24"/>
              </w:rPr>
              <w:t>表2-</w:t>
            </w:r>
            <w:r>
              <w:rPr>
                <w:rFonts w:hint="eastAsia" w:ascii="Times New Roman" w:eastAsia="宋体"/>
                <w:sz w:val="24"/>
                <w:szCs w:val="24"/>
                <w:lang w:val="en-US" w:eastAsia="zh-CN"/>
              </w:rPr>
              <w:t>7</w:t>
            </w:r>
            <w:r>
              <w:rPr>
                <w:rFonts w:ascii="Times New Roman" w:eastAsia="宋体"/>
                <w:sz w:val="24"/>
                <w:szCs w:val="24"/>
              </w:rPr>
              <w:t xml:space="preserve"> 产污情况一览表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7"/>
              <w:gridCol w:w="2843"/>
              <w:gridCol w:w="2557"/>
              <w:gridCol w:w="2135"/>
            </w:tblGrid>
            <w:tr w14:paraId="4423F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 w:hRule="atLeast"/>
                <w:tblHeader/>
                <w:jc w:val="center"/>
              </w:trPr>
              <w:tc>
                <w:tcPr>
                  <w:tcW w:w="505" w:type="pct"/>
                  <w:vAlign w:val="center"/>
                </w:tcPr>
                <w:p w14:paraId="73ED723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
                      <w:sz w:val="21"/>
                      <w:szCs w:val="21"/>
                      <w:u w:val="single"/>
                    </w:rPr>
                  </w:pPr>
                  <w:r>
                    <w:rPr>
                      <w:rFonts w:hint="default" w:ascii="Times New Roman" w:hAnsi="Times New Roman" w:cs="Times New Roman"/>
                      <w:b/>
                      <w:sz w:val="21"/>
                      <w:szCs w:val="21"/>
                      <w:u w:val="single"/>
                    </w:rPr>
                    <w:t>类别</w:t>
                  </w:r>
                </w:p>
              </w:tc>
              <w:tc>
                <w:tcPr>
                  <w:tcW w:w="1695" w:type="pct"/>
                  <w:vAlign w:val="center"/>
                </w:tcPr>
                <w:p w14:paraId="72BDCE6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
                      <w:sz w:val="21"/>
                      <w:szCs w:val="21"/>
                      <w:u w:val="single"/>
                    </w:rPr>
                  </w:pPr>
                  <w:r>
                    <w:rPr>
                      <w:rFonts w:hint="default" w:ascii="Times New Roman" w:hAnsi="Times New Roman" w:cs="Times New Roman"/>
                      <w:b/>
                      <w:sz w:val="21"/>
                      <w:szCs w:val="21"/>
                      <w:u w:val="single"/>
                    </w:rPr>
                    <w:t>污染源/工序</w:t>
                  </w:r>
                </w:p>
              </w:tc>
              <w:tc>
                <w:tcPr>
                  <w:tcW w:w="1525" w:type="pct"/>
                  <w:vAlign w:val="center"/>
                </w:tcPr>
                <w:p w14:paraId="56A65F1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
                      <w:sz w:val="21"/>
                      <w:szCs w:val="21"/>
                      <w:u w:val="single"/>
                    </w:rPr>
                  </w:pPr>
                  <w:r>
                    <w:rPr>
                      <w:rFonts w:hint="default" w:ascii="Times New Roman" w:hAnsi="Times New Roman" w:cs="Times New Roman"/>
                      <w:b/>
                      <w:sz w:val="21"/>
                      <w:szCs w:val="21"/>
                      <w:u w:val="single"/>
                    </w:rPr>
                    <w:t>污染物</w:t>
                  </w:r>
                </w:p>
              </w:tc>
              <w:tc>
                <w:tcPr>
                  <w:tcW w:w="1273" w:type="pct"/>
                  <w:vAlign w:val="center"/>
                </w:tcPr>
                <w:p w14:paraId="5A6D8A6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
                      <w:sz w:val="21"/>
                      <w:szCs w:val="21"/>
                      <w:u w:val="single"/>
                    </w:rPr>
                  </w:pPr>
                  <w:r>
                    <w:rPr>
                      <w:rFonts w:hint="default" w:ascii="Times New Roman" w:hAnsi="Times New Roman" w:cs="Times New Roman"/>
                      <w:b/>
                      <w:sz w:val="21"/>
                      <w:szCs w:val="21"/>
                      <w:u w:val="single"/>
                    </w:rPr>
                    <w:t>主要污染因子</w:t>
                  </w:r>
                </w:p>
              </w:tc>
            </w:tr>
            <w:tr w14:paraId="387041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restart"/>
                  <w:vAlign w:val="center"/>
                </w:tcPr>
                <w:p w14:paraId="1761526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废气</w:t>
                  </w:r>
                </w:p>
              </w:tc>
              <w:tc>
                <w:tcPr>
                  <w:tcW w:w="1695" w:type="pct"/>
                  <w:vAlign w:val="center"/>
                </w:tcPr>
                <w:p w14:paraId="5850E8C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汽油储油罐大小呼吸、油罐</w:t>
                  </w:r>
                </w:p>
                <w:p w14:paraId="19E6197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bCs/>
                      <w:sz w:val="21"/>
                      <w:szCs w:val="21"/>
                      <w:u w:val="single"/>
                    </w:rPr>
                    <w:t>车卸油、加油机加油过程</w:t>
                  </w:r>
                </w:p>
              </w:tc>
              <w:tc>
                <w:tcPr>
                  <w:tcW w:w="1525" w:type="pct"/>
                  <w:vAlign w:val="center"/>
                </w:tcPr>
                <w:p w14:paraId="299523C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bCs/>
                      <w:sz w:val="21"/>
                      <w:szCs w:val="21"/>
                      <w:u w:val="single"/>
                    </w:rPr>
                    <w:t>油气废气</w:t>
                  </w:r>
                </w:p>
              </w:tc>
              <w:tc>
                <w:tcPr>
                  <w:tcW w:w="1273" w:type="pct"/>
                  <w:vAlign w:val="center"/>
                </w:tcPr>
                <w:p w14:paraId="1EF3FF2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非甲烷总烃</w:t>
                  </w:r>
                </w:p>
              </w:tc>
            </w:tr>
            <w:tr w14:paraId="719E57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308DDD7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74E82AD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加油车辆</w:t>
                  </w:r>
                </w:p>
              </w:tc>
              <w:tc>
                <w:tcPr>
                  <w:tcW w:w="1525" w:type="pct"/>
                  <w:vAlign w:val="center"/>
                </w:tcPr>
                <w:p w14:paraId="7BDA515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汽车尾气</w:t>
                  </w:r>
                </w:p>
              </w:tc>
              <w:tc>
                <w:tcPr>
                  <w:tcW w:w="1273" w:type="pct"/>
                  <w:vAlign w:val="center"/>
                </w:tcPr>
                <w:p w14:paraId="1BE9CC2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CO、</w:t>
                  </w:r>
                  <w:r>
                    <w:rPr>
                      <w:rFonts w:hint="default" w:ascii="Times New Roman" w:hAnsi="Times New Roman" w:cs="Times New Roman"/>
                      <w:kern w:val="0"/>
                      <w:sz w:val="21"/>
                      <w:szCs w:val="21"/>
                      <w:u w:val="single"/>
                    </w:rPr>
                    <w:t>NO</w:t>
                  </w:r>
                  <w:r>
                    <w:rPr>
                      <w:rFonts w:hint="default" w:ascii="Times New Roman" w:hAnsi="Times New Roman" w:cs="Times New Roman"/>
                      <w:kern w:val="0"/>
                      <w:sz w:val="21"/>
                      <w:szCs w:val="21"/>
                      <w:u w:val="single"/>
                      <w:vertAlign w:val="subscript"/>
                    </w:rPr>
                    <w:t>2</w:t>
                  </w:r>
                  <w:r>
                    <w:rPr>
                      <w:rFonts w:hint="default" w:ascii="Times New Roman" w:hAnsi="Times New Roman" w:cs="Times New Roman"/>
                      <w:sz w:val="21"/>
                      <w:szCs w:val="21"/>
                      <w:u w:val="single"/>
                    </w:rPr>
                    <w:t>等</w:t>
                  </w:r>
                </w:p>
              </w:tc>
            </w:tr>
            <w:tr w14:paraId="216D33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5C44472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2E79406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备用柴油发电机燃油废气</w:t>
                  </w:r>
                </w:p>
              </w:tc>
              <w:tc>
                <w:tcPr>
                  <w:tcW w:w="1525" w:type="pct"/>
                  <w:vAlign w:val="center"/>
                </w:tcPr>
                <w:p w14:paraId="4F45357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sz w:val="21"/>
                      <w:szCs w:val="21"/>
                      <w:u w:val="single"/>
                    </w:rPr>
                    <w:t>HC、SO</w:t>
                  </w:r>
                  <w:r>
                    <w:rPr>
                      <w:rFonts w:hint="default" w:ascii="Times New Roman" w:hAnsi="Times New Roman" w:cs="Times New Roman"/>
                      <w:sz w:val="21"/>
                      <w:szCs w:val="21"/>
                      <w:u w:val="single"/>
                      <w:vertAlign w:val="subscript"/>
                    </w:rPr>
                    <w:t>2</w:t>
                  </w:r>
                  <w:r>
                    <w:rPr>
                      <w:rFonts w:hint="default" w:ascii="Times New Roman" w:hAnsi="Times New Roman" w:cs="Times New Roman"/>
                      <w:sz w:val="21"/>
                      <w:szCs w:val="21"/>
                      <w:u w:val="single"/>
                    </w:rPr>
                    <w:t>、NO</w:t>
                  </w:r>
                  <w:r>
                    <w:rPr>
                      <w:rFonts w:hint="default" w:ascii="Times New Roman" w:hAnsi="Times New Roman" w:cs="Times New Roman"/>
                      <w:sz w:val="21"/>
                      <w:szCs w:val="21"/>
                      <w:u w:val="single"/>
                      <w:vertAlign w:val="subscript"/>
                    </w:rPr>
                    <w:t>X</w:t>
                  </w:r>
                  <w:r>
                    <w:rPr>
                      <w:rFonts w:hint="default" w:ascii="Times New Roman" w:hAnsi="Times New Roman" w:cs="Times New Roman"/>
                      <w:sz w:val="21"/>
                      <w:szCs w:val="21"/>
                      <w:u w:val="single"/>
                    </w:rPr>
                    <w:t>、烟尘</w:t>
                  </w:r>
                </w:p>
              </w:tc>
              <w:tc>
                <w:tcPr>
                  <w:tcW w:w="1273" w:type="pct"/>
                  <w:vAlign w:val="center"/>
                </w:tcPr>
                <w:p w14:paraId="3FA7A9F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HC、SO</w:t>
                  </w:r>
                  <w:r>
                    <w:rPr>
                      <w:rFonts w:hint="default" w:ascii="Times New Roman" w:hAnsi="Times New Roman" w:cs="Times New Roman"/>
                      <w:sz w:val="21"/>
                      <w:szCs w:val="21"/>
                      <w:u w:val="single"/>
                      <w:vertAlign w:val="subscript"/>
                    </w:rPr>
                    <w:t>2</w:t>
                  </w:r>
                  <w:r>
                    <w:rPr>
                      <w:rFonts w:hint="default" w:ascii="Times New Roman" w:hAnsi="Times New Roman" w:cs="Times New Roman"/>
                      <w:sz w:val="21"/>
                      <w:szCs w:val="21"/>
                      <w:u w:val="single"/>
                    </w:rPr>
                    <w:t>、NO</w:t>
                  </w:r>
                  <w:r>
                    <w:rPr>
                      <w:rFonts w:hint="default" w:ascii="Times New Roman" w:hAnsi="Times New Roman" w:cs="Times New Roman"/>
                      <w:sz w:val="21"/>
                      <w:szCs w:val="21"/>
                      <w:u w:val="single"/>
                      <w:vertAlign w:val="subscript"/>
                    </w:rPr>
                    <w:t>X</w:t>
                  </w:r>
                  <w:r>
                    <w:rPr>
                      <w:rFonts w:hint="default" w:ascii="Times New Roman" w:hAnsi="Times New Roman" w:cs="Times New Roman"/>
                      <w:sz w:val="21"/>
                      <w:szCs w:val="21"/>
                      <w:u w:val="single"/>
                    </w:rPr>
                    <w:t>、烟尘</w:t>
                  </w:r>
                </w:p>
              </w:tc>
            </w:tr>
            <w:tr w14:paraId="10A81F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48421E2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70B70F65">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餐厅烹饪</w:t>
                  </w:r>
                </w:p>
              </w:tc>
              <w:tc>
                <w:tcPr>
                  <w:tcW w:w="1525" w:type="pct"/>
                  <w:vAlign w:val="center"/>
                </w:tcPr>
                <w:p w14:paraId="7B838C5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kern w:val="0"/>
                      <w:sz w:val="21"/>
                      <w:szCs w:val="21"/>
                      <w:u w:val="single"/>
                    </w:rPr>
                  </w:pPr>
                  <w:r>
                    <w:rPr>
                      <w:rFonts w:hint="default" w:ascii="Times New Roman" w:hAnsi="Times New Roman" w:cs="Times New Roman"/>
                      <w:bCs/>
                      <w:kern w:val="0"/>
                      <w:sz w:val="21"/>
                      <w:szCs w:val="21"/>
                      <w:u w:val="single"/>
                    </w:rPr>
                    <w:t>油烟</w:t>
                  </w:r>
                </w:p>
              </w:tc>
              <w:tc>
                <w:tcPr>
                  <w:tcW w:w="1273" w:type="pct"/>
                  <w:vAlign w:val="center"/>
                </w:tcPr>
                <w:p w14:paraId="0739BBD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bCs/>
                      <w:kern w:val="0"/>
                      <w:sz w:val="21"/>
                      <w:szCs w:val="21"/>
                      <w:u w:val="single"/>
                    </w:rPr>
                    <w:t>油烟</w:t>
                  </w:r>
                </w:p>
              </w:tc>
            </w:tr>
            <w:tr w14:paraId="2A8FE1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restart"/>
                  <w:vAlign w:val="center"/>
                </w:tcPr>
                <w:p w14:paraId="340B60B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废水</w:t>
                  </w:r>
                </w:p>
              </w:tc>
              <w:tc>
                <w:tcPr>
                  <w:tcW w:w="1695" w:type="pct"/>
                  <w:vAlign w:val="center"/>
                </w:tcPr>
                <w:p w14:paraId="5737838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kern w:val="0"/>
                      <w:sz w:val="21"/>
                      <w:szCs w:val="21"/>
                      <w:u w:val="single"/>
                    </w:rPr>
                    <w:t>地面冲洗过程</w:t>
                  </w:r>
                </w:p>
              </w:tc>
              <w:tc>
                <w:tcPr>
                  <w:tcW w:w="1525" w:type="pct"/>
                  <w:vAlign w:val="center"/>
                </w:tcPr>
                <w:p w14:paraId="62B79CD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sz w:val="21"/>
                      <w:szCs w:val="21"/>
                      <w:u w:val="single"/>
                      <w:lang w:eastAsia="zh-CN"/>
                    </w:rPr>
                  </w:pPr>
                  <w:r>
                    <w:rPr>
                      <w:rFonts w:hint="eastAsia" w:ascii="Times New Roman" w:hAnsi="Times New Roman" w:cs="Times New Roman"/>
                      <w:kern w:val="0"/>
                      <w:sz w:val="21"/>
                      <w:szCs w:val="21"/>
                      <w:u w:val="single"/>
                      <w:lang w:eastAsia="zh-CN"/>
                    </w:rPr>
                    <w:t>地面清洁废水</w:t>
                  </w:r>
                </w:p>
              </w:tc>
              <w:tc>
                <w:tcPr>
                  <w:tcW w:w="1273" w:type="pct"/>
                  <w:vAlign w:val="center"/>
                </w:tcPr>
                <w:p w14:paraId="5B4FAD8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SS、COD、石油类</w:t>
                  </w:r>
                </w:p>
              </w:tc>
            </w:tr>
            <w:tr w14:paraId="742EA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7726FD1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5584DE5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办公、生活过程</w:t>
                  </w:r>
                </w:p>
              </w:tc>
              <w:tc>
                <w:tcPr>
                  <w:tcW w:w="1525" w:type="pct"/>
                  <w:vAlign w:val="center"/>
                </w:tcPr>
                <w:p w14:paraId="551F9C4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生活污水、</w:t>
                  </w:r>
                  <w:r>
                    <w:rPr>
                      <w:rFonts w:hint="eastAsia" w:ascii="Times New Roman" w:hAnsi="Times New Roman" w:cs="Times New Roman"/>
                      <w:kern w:val="0"/>
                      <w:sz w:val="21"/>
                      <w:szCs w:val="21"/>
                      <w:u w:val="single"/>
                      <w:lang w:eastAsia="zh-CN"/>
                    </w:rPr>
                    <w:t>公共卫生间废水</w:t>
                  </w:r>
                </w:p>
              </w:tc>
              <w:tc>
                <w:tcPr>
                  <w:tcW w:w="1273" w:type="pct"/>
                  <w:vAlign w:val="center"/>
                </w:tcPr>
                <w:p w14:paraId="433641B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COD、BOD</w:t>
                  </w:r>
                  <w:r>
                    <w:rPr>
                      <w:rFonts w:hint="default" w:ascii="Times New Roman" w:hAnsi="Times New Roman" w:cs="Times New Roman"/>
                      <w:sz w:val="21"/>
                      <w:szCs w:val="21"/>
                      <w:u w:val="single"/>
                      <w:vertAlign w:val="subscript"/>
                    </w:rPr>
                    <w:t>5</w:t>
                  </w:r>
                  <w:r>
                    <w:rPr>
                      <w:rFonts w:hint="default" w:ascii="Times New Roman" w:hAnsi="Times New Roman" w:cs="Times New Roman"/>
                      <w:sz w:val="21"/>
                      <w:szCs w:val="21"/>
                      <w:u w:val="single"/>
                    </w:rPr>
                    <w:t>、SS、氨氮、动植物油</w:t>
                  </w:r>
                </w:p>
              </w:tc>
            </w:tr>
            <w:tr w14:paraId="1B55F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40F8642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1DA52DE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加油站运营过程</w:t>
                  </w:r>
                </w:p>
              </w:tc>
              <w:tc>
                <w:tcPr>
                  <w:tcW w:w="1525" w:type="pct"/>
                  <w:vAlign w:val="center"/>
                </w:tcPr>
                <w:p w14:paraId="0F8F8B5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初期雨水</w:t>
                  </w:r>
                </w:p>
              </w:tc>
              <w:tc>
                <w:tcPr>
                  <w:tcW w:w="1273" w:type="pct"/>
                  <w:vAlign w:val="center"/>
                </w:tcPr>
                <w:p w14:paraId="594B287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SS、COD、石油类</w:t>
                  </w:r>
                </w:p>
              </w:tc>
            </w:tr>
            <w:tr w14:paraId="2A61A0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55E4F0C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4491EB1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车辆清洗</w:t>
                  </w:r>
                </w:p>
              </w:tc>
              <w:tc>
                <w:tcPr>
                  <w:tcW w:w="1525" w:type="pct"/>
                  <w:vAlign w:val="center"/>
                </w:tcPr>
                <w:p w14:paraId="27DA352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kern w:val="0"/>
                      <w:sz w:val="21"/>
                      <w:szCs w:val="21"/>
                      <w:u w:val="single"/>
                      <w:lang w:val="en-US" w:eastAsia="zh-CN"/>
                    </w:rPr>
                  </w:pPr>
                  <w:r>
                    <w:rPr>
                      <w:rFonts w:hint="eastAsia" w:ascii="Times New Roman" w:hAnsi="Times New Roman" w:cs="Times New Roman"/>
                      <w:kern w:val="0"/>
                      <w:sz w:val="21"/>
                      <w:szCs w:val="21"/>
                      <w:u w:val="single"/>
                      <w:lang w:val="en-US" w:eastAsia="zh-CN"/>
                    </w:rPr>
                    <w:t>洗车废水</w:t>
                  </w:r>
                </w:p>
              </w:tc>
              <w:tc>
                <w:tcPr>
                  <w:tcW w:w="1273" w:type="pct"/>
                  <w:vAlign w:val="center"/>
                </w:tcPr>
                <w:p w14:paraId="737988F2">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石油类、悬浮物</w:t>
                  </w:r>
                  <w:r>
                    <w:rPr>
                      <w:rFonts w:hint="eastAsia" w:ascii="Times New Roman" w:hAnsi="Times New Roman" w:cs="Times New Roman"/>
                      <w:sz w:val="21"/>
                      <w:szCs w:val="21"/>
                      <w:u w:val="single"/>
                      <w:lang w:eastAsia="zh-CN"/>
                    </w:rPr>
                    <w:t>、阴离子表面活性剂</w:t>
                  </w:r>
                </w:p>
              </w:tc>
            </w:tr>
            <w:tr w14:paraId="7F3101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Align w:val="center"/>
                </w:tcPr>
                <w:p w14:paraId="6983427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噪声</w:t>
                  </w:r>
                </w:p>
              </w:tc>
              <w:tc>
                <w:tcPr>
                  <w:tcW w:w="1695" w:type="pct"/>
                  <w:vAlign w:val="center"/>
                </w:tcPr>
                <w:p w14:paraId="3122CF0A">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设备运转及车辆行驶过程</w:t>
                  </w:r>
                </w:p>
              </w:tc>
              <w:tc>
                <w:tcPr>
                  <w:tcW w:w="1525" w:type="pct"/>
                  <w:vAlign w:val="center"/>
                </w:tcPr>
                <w:p w14:paraId="4C09EFB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设备运转及车辆行驶噪声</w:t>
                  </w:r>
                </w:p>
              </w:tc>
              <w:tc>
                <w:tcPr>
                  <w:tcW w:w="1273" w:type="pct"/>
                  <w:vAlign w:val="center"/>
                </w:tcPr>
                <w:p w14:paraId="5A1E050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等效连续A声级</w:t>
                  </w:r>
                </w:p>
              </w:tc>
            </w:tr>
            <w:tr w14:paraId="7B0CE1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restart"/>
                  <w:vAlign w:val="center"/>
                </w:tcPr>
                <w:p w14:paraId="2FD2E10E">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固体</w:t>
                  </w:r>
                </w:p>
                <w:p w14:paraId="095BFEB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废物</w:t>
                  </w:r>
                </w:p>
              </w:tc>
              <w:tc>
                <w:tcPr>
                  <w:tcW w:w="1695" w:type="pct"/>
                  <w:vAlign w:val="center"/>
                </w:tcPr>
                <w:p w14:paraId="63EF585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sz w:val="21"/>
                      <w:szCs w:val="21"/>
                      <w:u w:val="single"/>
                    </w:rPr>
                    <w:t>办公、生活过程</w:t>
                  </w:r>
                </w:p>
              </w:tc>
              <w:tc>
                <w:tcPr>
                  <w:tcW w:w="1525" w:type="pct"/>
                  <w:vAlign w:val="center"/>
                </w:tcPr>
                <w:p w14:paraId="2BF8030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pacing w:val="-2"/>
                      <w:sz w:val="21"/>
                      <w:szCs w:val="21"/>
                      <w:u w:val="single"/>
                    </w:rPr>
                    <w:t>生活垃圾</w:t>
                  </w:r>
                </w:p>
              </w:tc>
              <w:tc>
                <w:tcPr>
                  <w:tcW w:w="1273" w:type="pct"/>
                  <w:vAlign w:val="center"/>
                </w:tcPr>
                <w:p w14:paraId="5CC0989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r>
            <w:tr w14:paraId="3E3553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14E2280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3D925EED">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kern w:val="0"/>
                      <w:sz w:val="21"/>
                      <w:szCs w:val="21"/>
                      <w:u w:val="single"/>
                    </w:rPr>
                    <w:t>储罐清洗</w:t>
                  </w:r>
                  <w:r>
                    <w:rPr>
                      <w:rFonts w:hint="default" w:ascii="Times New Roman" w:hAnsi="Times New Roman" w:cs="Times New Roman"/>
                      <w:bCs/>
                      <w:sz w:val="21"/>
                      <w:szCs w:val="21"/>
                      <w:u w:val="single"/>
                    </w:rPr>
                    <w:t>过程</w:t>
                  </w:r>
                </w:p>
              </w:tc>
              <w:tc>
                <w:tcPr>
                  <w:tcW w:w="1525" w:type="pct"/>
                  <w:vAlign w:val="center"/>
                </w:tcPr>
                <w:p w14:paraId="23B4BE15">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kern w:val="0"/>
                      <w:sz w:val="21"/>
                      <w:szCs w:val="21"/>
                      <w:u w:val="single"/>
                    </w:rPr>
                    <w:t>储罐油泥</w:t>
                  </w:r>
                </w:p>
              </w:tc>
              <w:tc>
                <w:tcPr>
                  <w:tcW w:w="1273" w:type="pct"/>
                  <w:vAlign w:val="center"/>
                </w:tcPr>
                <w:p w14:paraId="3760ABA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r>
            <w:tr w14:paraId="3E75EF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129FA333">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3B2EE08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kern w:val="0"/>
                      <w:sz w:val="21"/>
                      <w:szCs w:val="21"/>
                      <w:u w:val="single"/>
                    </w:rPr>
                    <w:t>隔油</w:t>
                  </w:r>
                  <w:r>
                    <w:rPr>
                      <w:rFonts w:hint="eastAsia" w:ascii="Times New Roman" w:hAnsi="Times New Roman" w:cs="Times New Roman"/>
                      <w:kern w:val="0"/>
                      <w:sz w:val="21"/>
                      <w:szCs w:val="21"/>
                      <w:u w:val="single"/>
                      <w:lang w:val="en-US" w:eastAsia="zh-CN"/>
                    </w:rPr>
                    <w:t>沉淀</w:t>
                  </w:r>
                  <w:r>
                    <w:rPr>
                      <w:rFonts w:hint="default" w:ascii="Times New Roman" w:hAnsi="Times New Roman" w:cs="Times New Roman"/>
                      <w:kern w:val="0"/>
                      <w:sz w:val="21"/>
                      <w:szCs w:val="21"/>
                      <w:u w:val="single"/>
                    </w:rPr>
                    <w:t>池清理过程</w:t>
                  </w:r>
                </w:p>
              </w:tc>
              <w:tc>
                <w:tcPr>
                  <w:tcW w:w="1525" w:type="pct"/>
                  <w:vAlign w:val="center"/>
                </w:tcPr>
                <w:p w14:paraId="1C5347E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kern w:val="0"/>
                      <w:sz w:val="21"/>
                      <w:szCs w:val="21"/>
                      <w:u w:val="single"/>
                    </w:rPr>
                    <w:t>隔油</w:t>
                  </w:r>
                  <w:r>
                    <w:rPr>
                      <w:rFonts w:hint="eastAsia" w:ascii="Times New Roman" w:hAnsi="Times New Roman" w:cs="Times New Roman"/>
                      <w:kern w:val="0"/>
                      <w:sz w:val="21"/>
                      <w:szCs w:val="21"/>
                      <w:u w:val="single"/>
                      <w:lang w:val="en-US" w:eastAsia="zh-CN"/>
                    </w:rPr>
                    <w:t>沉淀</w:t>
                  </w:r>
                  <w:r>
                    <w:rPr>
                      <w:rFonts w:hint="default" w:ascii="Times New Roman" w:hAnsi="Times New Roman" w:cs="Times New Roman"/>
                      <w:kern w:val="0"/>
                      <w:sz w:val="21"/>
                      <w:szCs w:val="21"/>
                      <w:u w:val="single"/>
                    </w:rPr>
                    <w:t>池油渣</w:t>
                  </w:r>
                </w:p>
              </w:tc>
              <w:tc>
                <w:tcPr>
                  <w:tcW w:w="1273" w:type="pct"/>
                  <w:vAlign w:val="center"/>
                </w:tcPr>
                <w:p w14:paraId="656917C4">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r>
            <w:tr w14:paraId="70AE08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51BF8221">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1E71F276">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bCs/>
                      <w:sz w:val="21"/>
                      <w:szCs w:val="21"/>
                      <w:u w:val="single"/>
                    </w:rPr>
                  </w:pPr>
                  <w:r>
                    <w:rPr>
                      <w:rFonts w:hint="default" w:ascii="Times New Roman" w:hAnsi="Times New Roman" w:cs="Times New Roman"/>
                      <w:bCs/>
                      <w:sz w:val="21"/>
                      <w:szCs w:val="21"/>
                      <w:u w:val="single"/>
                    </w:rPr>
                    <w:t>设备清洁护养过程</w:t>
                  </w:r>
                </w:p>
              </w:tc>
              <w:tc>
                <w:tcPr>
                  <w:tcW w:w="1525" w:type="pct"/>
                  <w:vAlign w:val="center"/>
                </w:tcPr>
                <w:p w14:paraId="44359F9B">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含油抹布、手套</w:t>
                  </w:r>
                </w:p>
              </w:tc>
              <w:tc>
                <w:tcPr>
                  <w:tcW w:w="1273" w:type="pct"/>
                  <w:vAlign w:val="center"/>
                </w:tcPr>
                <w:p w14:paraId="2FED8777">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r>
            <w:tr w14:paraId="3B375F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5" w:type="pct"/>
                  <w:vMerge w:val="continue"/>
                  <w:vAlign w:val="center"/>
                </w:tcPr>
                <w:p w14:paraId="3CAF5848">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p>
              </w:tc>
              <w:tc>
                <w:tcPr>
                  <w:tcW w:w="1695" w:type="pct"/>
                  <w:vAlign w:val="center"/>
                </w:tcPr>
                <w:p w14:paraId="3FA8639C">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cs="Times New Roman"/>
                      <w:bCs/>
                      <w:sz w:val="21"/>
                      <w:szCs w:val="21"/>
                      <w:u w:val="single"/>
                      <w:lang w:val="en-US" w:eastAsia="zh-CN"/>
                    </w:rPr>
                    <w:t>三次汽油回收装置</w:t>
                  </w:r>
                </w:p>
              </w:tc>
              <w:tc>
                <w:tcPr>
                  <w:tcW w:w="1525" w:type="pct"/>
                  <w:vAlign w:val="center"/>
                </w:tcPr>
                <w:p w14:paraId="232D0A60">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default" w:ascii="Times New Roman" w:hAnsi="Times New Roman" w:cs="Times New Roman"/>
                      <w:sz w:val="21"/>
                      <w:szCs w:val="21"/>
                      <w:u w:val="single"/>
                    </w:rPr>
                  </w:pPr>
                  <w:r>
                    <w:rPr>
                      <w:rFonts w:hint="eastAsia" w:ascii="Times New Roman" w:hAnsi="Times New Roman" w:cs="Times New Roman"/>
                      <w:bCs/>
                      <w:sz w:val="21"/>
                      <w:szCs w:val="21"/>
                      <w:u w:val="single"/>
                      <w:lang w:val="en-US" w:eastAsia="zh-CN"/>
                    </w:rPr>
                    <w:t>废活性炭</w:t>
                  </w:r>
                </w:p>
              </w:tc>
              <w:tc>
                <w:tcPr>
                  <w:tcW w:w="1273" w:type="pct"/>
                  <w:vAlign w:val="center"/>
                </w:tcPr>
                <w:p w14:paraId="12FF33FF">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w:t>
                  </w:r>
                </w:p>
              </w:tc>
            </w:tr>
          </w:tbl>
          <w:p w14:paraId="5E8E796A">
            <w:pPr>
              <w:pStyle w:val="118"/>
              <w:ind w:firstLine="480" w:firstLineChars="200"/>
              <w:jc w:val="both"/>
            </w:pPr>
          </w:p>
        </w:tc>
      </w:tr>
      <w:tr w14:paraId="26FA0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30" w:type="pct"/>
            <w:vAlign w:val="center"/>
          </w:tcPr>
          <w:p w14:paraId="3E40E7FB">
            <w:pPr>
              <w:pStyle w:val="47"/>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4769" w:type="pct"/>
          </w:tcPr>
          <w:p w14:paraId="666083E4">
            <w:pPr>
              <w:pStyle w:val="14"/>
              <w:spacing w:line="360" w:lineRule="auto"/>
              <w:ind w:firstLine="480" w:firstLineChars="200"/>
            </w:pPr>
            <w:r>
              <w:t>本项目建设地位于</w:t>
            </w:r>
            <w:r>
              <w:rPr>
                <w:rFonts w:hint="eastAsia"/>
                <w:szCs w:val="32"/>
                <w:lang w:eastAsia="zh-CN"/>
              </w:rPr>
              <w:t>湖南省永州市祁阳市长虹街道长虹社区九组祁阳大道铁路涵桥以北东侧</w:t>
            </w:r>
            <w:r>
              <w:t>。本项目为新建项目，场地目前</w:t>
            </w:r>
            <w:r>
              <w:rPr>
                <w:rFonts w:hint="eastAsia"/>
                <w:lang w:val="en-US" w:eastAsia="zh-CN"/>
              </w:rPr>
              <w:t>为荒地</w:t>
            </w:r>
            <w:r>
              <w:t>，无与本项目有关的原有污染情况及环境问题。</w:t>
            </w:r>
          </w:p>
          <w:p w14:paraId="1F57F783">
            <w:pPr>
              <w:pStyle w:val="14"/>
              <w:spacing w:line="360" w:lineRule="auto"/>
              <w:ind w:firstLine="480" w:firstLineChars="200"/>
            </w:pPr>
          </w:p>
          <w:p w14:paraId="6D3B4B67">
            <w:pPr>
              <w:pStyle w:val="14"/>
              <w:spacing w:line="360" w:lineRule="auto"/>
              <w:rPr>
                <w:rFonts w:hint="eastAsia"/>
                <w:lang w:eastAsia="zh-CN"/>
              </w:rPr>
            </w:pPr>
          </w:p>
          <w:p w14:paraId="1FEF14D4">
            <w:pPr>
              <w:pStyle w:val="14"/>
              <w:spacing w:line="360" w:lineRule="auto"/>
              <w:rPr>
                <w:rFonts w:hint="eastAsia"/>
                <w:lang w:eastAsia="zh-CN"/>
              </w:rPr>
            </w:pPr>
          </w:p>
          <w:p w14:paraId="675459F4">
            <w:pPr>
              <w:pStyle w:val="14"/>
              <w:spacing w:line="360" w:lineRule="auto"/>
              <w:rPr>
                <w:rFonts w:hint="eastAsia"/>
                <w:lang w:eastAsia="zh-CN"/>
              </w:rPr>
            </w:pPr>
          </w:p>
          <w:p w14:paraId="1AFCCD99">
            <w:pPr>
              <w:pStyle w:val="14"/>
              <w:spacing w:line="360" w:lineRule="auto"/>
              <w:rPr>
                <w:rFonts w:hint="eastAsia"/>
                <w:lang w:eastAsia="zh-CN"/>
              </w:rPr>
            </w:pPr>
          </w:p>
          <w:p w14:paraId="7A69F905">
            <w:pPr>
              <w:pStyle w:val="14"/>
              <w:spacing w:line="360" w:lineRule="auto"/>
              <w:rPr>
                <w:rFonts w:hint="eastAsia"/>
                <w:lang w:eastAsia="zh-CN"/>
              </w:rPr>
            </w:pPr>
          </w:p>
          <w:p w14:paraId="2A1DFC6B">
            <w:pPr>
              <w:pStyle w:val="14"/>
              <w:spacing w:line="360" w:lineRule="auto"/>
              <w:rPr>
                <w:rFonts w:hint="eastAsia"/>
                <w:lang w:eastAsia="zh-CN"/>
              </w:rPr>
            </w:pPr>
          </w:p>
          <w:p w14:paraId="3A31A17A">
            <w:pPr>
              <w:pStyle w:val="14"/>
              <w:spacing w:line="360" w:lineRule="auto"/>
              <w:rPr>
                <w:rFonts w:hint="eastAsia"/>
                <w:lang w:eastAsia="zh-CN"/>
              </w:rPr>
            </w:pPr>
          </w:p>
          <w:p w14:paraId="259D72FF">
            <w:pPr>
              <w:pStyle w:val="14"/>
              <w:spacing w:line="360" w:lineRule="auto"/>
              <w:rPr>
                <w:rFonts w:hint="eastAsia"/>
                <w:lang w:eastAsia="zh-CN"/>
              </w:rPr>
            </w:pPr>
          </w:p>
          <w:p w14:paraId="2A82A70B">
            <w:pPr>
              <w:pStyle w:val="14"/>
              <w:spacing w:line="360" w:lineRule="auto"/>
              <w:rPr>
                <w:rFonts w:hint="eastAsia"/>
                <w:lang w:eastAsia="zh-CN"/>
              </w:rPr>
            </w:pPr>
          </w:p>
          <w:p w14:paraId="13CCD261">
            <w:pPr>
              <w:pStyle w:val="14"/>
              <w:spacing w:line="360" w:lineRule="auto"/>
              <w:rPr>
                <w:rFonts w:hint="eastAsia"/>
                <w:lang w:eastAsia="zh-CN"/>
              </w:rPr>
            </w:pPr>
          </w:p>
          <w:p w14:paraId="2FBC6BB7">
            <w:pPr>
              <w:pStyle w:val="14"/>
              <w:spacing w:line="360" w:lineRule="auto"/>
              <w:rPr>
                <w:rFonts w:hint="eastAsia"/>
                <w:lang w:eastAsia="zh-CN"/>
              </w:rPr>
            </w:pPr>
          </w:p>
          <w:p w14:paraId="14446533">
            <w:pPr>
              <w:pStyle w:val="14"/>
              <w:spacing w:line="360" w:lineRule="auto"/>
              <w:rPr>
                <w:rFonts w:hint="eastAsia"/>
                <w:lang w:eastAsia="zh-CN"/>
              </w:rPr>
            </w:pPr>
          </w:p>
          <w:p w14:paraId="24C6C7C2">
            <w:pPr>
              <w:pStyle w:val="14"/>
              <w:spacing w:line="360" w:lineRule="auto"/>
              <w:rPr>
                <w:rFonts w:hint="eastAsia"/>
                <w:lang w:eastAsia="zh-CN"/>
              </w:rPr>
            </w:pPr>
          </w:p>
          <w:p w14:paraId="1A5AB755">
            <w:pPr>
              <w:pStyle w:val="14"/>
              <w:spacing w:line="360" w:lineRule="auto"/>
              <w:rPr>
                <w:rFonts w:hint="eastAsia"/>
                <w:lang w:eastAsia="zh-CN"/>
              </w:rPr>
            </w:pPr>
          </w:p>
          <w:p w14:paraId="418E74BB">
            <w:pPr>
              <w:pStyle w:val="14"/>
              <w:spacing w:line="360" w:lineRule="auto"/>
              <w:rPr>
                <w:rFonts w:hint="eastAsia"/>
                <w:lang w:eastAsia="zh-CN"/>
              </w:rPr>
            </w:pPr>
          </w:p>
          <w:p w14:paraId="7BE92CF2">
            <w:pPr>
              <w:pStyle w:val="14"/>
              <w:spacing w:line="360" w:lineRule="auto"/>
              <w:rPr>
                <w:rFonts w:hint="eastAsia"/>
                <w:lang w:eastAsia="zh-CN"/>
              </w:rPr>
            </w:pPr>
          </w:p>
          <w:p w14:paraId="7DF9BC1B">
            <w:pPr>
              <w:pStyle w:val="14"/>
              <w:spacing w:line="360" w:lineRule="auto"/>
              <w:rPr>
                <w:rFonts w:hint="eastAsia"/>
                <w:lang w:eastAsia="zh-CN"/>
              </w:rPr>
            </w:pPr>
          </w:p>
          <w:p w14:paraId="6D9DFF23">
            <w:pPr>
              <w:pStyle w:val="14"/>
              <w:spacing w:line="360" w:lineRule="auto"/>
              <w:rPr>
                <w:rFonts w:hint="eastAsia"/>
                <w:lang w:eastAsia="zh-CN"/>
              </w:rPr>
            </w:pPr>
          </w:p>
          <w:p w14:paraId="55F7241E">
            <w:pPr>
              <w:pStyle w:val="14"/>
              <w:spacing w:line="360" w:lineRule="auto"/>
              <w:rPr>
                <w:rFonts w:hint="eastAsia"/>
                <w:lang w:eastAsia="zh-CN"/>
              </w:rPr>
            </w:pPr>
          </w:p>
          <w:p w14:paraId="133973F7">
            <w:pPr>
              <w:pStyle w:val="14"/>
              <w:spacing w:line="360" w:lineRule="auto"/>
              <w:rPr>
                <w:rFonts w:hint="eastAsia"/>
                <w:lang w:eastAsia="zh-CN"/>
              </w:rPr>
            </w:pPr>
          </w:p>
          <w:p w14:paraId="1EC2CC7D">
            <w:pPr>
              <w:pStyle w:val="14"/>
              <w:spacing w:line="360" w:lineRule="auto"/>
              <w:rPr>
                <w:rFonts w:hint="eastAsia"/>
                <w:lang w:eastAsia="zh-CN"/>
              </w:rPr>
            </w:pPr>
          </w:p>
          <w:p w14:paraId="141B950F">
            <w:pPr>
              <w:pStyle w:val="14"/>
              <w:spacing w:line="360" w:lineRule="auto"/>
              <w:rPr>
                <w:rFonts w:hint="eastAsia"/>
                <w:lang w:eastAsia="zh-CN"/>
              </w:rPr>
            </w:pPr>
          </w:p>
          <w:p w14:paraId="75D76080">
            <w:pPr>
              <w:pStyle w:val="14"/>
              <w:spacing w:line="360" w:lineRule="auto"/>
              <w:rPr>
                <w:rFonts w:hint="eastAsia"/>
                <w:lang w:eastAsia="zh-CN"/>
              </w:rPr>
            </w:pPr>
          </w:p>
          <w:p w14:paraId="6FB40892">
            <w:pPr>
              <w:pStyle w:val="14"/>
              <w:spacing w:line="360" w:lineRule="auto"/>
              <w:rPr>
                <w:rFonts w:hint="eastAsia"/>
                <w:lang w:eastAsia="zh-CN"/>
              </w:rPr>
            </w:pPr>
          </w:p>
          <w:p w14:paraId="104672CF">
            <w:pPr>
              <w:pStyle w:val="14"/>
              <w:spacing w:line="360" w:lineRule="auto"/>
              <w:rPr>
                <w:rFonts w:hint="eastAsia"/>
                <w:lang w:eastAsia="zh-CN"/>
              </w:rPr>
            </w:pPr>
          </w:p>
          <w:p w14:paraId="58AF1676">
            <w:pPr>
              <w:pStyle w:val="14"/>
              <w:spacing w:line="360" w:lineRule="auto"/>
              <w:rPr>
                <w:rFonts w:hint="eastAsia"/>
                <w:lang w:eastAsia="zh-CN"/>
              </w:rPr>
            </w:pPr>
          </w:p>
          <w:p w14:paraId="3C090DEC">
            <w:pPr>
              <w:pStyle w:val="14"/>
              <w:spacing w:line="360" w:lineRule="auto"/>
              <w:rPr>
                <w:rFonts w:hint="eastAsia"/>
                <w:lang w:eastAsia="zh-CN"/>
              </w:rPr>
            </w:pPr>
          </w:p>
          <w:p w14:paraId="1C7FF77F">
            <w:pPr>
              <w:pStyle w:val="14"/>
              <w:spacing w:line="360" w:lineRule="auto"/>
              <w:rPr>
                <w:rFonts w:hint="eastAsia"/>
                <w:lang w:eastAsia="zh-CN"/>
              </w:rPr>
            </w:pPr>
          </w:p>
          <w:p w14:paraId="095097E6">
            <w:pPr>
              <w:pStyle w:val="14"/>
              <w:spacing w:line="360" w:lineRule="auto"/>
              <w:rPr>
                <w:rFonts w:hint="eastAsia"/>
                <w:lang w:eastAsia="zh-CN"/>
              </w:rPr>
            </w:pPr>
          </w:p>
        </w:tc>
      </w:tr>
    </w:tbl>
    <w:p w14:paraId="11C86B8E">
      <w:pPr>
        <w:pStyle w:val="47"/>
        <w:jc w:val="center"/>
        <w:rPr>
          <w:rFonts w:ascii="Times New Roman" w:hAnsi="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7446B21">
      <w:pPr>
        <w:pStyle w:val="47"/>
        <w:jc w:val="center"/>
        <w:outlineLvl w:val="0"/>
        <w:rPr>
          <w:rFonts w:ascii="黑体" w:hAnsi="黑体" w:eastAsia="黑体"/>
          <w:snapToGrid w:val="0"/>
          <w:sz w:val="30"/>
          <w:szCs w:val="30"/>
        </w:rPr>
      </w:pPr>
      <w:bookmarkStart w:id="20" w:name="_Toc30835"/>
      <w:r>
        <w:rPr>
          <w:rFonts w:ascii="黑体" w:hAnsi="黑体" w:eastAsia="黑体"/>
          <w:snapToGrid w:val="0"/>
          <w:sz w:val="30"/>
          <w:szCs w:val="30"/>
        </w:rPr>
        <w:t>三、区域环境质量现状、环境保护目标及评价标准</w:t>
      </w:r>
      <w:bookmarkEnd w:id="20"/>
    </w:p>
    <w:tbl>
      <w:tblPr>
        <w:tblStyle w:val="5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6"/>
      </w:tblGrid>
      <w:tr w14:paraId="61CD8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51" w:type="pct"/>
            <w:vAlign w:val="center"/>
          </w:tcPr>
          <w:p w14:paraId="29B68E79">
            <w:pPr>
              <w:adjustRightInd w:val="0"/>
              <w:snapToGrid w:val="0"/>
              <w:jc w:val="center"/>
              <w:rPr>
                <w:kern w:val="0"/>
                <w:sz w:val="24"/>
              </w:rPr>
            </w:pPr>
            <w:r>
              <w:rPr>
                <w:kern w:val="0"/>
                <w:sz w:val="24"/>
              </w:rPr>
              <w:t>区域</w:t>
            </w:r>
          </w:p>
          <w:p w14:paraId="1BF2BABE">
            <w:pPr>
              <w:adjustRightInd w:val="0"/>
              <w:snapToGrid w:val="0"/>
              <w:jc w:val="center"/>
              <w:rPr>
                <w:kern w:val="0"/>
                <w:sz w:val="24"/>
              </w:rPr>
            </w:pPr>
            <w:r>
              <w:rPr>
                <w:kern w:val="0"/>
                <w:sz w:val="24"/>
              </w:rPr>
              <w:t>环境</w:t>
            </w:r>
          </w:p>
          <w:p w14:paraId="546F5EA2">
            <w:pPr>
              <w:adjustRightInd w:val="0"/>
              <w:snapToGrid w:val="0"/>
              <w:jc w:val="center"/>
              <w:rPr>
                <w:kern w:val="0"/>
                <w:sz w:val="24"/>
              </w:rPr>
            </w:pPr>
            <w:r>
              <w:rPr>
                <w:kern w:val="0"/>
                <w:sz w:val="24"/>
              </w:rPr>
              <w:t>质量</w:t>
            </w:r>
          </w:p>
          <w:p w14:paraId="4E98ACA9">
            <w:pPr>
              <w:adjustRightInd w:val="0"/>
              <w:snapToGrid w:val="0"/>
              <w:jc w:val="center"/>
              <w:rPr>
                <w:kern w:val="0"/>
                <w:sz w:val="24"/>
              </w:rPr>
            </w:pPr>
            <w:r>
              <w:rPr>
                <w:kern w:val="0"/>
                <w:sz w:val="24"/>
              </w:rPr>
              <w:t>现状</w:t>
            </w:r>
          </w:p>
        </w:tc>
        <w:tc>
          <w:tcPr>
            <w:tcW w:w="4748" w:type="pct"/>
            <w:vAlign w:val="center"/>
          </w:tcPr>
          <w:p w14:paraId="1B8A2907">
            <w:pPr>
              <w:keepNext w:val="0"/>
              <w:keepLines w:val="0"/>
              <w:pageBreakBefore w:val="0"/>
              <w:numPr>
                <w:ilvl w:val="0"/>
                <w:numId w:val="0"/>
              </w:numPr>
              <w:kinsoku/>
              <w:wordWrap w:val="0"/>
              <w:overflowPunct/>
              <w:topLinePunct/>
              <w:autoSpaceDE/>
              <w:autoSpaceDN/>
              <w:bidi w:val="0"/>
              <w:adjustRightInd w:val="0"/>
              <w:snapToGrid w:val="0"/>
              <w:spacing w:line="360" w:lineRule="auto"/>
              <w:textAlignment w:val="auto"/>
              <w:rPr>
                <w:b/>
                <w:kern w:val="0"/>
                <w:sz w:val="24"/>
              </w:rPr>
            </w:pPr>
            <w:bookmarkStart w:id="21" w:name="_Toc61258040"/>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1 </w:t>
            </w:r>
            <w:r>
              <w:rPr>
                <w:b/>
                <w:kern w:val="0"/>
                <w:sz w:val="24"/>
              </w:rPr>
              <w:t>大气环境质量现状监测及评价</w:t>
            </w:r>
            <w:bookmarkEnd w:id="21"/>
          </w:p>
          <w:p w14:paraId="6C300064">
            <w:pPr>
              <w:keepNext w:val="0"/>
              <w:keepLines w:val="0"/>
              <w:pageBreakBefore w:val="0"/>
              <w:kinsoku/>
              <w:overflowPunct/>
              <w:autoSpaceDE/>
              <w:autoSpaceDN/>
              <w:bidi w:val="0"/>
              <w:adjustRightInd w:val="0"/>
              <w:snapToGrid w:val="0"/>
              <w:spacing w:line="360" w:lineRule="auto"/>
              <w:textAlignment w:val="auto"/>
              <w:rPr>
                <w:b/>
                <w:bCs w:val="0"/>
                <w:spacing w:val="-4"/>
                <w:sz w:val="24"/>
              </w:rPr>
            </w:pPr>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1.1 </w:t>
            </w:r>
            <w:r>
              <w:rPr>
                <w:b/>
                <w:bCs w:val="0"/>
                <w:spacing w:val="-4"/>
                <w:sz w:val="24"/>
              </w:rPr>
              <w:t>环境空气质量现状</w:t>
            </w:r>
          </w:p>
          <w:p w14:paraId="3EF9370B">
            <w:pPr>
              <w:pStyle w:val="301"/>
              <w:keepNext w:val="0"/>
              <w:keepLines w:val="0"/>
              <w:pageBreakBefore w:val="0"/>
              <w:kinsoku/>
              <w:overflowPunct/>
              <w:autoSpaceDE/>
              <w:autoSpaceDN/>
              <w:bidi w:val="0"/>
              <w:adjustRightInd w:val="0"/>
              <w:snapToGrid w:val="0"/>
              <w:spacing w:line="360" w:lineRule="auto"/>
              <w:ind w:firstLine="480"/>
              <w:textAlignment w:val="auto"/>
            </w:pPr>
            <w:r>
              <w:rPr>
                <w:rFonts w:hint="eastAsia"/>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的规定；引用的数据为近3年的数据，满足引用要求。本次评价采用永州市生态环境局发布的《2024年全市环境质量状况的通报》永州市祁阳环境空气质量统计数据，监测数据详见下表：</w:t>
            </w:r>
          </w:p>
          <w:p w14:paraId="18A9D3CC">
            <w:pPr>
              <w:pStyle w:val="300"/>
              <w:rPr>
                <w:b/>
                <w:sz w:val="24"/>
                <w:szCs w:val="24"/>
              </w:rPr>
            </w:pPr>
            <w:r>
              <w:rPr>
                <w:b/>
                <w:bCs/>
                <w:sz w:val="24"/>
                <w:szCs w:val="24"/>
              </w:rPr>
              <w:t xml:space="preserve">表3-1 </w:t>
            </w:r>
            <w:r>
              <w:rPr>
                <w:rFonts w:hint="eastAsia"/>
                <w:b/>
                <w:bCs/>
                <w:sz w:val="24"/>
                <w:szCs w:val="24"/>
              </w:rPr>
              <w:t>2024年祁阳市环境空气质量状况</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237"/>
              <w:gridCol w:w="1638"/>
              <w:gridCol w:w="1346"/>
              <w:gridCol w:w="1241"/>
              <w:gridCol w:w="741"/>
            </w:tblGrid>
            <w:tr w14:paraId="7B27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6B49B1A7">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334" w:type="pct"/>
                  <w:noWrap/>
                  <w:vAlign w:val="center"/>
                </w:tcPr>
                <w:p w14:paraId="1DE68EFC">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年评价指标</w:t>
                  </w:r>
                </w:p>
              </w:tc>
              <w:tc>
                <w:tcPr>
                  <w:tcW w:w="977" w:type="pct"/>
                  <w:noWrap/>
                  <w:vAlign w:val="center"/>
                </w:tcPr>
                <w:p w14:paraId="18EE0145">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监测浓度(年平均值)</w:t>
                  </w:r>
                </w:p>
              </w:tc>
              <w:tc>
                <w:tcPr>
                  <w:tcW w:w="803" w:type="pct"/>
                  <w:noWrap/>
                  <w:vAlign w:val="center"/>
                </w:tcPr>
                <w:p w14:paraId="4B231CDE">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标准值(年平均值)</w:t>
                  </w:r>
                </w:p>
              </w:tc>
              <w:tc>
                <w:tcPr>
                  <w:tcW w:w="740" w:type="pct"/>
                  <w:noWrap/>
                  <w:vAlign w:val="center"/>
                </w:tcPr>
                <w:p w14:paraId="66C9C055">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p>
              </w:tc>
              <w:tc>
                <w:tcPr>
                  <w:tcW w:w="442" w:type="pct"/>
                  <w:noWrap/>
                  <w:vAlign w:val="center"/>
                </w:tcPr>
                <w:p w14:paraId="5E015E2B">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14:paraId="7142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677F1C7E">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334" w:type="pct"/>
                  <w:vMerge w:val="restart"/>
                  <w:noWrap/>
                  <w:vAlign w:val="center"/>
                </w:tcPr>
                <w:p w14:paraId="592B4EDC">
                  <w:pPr>
                    <w:pStyle w:val="6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977" w:type="pct"/>
                  <w:noWrap/>
                  <w:vAlign w:val="center"/>
                </w:tcPr>
                <w:p w14:paraId="6A233725">
                  <w:pPr>
                    <w:wordWrap w:val="0"/>
                    <w:topLinePunc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42</w:t>
                  </w:r>
                  <w:r>
                    <w:rPr>
                      <w:rFonts w:hint="default" w:ascii="Times New Roman" w:hAnsi="Times New Roman" w:cs="Times New Roman"/>
                      <w:color w:val="auto"/>
                      <w:szCs w:val="21"/>
                    </w:rPr>
                    <w:t>ug/m</w:t>
                  </w:r>
                  <w:r>
                    <w:rPr>
                      <w:rFonts w:hint="default" w:ascii="Times New Roman" w:hAnsi="Times New Roman" w:cs="Times New Roman"/>
                      <w:color w:val="auto"/>
                      <w:szCs w:val="21"/>
                      <w:vertAlign w:val="superscript"/>
                    </w:rPr>
                    <w:t>3</w:t>
                  </w:r>
                </w:p>
              </w:tc>
              <w:tc>
                <w:tcPr>
                  <w:tcW w:w="803" w:type="pct"/>
                  <w:noWrap/>
                  <w:vAlign w:val="center"/>
                </w:tcPr>
                <w:p w14:paraId="1AA4A884">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70ug/m</w:t>
                  </w:r>
                  <w:r>
                    <w:rPr>
                      <w:rFonts w:hint="default" w:ascii="Times New Roman" w:hAnsi="Times New Roman" w:cs="Times New Roman"/>
                      <w:color w:val="auto"/>
                      <w:szCs w:val="21"/>
                      <w:vertAlign w:val="superscript"/>
                    </w:rPr>
                    <w:t>3</w:t>
                  </w:r>
                </w:p>
              </w:tc>
              <w:tc>
                <w:tcPr>
                  <w:tcW w:w="740" w:type="pct"/>
                  <w:noWrap/>
                  <w:vAlign w:val="center"/>
                </w:tcPr>
                <w:p w14:paraId="7CA95C38">
                  <w:pPr>
                    <w:widowControl/>
                    <w:jc w:val="center"/>
                    <w:textAlignment w:val="center"/>
                    <w:rPr>
                      <w:rFonts w:hint="default" w:ascii="Times New Roman" w:hAnsi="Times New Roman" w:cs="Times New Roman"/>
                      <w:color w:val="auto"/>
                      <w:szCs w:val="21"/>
                    </w:rPr>
                  </w:pPr>
                  <w:r>
                    <w:rPr>
                      <w:rFonts w:hint="eastAsia" w:ascii="Times New Roman" w:hAnsi="Times New Roman" w:cs="Times New Roman"/>
                      <w:color w:val="auto"/>
                      <w:kern w:val="0"/>
                      <w:szCs w:val="21"/>
                      <w:lang w:val="en-US" w:eastAsia="zh-CN"/>
                    </w:rPr>
                    <w:t>60</w:t>
                  </w:r>
                  <w:r>
                    <w:rPr>
                      <w:rFonts w:hint="default" w:ascii="Times New Roman" w:hAnsi="Times New Roman" w:cs="Times New Roman"/>
                      <w:color w:val="auto"/>
                      <w:kern w:val="0"/>
                      <w:szCs w:val="21"/>
                    </w:rPr>
                    <w:t>%</w:t>
                  </w:r>
                </w:p>
              </w:tc>
              <w:tc>
                <w:tcPr>
                  <w:tcW w:w="442" w:type="pct"/>
                  <w:noWrap/>
                  <w:vAlign w:val="center"/>
                </w:tcPr>
                <w:p w14:paraId="632FD99F">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06EA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3A879C84">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1334" w:type="pct"/>
                  <w:vMerge w:val="continue"/>
                  <w:noWrap/>
                  <w:vAlign w:val="center"/>
                </w:tcPr>
                <w:p w14:paraId="641FB82C">
                  <w:pPr>
                    <w:pStyle w:val="69"/>
                    <w:snapToGrid w:val="0"/>
                    <w:spacing w:line="240" w:lineRule="auto"/>
                    <w:rPr>
                      <w:rFonts w:hint="default" w:ascii="Times New Roman" w:hAnsi="Times New Roman" w:cs="Times New Roman"/>
                      <w:color w:val="auto"/>
                      <w:szCs w:val="21"/>
                    </w:rPr>
                  </w:pPr>
                </w:p>
              </w:tc>
              <w:tc>
                <w:tcPr>
                  <w:tcW w:w="977" w:type="pct"/>
                  <w:noWrap/>
                  <w:vAlign w:val="center"/>
                </w:tcPr>
                <w:p w14:paraId="71565163">
                  <w:pPr>
                    <w:wordWrap w:val="0"/>
                    <w:topLinePunc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ug/m</w:t>
                  </w:r>
                  <w:r>
                    <w:rPr>
                      <w:rFonts w:hint="default" w:ascii="Times New Roman" w:hAnsi="Times New Roman" w:cs="Times New Roman"/>
                      <w:color w:val="auto"/>
                      <w:szCs w:val="21"/>
                      <w:vertAlign w:val="superscript"/>
                    </w:rPr>
                    <w:t>3</w:t>
                  </w:r>
                </w:p>
              </w:tc>
              <w:tc>
                <w:tcPr>
                  <w:tcW w:w="803" w:type="pct"/>
                  <w:noWrap/>
                  <w:vAlign w:val="center"/>
                </w:tcPr>
                <w:p w14:paraId="326D42F4">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35ug/m</w:t>
                  </w:r>
                  <w:r>
                    <w:rPr>
                      <w:rFonts w:hint="default" w:ascii="Times New Roman" w:hAnsi="Times New Roman" w:cs="Times New Roman"/>
                      <w:color w:val="auto"/>
                      <w:szCs w:val="21"/>
                      <w:vertAlign w:val="superscript"/>
                    </w:rPr>
                    <w:t>3</w:t>
                  </w:r>
                </w:p>
              </w:tc>
              <w:tc>
                <w:tcPr>
                  <w:tcW w:w="740" w:type="pct"/>
                  <w:noWrap/>
                  <w:vAlign w:val="center"/>
                </w:tcPr>
                <w:p w14:paraId="77BA23C1">
                  <w:pPr>
                    <w:widowControl/>
                    <w:jc w:val="center"/>
                    <w:textAlignment w:val="center"/>
                    <w:rPr>
                      <w:rFonts w:hint="default" w:ascii="Times New Roman" w:hAnsi="Times New Roman" w:cs="Times New Roman"/>
                      <w:color w:val="auto"/>
                      <w:szCs w:val="21"/>
                    </w:rPr>
                  </w:pPr>
                  <w:r>
                    <w:rPr>
                      <w:rFonts w:hint="eastAsia" w:ascii="Times New Roman" w:hAnsi="Times New Roman" w:cs="Times New Roman"/>
                      <w:color w:val="auto"/>
                      <w:kern w:val="0"/>
                      <w:szCs w:val="21"/>
                      <w:lang w:val="en-US" w:eastAsia="zh-CN"/>
                    </w:rPr>
                    <w:t>85.7</w:t>
                  </w:r>
                  <w:r>
                    <w:rPr>
                      <w:rFonts w:hint="default" w:ascii="Times New Roman" w:hAnsi="Times New Roman" w:cs="Times New Roman"/>
                      <w:color w:val="auto"/>
                      <w:kern w:val="0"/>
                      <w:szCs w:val="21"/>
                    </w:rPr>
                    <w:t>%</w:t>
                  </w:r>
                </w:p>
              </w:tc>
              <w:tc>
                <w:tcPr>
                  <w:tcW w:w="442" w:type="pct"/>
                  <w:noWrap/>
                  <w:vAlign w:val="center"/>
                </w:tcPr>
                <w:p w14:paraId="4080886D">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0640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0FE644CB">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二氧化硫</w:t>
                  </w:r>
                </w:p>
              </w:tc>
              <w:tc>
                <w:tcPr>
                  <w:tcW w:w="1334" w:type="pct"/>
                  <w:vMerge w:val="continue"/>
                  <w:noWrap/>
                  <w:vAlign w:val="center"/>
                </w:tcPr>
                <w:p w14:paraId="08AA9EF4">
                  <w:pPr>
                    <w:pStyle w:val="69"/>
                    <w:snapToGrid w:val="0"/>
                    <w:spacing w:line="240" w:lineRule="auto"/>
                    <w:rPr>
                      <w:rFonts w:hint="default" w:ascii="Times New Roman" w:hAnsi="Times New Roman" w:cs="Times New Roman"/>
                      <w:color w:val="auto"/>
                      <w:szCs w:val="21"/>
                    </w:rPr>
                  </w:pPr>
                </w:p>
              </w:tc>
              <w:tc>
                <w:tcPr>
                  <w:tcW w:w="977" w:type="pct"/>
                  <w:noWrap/>
                  <w:vAlign w:val="center"/>
                </w:tcPr>
                <w:p w14:paraId="548B1A17">
                  <w:pPr>
                    <w:wordWrap w:val="0"/>
                    <w:topLinePunc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ug/m</w:t>
                  </w:r>
                  <w:r>
                    <w:rPr>
                      <w:rFonts w:hint="default" w:ascii="Times New Roman" w:hAnsi="Times New Roman" w:cs="Times New Roman"/>
                      <w:color w:val="auto"/>
                      <w:szCs w:val="21"/>
                      <w:vertAlign w:val="superscript"/>
                    </w:rPr>
                    <w:t>3</w:t>
                  </w:r>
                </w:p>
              </w:tc>
              <w:tc>
                <w:tcPr>
                  <w:tcW w:w="803" w:type="pct"/>
                  <w:noWrap/>
                  <w:vAlign w:val="center"/>
                </w:tcPr>
                <w:p w14:paraId="4FAF6B8A">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60ug/m</w:t>
                  </w:r>
                  <w:r>
                    <w:rPr>
                      <w:rFonts w:hint="default" w:ascii="Times New Roman" w:hAnsi="Times New Roman" w:cs="Times New Roman"/>
                      <w:color w:val="auto"/>
                      <w:szCs w:val="21"/>
                      <w:vertAlign w:val="superscript"/>
                    </w:rPr>
                    <w:t>3</w:t>
                  </w:r>
                </w:p>
              </w:tc>
              <w:tc>
                <w:tcPr>
                  <w:tcW w:w="740" w:type="pct"/>
                  <w:noWrap/>
                  <w:vAlign w:val="center"/>
                </w:tcPr>
                <w:p w14:paraId="6B4E6D0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w:t>
                  </w:r>
                </w:p>
              </w:tc>
              <w:tc>
                <w:tcPr>
                  <w:tcW w:w="442" w:type="pct"/>
                  <w:noWrap/>
                  <w:vAlign w:val="center"/>
                </w:tcPr>
                <w:p w14:paraId="478E3881">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13BC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43A3DF8D">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二氧化氮</w:t>
                  </w:r>
                </w:p>
              </w:tc>
              <w:tc>
                <w:tcPr>
                  <w:tcW w:w="1334" w:type="pct"/>
                  <w:vMerge w:val="continue"/>
                  <w:noWrap/>
                  <w:vAlign w:val="center"/>
                </w:tcPr>
                <w:p w14:paraId="71CADC5F">
                  <w:pPr>
                    <w:pStyle w:val="69"/>
                    <w:snapToGrid w:val="0"/>
                    <w:spacing w:line="240" w:lineRule="auto"/>
                    <w:rPr>
                      <w:rFonts w:hint="default" w:ascii="Times New Roman" w:hAnsi="Times New Roman" w:cs="Times New Roman"/>
                      <w:color w:val="auto"/>
                      <w:szCs w:val="21"/>
                    </w:rPr>
                  </w:pPr>
                </w:p>
              </w:tc>
              <w:tc>
                <w:tcPr>
                  <w:tcW w:w="977" w:type="pct"/>
                  <w:noWrap/>
                  <w:vAlign w:val="center"/>
                </w:tcPr>
                <w:p w14:paraId="5CDD1C43">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ug/m</w:t>
                  </w:r>
                  <w:r>
                    <w:rPr>
                      <w:rFonts w:hint="default" w:ascii="Times New Roman" w:hAnsi="Times New Roman" w:cs="Times New Roman"/>
                      <w:color w:val="auto"/>
                      <w:szCs w:val="21"/>
                      <w:vertAlign w:val="superscript"/>
                    </w:rPr>
                    <w:t>3</w:t>
                  </w:r>
                </w:p>
              </w:tc>
              <w:tc>
                <w:tcPr>
                  <w:tcW w:w="803" w:type="pct"/>
                  <w:noWrap/>
                  <w:vAlign w:val="center"/>
                </w:tcPr>
                <w:p w14:paraId="4604368B">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40ug/m</w:t>
                  </w:r>
                  <w:r>
                    <w:rPr>
                      <w:rFonts w:hint="default" w:ascii="Times New Roman" w:hAnsi="Times New Roman" w:cs="Times New Roman"/>
                      <w:color w:val="auto"/>
                      <w:szCs w:val="21"/>
                      <w:vertAlign w:val="superscript"/>
                    </w:rPr>
                    <w:t>3</w:t>
                  </w:r>
                </w:p>
              </w:tc>
              <w:tc>
                <w:tcPr>
                  <w:tcW w:w="740" w:type="pct"/>
                  <w:noWrap/>
                  <w:vAlign w:val="center"/>
                </w:tcPr>
                <w:p w14:paraId="4FB3899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3</w:t>
                  </w:r>
                  <w:r>
                    <w:rPr>
                      <w:rFonts w:hint="eastAsia" w:ascii="Times New Roman" w:hAnsi="Times New Roman" w:cs="Times New Roman"/>
                      <w:color w:val="auto"/>
                      <w:kern w:val="0"/>
                      <w:szCs w:val="21"/>
                      <w:lang w:val="en-US" w:eastAsia="zh-CN"/>
                    </w:rPr>
                    <w:t>0</w:t>
                  </w:r>
                  <w:r>
                    <w:rPr>
                      <w:rFonts w:hint="default" w:ascii="Times New Roman" w:hAnsi="Times New Roman" w:cs="Times New Roman"/>
                      <w:color w:val="auto"/>
                      <w:kern w:val="0"/>
                      <w:szCs w:val="21"/>
                    </w:rPr>
                    <w:t>%</w:t>
                  </w:r>
                </w:p>
              </w:tc>
              <w:tc>
                <w:tcPr>
                  <w:tcW w:w="442" w:type="pct"/>
                  <w:noWrap/>
                  <w:vAlign w:val="center"/>
                </w:tcPr>
                <w:p w14:paraId="53D2302B">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01EC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4F7EB00E">
                  <w:pPr>
                    <w:jc w:val="center"/>
                    <w:rPr>
                      <w:rFonts w:hint="default" w:ascii="Times New Roman" w:hAnsi="Times New Roman" w:cs="Times New Roman"/>
                      <w:color w:val="auto"/>
                      <w:szCs w:val="21"/>
                    </w:rPr>
                  </w:pPr>
                  <w:r>
                    <w:rPr>
                      <w:rFonts w:hint="default" w:ascii="Times New Roman" w:hAnsi="Times New Roman" w:cs="Times New Roman"/>
                      <w:color w:val="auto"/>
                      <w:szCs w:val="21"/>
                    </w:rPr>
                    <w:t>臭氧</w:t>
                  </w:r>
                </w:p>
              </w:tc>
              <w:tc>
                <w:tcPr>
                  <w:tcW w:w="1334" w:type="pct"/>
                  <w:noWrap/>
                  <w:vAlign w:val="center"/>
                </w:tcPr>
                <w:p w14:paraId="0000D1AE">
                  <w:pPr>
                    <w:pStyle w:val="6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日最大8h第90百分位</w:t>
                  </w:r>
                </w:p>
              </w:tc>
              <w:tc>
                <w:tcPr>
                  <w:tcW w:w="977" w:type="pct"/>
                  <w:noWrap/>
                  <w:vAlign w:val="center"/>
                </w:tcPr>
                <w:p w14:paraId="15730091">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29</w:t>
                  </w:r>
                  <w:r>
                    <w:rPr>
                      <w:rFonts w:hint="default" w:ascii="Times New Roman" w:hAnsi="Times New Roman" w:cs="Times New Roman"/>
                      <w:color w:val="auto"/>
                      <w:szCs w:val="21"/>
                    </w:rPr>
                    <w:t>ug/m</w:t>
                  </w:r>
                  <w:r>
                    <w:rPr>
                      <w:rFonts w:hint="default" w:ascii="Times New Roman" w:hAnsi="Times New Roman" w:cs="Times New Roman"/>
                      <w:color w:val="auto"/>
                      <w:szCs w:val="21"/>
                      <w:vertAlign w:val="superscript"/>
                    </w:rPr>
                    <w:t>3</w:t>
                  </w:r>
                </w:p>
              </w:tc>
              <w:tc>
                <w:tcPr>
                  <w:tcW w:w="803" w:type="pct"/>
                  <w:noWrap/>
                  <w:vAlign w:val="center"/>
                </w:tcPr>
                <w:p w14:paraId="421F8BFC">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160ug/m</w:t>
                  </w:r>
                  <w:r>
                    <w:rPr>
                      <w:rFonts w:hint="default" w:ascii="Times New Roman" w:hAnsi="Times New Roman" w:cs="Times New Roman"/>
                      <w:color w:val="auto"/>
                      <w:szCs w:val="21"/>
                      <w:vertAlign w:val="superscript"/>
                    </w:rPr>
                    <w:t>3</w:t>
                  </w:r>
                </w:p>
              </w:tc>
              <w:tc>
                <w:tcPr>
                  <w:tcW w:w="740" w:type="pct"/>
                  <w:noWrap/>
                  <w:vAlign w:val="center"/>
                </w:tcPr>
                <w:p w14:paraId="3AFC03F5">
                  <w:pPr>
                    <w:widowControl/>
                    <w:jc w:val="center"/>
                    <w:textAlignment w:val="center"/>
                    <w:rPr>
                      <w:rFonts w:hint="default" w:ascii="Times New Roman" w:hAnsi="Times New Roman" w:cs="Times New Roman"/>
                      <w:color w:val="auto"/>
                      <w:szCs w:val="21"/>
                    </w:rPr>
                  </w:pPr>
                  <w:r>
                    <w:rPr>
                      <w:rFonts w:hint="eastAsia" w:ascii="Times New Roman" w:hAnsi="Times New Roman" w:cs="Times New Roman"/>
                      <w:color w:val="auto"/>
                      <w:kern w:val="0"/>
                      <w:szCs w:val="21"/>
                      <w:lang w:val="en-US" w:eastAsia="zh-CN"/>
                    </w:rPr>
                    <w:t>44.6</w:t>
                  </w:r>
                  <w:r>
                    <w:rPr>
                      <w:rFonts w:hint="default" w:ascii="Times New Roman" w:hAnsi="Times New Roman" w:cs="Times New Roman"/>
                      <w:color w:val="auto"/>
                      <w:kern w:val="0"/>
                      <w:szCs w:val="21"/>
                    </w:rPr>
                    <w:t>%</w:t>
                  </w:r>
                </w:p>
              </w:tc>
              <w:tc>
                <w:tcPr>
                  <w:tcW w:w="442" w:type="pct"/>
                  <w:noWrap/>
                  <w:vAlign w:val="center"/>
                </w:tcPr>
                <w:p w14:paraId="35EF671B">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2DB2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ign w:val="center"/>
                </w:tcPr>
                <w:p w14:paraId="2879BDE3">
                  <w:pPr>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334" w:type="pct"/>
                  <w:noWrap/>
                  <w:vAlign w:val="center"/>
                </w:tcPr>
                <w:p w14:paraId="1ECC5FB1">
                  <w:pPr>
                    <w:pStyle w:val="6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CO第95百分值</w:t>
                  </w:r>
                </w:p>
              </w:tc>
              <w:tc>
                <w:tcPr>
                  <w:tcW w:w="977" w:type="pct"/>
                  <w:noWrap/>
                  <w:vAlign w:val="center"/>
                </w:tcPr>
                <w:p w14:paraId="74D7240C">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803" w:type="pct"/>
                  <w:noWrap/>
                  <w:vAlign w:val="center"/>
                </w:tcPr>
                <w:p w14:paraId="54F0EF78">
                  <w:pPr>
                    <w:wordWrap w:val="0"/>
                    <w:topLinePunct/>
                    <w:jc w:val="center"/>
                    <w:rPr>
                      <w:rFonts w:hint="default" w:ascii="Times New Roman" w:hAnsi="Times New Roman" w:cs="Times New Roman"/>
                      <w:color w:val="auto"/>
                      <w:szCs w:val="21"/>
                    </w:rPr>
                  </w:pPr>
                  <w:r>
                    <w:rPr>
                      <w:rFonts w:hint="default" w:ascii="Times New Roman" w:hAnsi="Times New Roman" w:cs="Times New Roman"/>
                      <w:color w:val="auto"/>
                      <w:szCs w:val="21"/>
                    </w:rPr>
                    <w:t>4mg/m</w:t>
                  </w:r>
                  <w:r>
                    <w:rPr>
                      <w:rFonts w:hint="default" w:ascii="Times New Roman" w:hAnsi="Times New Roman" w:cs="Times New Roman"/>
                      <w:color w:val="auto"/>
                      <w:szCs w:val="21"/>
                      <w:vertAlign w:val="superscript"/>
                    </w:rPr>
                    <w:t>3</w:t>
                  </w:r>
                </w:p>
              </w:tc>
              <w:tc>
                <w:tcPr>
                  <w:tcW w:w="740" w:type="pct"/>
                  <w:noWrap/>
                  <w:vAlign w:val="center"/>
                </w:tcPr>
                <w:p w14:paraId="57735E6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42" w:type="pct"/>
                  <w:noWrap/>
                  <w:vAlign w:val="center"/>
                </w:tcPr>
                <w:p w14:paraId="3BCCA6A2">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14:paraId="15BC5820">
            <w:pPr>
              <w:pStyle w:val="301"/>
              <w:spacing w:line="360" w:lineRule="auto"/>
              <w:ind w:firstLine="480"/>
              <w:rPr>
                <w:rFonts w:hint="eastAsia" w:ascii="Times New Roman" w:hAnsi="Times New Roman" w:eastAsia="宋体" w:cs="Times New Roman"/>
              </w:rPr>
            </w:pPr>
            <w:r>
              <w:rPr>
                <w:rFonts w:hint="default" w:ascii="Times New Roman" w:hAnsi="Times New Roman" w:eastAsia="宋体" w:cs="Times New Roman"/>
              </w:rPr>
              <w:t>由表3-1监测数据统计结果表明，祁阳市城区近一年常规大气污染物PM</w:t>
            </w:r>
            <w:r>
              <w:rPr>
                <w:rFonts w:hint="default" w:ascii="Times New Roman" w:hAnsi="Times New Roman" w:eastAsia="宋体" w:cs="Times New Roman"/>
                <w:vertAlign w:val="subscript"/>
              </w:rPr>
              <w:t>10</w:t>
            </w:r>
            <w:r>
              <w:rPr>
                <w:rFonts w:hint="default" w:ascii="Times New Roman" w:hAnsi="Times New Roman" w:eastAsia="宋体" w:cs="Times New Roman"/>
              </w:rPr>
              <w:t>、PM</w:t>
            </w:r>
            <w:r>
              <w:rPr>
                <w:rFonts w:hint="default" w:ascii="Times New Roman" w:hAnsi="Times New Roman" w:eastAsia="宋体" w:cs="Times New Roman"/>
                <w:vertAlign w:val="subscript"/>
              </w:rPr>
              <w:t>2.5</w:t>
            </w:r>
            <w:r>
              <w:rPr>
                <w:rFonts w:hint="default" w:ascii="Times New Roman" w:hAnsi="Times New Roman" w:eastAsia="宋体" w:cs="Times New Roman"/>
              </w:rPr>
              <w:t>、SO</w:t>
            </w:r>
            <w:r>
              <w:rPr>
                <w:rFonts w:hint="default" w:ascii="Times New Roman" w:hAnsi="Times New Roman" w:eastAsia="宋体" w:cs="Times New Roman"/>
                <w:vertAlign w:val="subscript"/>
              </w:rPr>
              <w:t>2</w:t>
            </w:r>
            <w:r>
              <w:rPr>
                <w:rFonts w:hint="default" w:ascii="Times New Roman" w:hAnsi="Times New Roman" w:eastAsia="宋体" w:cs="Times New Roman"/>
              </w:rPr>
              <w:t>、NO</w:t>
            </w:r>
            <w:r>
              <w:rPr>
                <w:rFonts w:hint="default" w:ascii="Times New Roman" w:hAnsi="Times New Roman" w:eastAsia="宋体" w:cs="Times New Roman"/>
                <w:vertAlign w:val="subscript"/>
              </w:rPr>
              <w:t>2</w:t>
            </w:r>
            <w:r>
              <w:rPr>
                <w:rFonts w:hint="default" w:ascii="Times New Roman" w:hAnsi="Times New Roman" w:eastAsia="宋体" w:cs="Times New Roman"/>
              </w:rPr>
              <w:t>年均值浓度、臭氧日最大8h第90百分位、一氧化碳CO第95百分值均满足《环境空气质量标准》(GB3095-2012)及其修改单二级标准要求，因此祁阳市城区属于达标区。</w:t>
            </w:r>
          </w:p>
          <w:p w14:paraId="5190E1EF">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val="0"/>
                <w:spacing w:val="-4"/>
                <w:sz w:val="24"/>
              </w:rPr>
            </w:pPr>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1.1 </w:t>
            </w:r>
            <w:r>
              <w:rPr>
                <w:b/>
                <w:bCs w:val="0"/>
                <w:spacing w:val="-4"/>
                <w:sz w:val="24"/>
              </w:rPr>
              <w:t>环境空气质量现状</w:t>
            </w:r>
          </w:p>
          <w:p w14:paraId="765A99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特征污染物为非甲烷总烃</w:t>
            </w:r>
            <w:r>
              <w:rPr>
                <w:rFonts w:hint="eastAsia"/>
                <w:sz w:val="24"/>
                <w:lang w:eastAsia="zh-CN"/>
              </w:rPr>
              <w:t>，</w:t>
            </w:r>
            <w:r>
              <w:rPr>
                <w:rFonts w:hint="eastAsia"/>
                <w:sz w:val="24"/>
              </w:rPr>
              <w:t>国家、地方环境空气质量标准中无相关标准限值，无须进行监测。</w:t>
            </w:r>
          </w:p>
          <w:p w14:paraId="700D67C1">
            <w:pPr>
              <w:keepNext w:val="0"/>
              <w:keepLines w:val="0"/>
              <w:pageBreakBefore w:val="0"/>
              <w:numPr>
                <w:ilvl w:val="0"/>
                <w:numId w:val="0"/>
              </w:numPr>
              <w:kinsoku/>
              <w:wordWrap w:val="0"/>
              <w:overflowPunct/>
              <w:topLinePunct/>
              <w:autoSpaceDE/>
              <w:autoSpaceDN/>
              <w:bidi w:val="0"/>
              <w:adjustRightInd w:val="0"/>
              <w:snapToGrid w:val="0"/>
              <w:spacing w:line="360" w:lineRule="auto"/>
              <w:textAlignment w:val="auto"/>
              <w:rPr>
                <w:b/>
                <w:sz w:val="24"/>
              </w:rPr>
            </w:pPr>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2 </w:t>
            </w:r>
            <w:r>
              <w:rPr>
                <w:b/>
                <w:sz w:val="24"/>
              </w:rPr>
              <w:t>地表水环境质量现状</w:t>
            </w:r>
          </w:p>
          <w:p w14:paraId="66C46953">
            <w:pPr>
              <w:spacing w:line="360" w:lineRule="auto"/>
              <w:ind w:firstLine="480" w:firstLineChars="200"/>
              <w:rPr>
                <w:rFonts w:hint="eastAsia"/>
                <w:snapToGrid w:val="0"/>
                <w:sz w:val="24"/>
              </w:rPr>
            </w:pPr>
            <w:r>
              <w:rPr>
                <w:rFonts w:hint="eastAsia"/>
                <w:snapToGrid w:val="0"/>
                <w:sz w:val="24"/>
              </w:rPr>
              <w:t>根据《建设项目环境影响报告表编制技术指南(污染影响类)》，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14:paraId="41D50C3D">
            <w:pPr>
              <w:spacing w:line="360" w:lineRule="auto"/>
              <w:ind w:firstLine="480" w:firstLineChars="200"/>
              <w:rPr>
                <w:rFonts w:hint="eastAsia" w:eastAsia="宋体"/>
                <w:snapToGrid w:val="0"/>
                <w:sz w:val="24"/>
                <w:lang w:val="en-US" w:eastAsia="zh-CN"/>
              </w:rPr>
            </w:pPr>
            <w:r>
              <w:rPr>
                <w:rFonts w:hint="eastAsia"/>
                <w:snapToGrid w:val="0"/>
                <w:sz w:val="24"/>
              </w:rPr>
              <w:t>为了解项目区地表水水质情况，本次地表水环境质量现状引用永州市生态环境局《关于2024年12月份全市环境质量状况的通报》，该通报公布了永州市地表水达标情况的结论，祁阳市祁水入湘江口、白水入湘江口两个省控监测断面水质达标；祁阳观音滩断面(祁阳白竹污水处理厂入河排污口下游断面)、归阳镇断面、普济桥断面等地表水常规断面均达到了相应地表水水质要求。</w:t>
            </w:r>
          </w:p>
          <w:p w14:paraId="181705E6">
            <w:pPr>
              <w:spacing w:line="360" w:lineRule="auto"/>
              <w:rPr>
                <w:rFonts w:hint="default" w:eastAsia="宋体"/>
                <w:b/>
                <w:sz w:val="24"/>
                <w:lang w:val="en-US" w:eastAsia="zh-CN"/>
              </w:rPr>
            </w:pPr>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3 </w:t>
            </w:r>
            <w:r>
              <w:rPr>
                <w:b/>
                <w:sz w:val="24"/>
              </w:rPr>
              <w:t>声环境质量现状</w:t>
            </w:r>
            <w:r>
              <w:rPr>
                <w:rFonts w:hint="eastAsia"/>
                <w:b/>
                <w:sz w:val="24"/>
                <w:lang w:val="en-US" w:eastAsia="zh-CN"/>
              </w:rPr>
              <w:t>监测及评价</w:t>
            </w:r>
          </w:p>
          <w:p w14:paraId="4F80EBCA">
            <w:pPr>
              <w:spacing w:line="360" w:lineRule="auto"/>
              <w:ind w:firstLine="480" w:firstLineChars="200"/>
              <w:rPr>
                <w:rFonts w:hint="eastAsia"/>
                <w:sz w:val="24"/>
                <w:lang w:val="en-GB" w:eastAsia="zh-CN"/>
              </w:rPr>
            </w:pPr>
            <w:r>
              <w:rPr>
                <w:rFonts w:hint="eastAsia"/>
                <w:sz w:val="24"/>
                <w:lang w:val="en-GB"/>
              </w:rPr>
              <w:t>根据《建设项目环境影响报告表编制技术指南》（污染影响类）（试行），厂界外周边50米范围内存在声环境保护目标的建设项目，应监测保护目标声环境质量现状并评价达标情况</w:t>
            </w:r>
            <w:r>
              <w:rPr>
                <w:rFonts w:hint="eastAsia"/>
                <w:sz w:val="24"/>
                <w:lang w:val="en-GB" w:eastAsia="zh-CN"/>
              </w:rPr>
              <w:t>。</w:t>
            </w:r>
          </w:p>
          <w:p w14:paraId="09976D9A">
            <w:pPr>
              <w:spacing w:line="360" w:lineRule="auto"/>
              <w:ind w:firstLine="480" w:firstLineChars="200"/>
              <w:rPr>
                <w:rFonts w:hint="eastAsia"/>
                <w:color w:val="auto"/>
                <w:sz w:val="24"/>
                <w:lang w:val="en-GB"/>
              </w:rPr>
            </w:pPr>
            <w:r>
              <w:rPr>
                <w:rFonts w:hint="eastAsia"/>
                <w:color w:val="auto"/>
                <w:sz w:val="24"/>
                <w:lang w:val="en-GB"/>
              </w:rPr>
              <w:t>本项目周边50米范围内有</w:t>
            </w:r>
            <w:r>
              <w:rPr>
                <w:rFonts w:hint="eastAsia"/>
                <w:color w:val="auto"/>
                <w:sz w:val="24"/>
                <w:lang w:val="en-US" w:eastAsia="zh-CN"/>
              </w:rPr>
              <w:t>东北侧、东南侧均分布有居民</w:t>
            </w:r>
            <w:r>
              <w:rPr>
                <w:rFonts w:hint="eastAsia"/>
                <w:color w:val="auto"/>
                <w:sz w:val="24"/>
                <w:lang w:val="en-GB"/>
              </w:rPr>
              <w:t>，为了解项目当地声环境质量现状及厂界周边的噪声情况，本次评价委托</w:t>
            </w:r>
            <w:r>
              <w:rPr>
                <w:rFonts w:hint="eastAsia"/>
                <w:color w:val="auto"/>
                <w:sz w:val="24"/>
                <w:lang w:val="en-GB" w:eastAsia="zh-CN"/>
              </w:rPr>
              <w:t>湖南聚鸿环保科技有限公司</w:t>
            </w:r>
            <w:r>
              <w:rPr>
                <w:rFonts w:hint="eastAsia"/>
                <w:color w:val="auto"/>
                <w:sz w:val="24"/>
                <w:lang w:val="en-GB"/>
              </w:rPr>
              <w:t>于202</w:t>
            </w:r>
            <w:r>
              <w:rPr>
                <w:rFonts w:hint="eastAsia"/>
                <w:color w:val="auto"/>
                <w:sz w:val="24"/>
                <w:lang w:val="en-US" w:eastAsia="zh-CN"/>
              </w:rPr>
              <w:t>5</w:t>
            </w:r>
            <w:r>
              <w:rPr>
                <w:rFonts w:hint="eastAsia"/>
                <w:color w:val="auto"/>
                <w:sz w:val="24"/>
                <w:lang w:val="en-GB"/>
              </w:rPr>
              <w:t>年</w:t>
            </w:r>
            <w:r>
              <w:rPr>
                <w:rFonts w:hint="eastAsia"/>
                <w:color w:val="auto"/>
                <w:sz w:val="24"/>
                <w:lang w:val="en-US" w:eastAsia="zh-CN"/>
              </w:rPr>
              <w:t>7</w:t>
            </w:r>
            <w:r>
              <w:rPr>
                <w:rFonts w:hint="eastAsia"/>
                <w:color w:val="auto"/>
                <w:sz w:val="24"/>
                <w:lang w:val="en-GB"/>
              </w:rPr>
              <w:t>月</w:t>
            </w:r>
            <w:r>
              <w:rPr>
                <w:rFonts w:hint="eastAsia"/>
                <w:color w:val="auto"/>
                <w:sz w:val="24"/>
                <w:lang w:val="en-US" w:eastAsia="zh-CN"/>
              </w:rPr>
              <w:t>3</w:t>
            </w:r>
            <w:r>
              <w:rPr>
                <w:rFonts w:hint="eastAsia"/>
                <w:color w:val="auto"/>
                <w:sz w:val="24"/>
                <w:lang w:val="en-GB"/>
              </w:rPr>
              <w:t>日</w:t>
            </w:r>
            <w:r>
              <w:rPr>
                <w:rFonts w:hint="eastAsia"/>
                <w:color w:val="auto"/>
                <w:sz w:val="24"/>
                <w:lang w:val="en-US" w:eastAsia="zh-CN"/>
              </w:rPr>
              <w:t>至7</w:t>
            </w:r>
            <w:r>
              <w:rPr>
                <w:rFonts w:hint="eastAsia"/>
                <w:color w:val="auto"/>
                <w:sz w:val="24"/>
                <w:lang w:val="en-GB"/>
              </w:rPr>
              <w:t>月</w:t>
            </w:r>
            <w:r>
              <w:rPr>
                <w:rFonts w:hint="eastAsia"/>
                <w:color w:val="auto"/>
                <w:sz w:val="24"/>
                <w:lang w:val="en-US" w:eastAsia="zh-CN"/>
              </w:rPr>
              <w:t>4</w:t>
            </w:r>
            <w:r>
              <w:rPr>
                <w:rFonts w:hint="eastAsia"/>
                <w:color w:val="auto"/>
                <w:sz w:val="24"/>
                <w:lang w:val="en-GB"/>
              </w:rPr>
              <w:t>日，按照《建设项目环境影响报告表编制技术指南》（污染影响类）（试行）中有关规定，在</w:t>
            </w:r>
            <w:r>
              <w:rPr>
                <w:rFonts w:hint="eastAsia"/>
                <w:color w:val="auto"/>
                <w:sz w:val="24"/>
                <w:lang w:val="en-US" w:eastAsia="zh-CN"/>
              </w:rPr>
              <w:t>东南侧居民点、东北侧</w:t>
            </w:r>
            <w:r>
              <w:rPr>
                <w:rFonts w:hint="eastAsia"/>
                <w:color w:val="auto"/>
                <w:sz w:val="24"/>
                <w:lang w:val="en-GB"/>
              </w:rPr>
              <w:t>居民点处共布置</w:t>
            </w:r>
            <w:r>
              <w:rPr>
                <w:rFonts w:hint="eastAsia"/>
                <w:color w:val="auto"/>
                <w:sz w:val="24"/>
                <w:lang w:val="en-US" w:eastAsia="zh-CN"/>
              </w:rPr>
              <w:t>2</w:t>
            </w:r>
            <w:r>
              <w:rPr>
                <w:rFonts w:hint="eastAsia"/>
                <w:color w:val="auto"/>
                <w:sz w:val="24"/>
                <w:lang w:val="en-GB"/>
              </w:rPr>
              <w:t>个监测点位，昼、夜间各监测1次，监测</w:t>
            </w:r>
            <w:r>
              <w:rPr>
                <w:rFonts w:hint="eastAsia"/>
                <w:color w:val="auto"/>
                <w:sz w:val="24"/>
                <w:lang w:val="en-US" w:eastAsia="zh-CN"/>
              </w:rPr>
              <w:t>2</w:t>
            </w:r>
            <w:r>
              <w:rPr>
                <w:rFonts w:hint="eastAsia"/>
                <w:color w:val="auto"/>
                <w:sz w:val="24"/>
                <w:lang w:val="en-GB"/>
              </w:rPr>
              <w:t>天，详见下</w:t>
            </w:r>
            <w:r>
              <w:rPr>
                <w:rFonts w:hint="eastAsia"/>
                <w:color w:val="auto"/>
                <w:sz w:val="24"/>
                <w:lang w:val="en-US" w:eastAsia="zh-CN"/>
              </w:rPr>
              <w:t>表：</w:t>
            </w:r>
          </w:p>
          <w:p w14:paraId="3A49923F">
            <w:pPr>
              <w:pStyle w:val="300"/>
              <w:rPr>
                <w:b/>
                <w:color w:val="auto"/>
                <w:sz w:val="24"/>
                <w:szCs w:val="24"/>
              </w:rPr>
            </w:pPr>
            <w:r>
              <w:rPr>
                <w:b/>
                <w:bCs/>
                <w:color w:val="auto"/>
                <w:sz w:val="24"/>
                <w:szCs w:val="24"/>
              </w:rPr>
              <w:t>表3-</w:t>
            </w:r>
            <w:r>
              <w:rPr>
                <w:rFonts w:hint="eastAsia"/>
                <w:b/>
                <w:bCs/>
                <w:color w:val="auto"/>
                <w:sz w:val="24"/>
                <w:szCs w:val="24"/>
                <w:lang w:val="en-US" w:eastAsia="zh-CN"/>
              </w:rPr>
              <w:t>2</w:t>
            </w:r>
            <w:r>
              <w:rPr>
                <w:b/>
                <w:bCs/>
                <w:color w:val="auto"/>
                <w:sz w:val="24"/>
                <w:szCs w:val="24"/>
              </w:rPr>
              <w:t xml:space="preserve"> </w:t>
            </w:r>
            <w:r>
              <w:rPr>
                <w:rFonts w:hint="eastAsia"/>
                <w:b/>
                <w:bCs/>
                <w:color w:val="auto"/>
                <w:sz w:val="24"/>
                <w:szCs w:val="24"/>
              </w:rPr>
              <w:t>声环境质量现状监测结果 单位：LeqdB（A）</w:t>
            </w:r>
          </w:p>
          <w:tbl>
            <w:tblPr>
              <w:tblStyle w:val="5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776"/>
              <w:gridCol w:w="662"/>
              <w:gridCol w:w="662"/>
              <w:gridCol w:w="1320"/>
              <w:gridCol w:w="1320"/>
              <w:gridCol w:w="1102"/>
            </w:tblGrid>
            <w:tr w14:paraId="3D48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noWrap w:val="0"/>
                  <w:vAlign w:val="center"/>
                </w:tcPr>
                <w:p w14:paraId="33E30543">
                  <w:pPr>
                    <w:pStyle w:val="352"/>
                    <w:rPr>
                      <w:rFonts w:hint="eastAsia"/>
                      <w:b/>
                      <w:bCs/>
                      <w:color w:val="auto"/>
                    </w:rPr>
                  </w:pPr>
                  <w:r>
                    <w:rPr>
                      <w:rFonts w:hint="eastAsia"/>
                      <w:b/>
                      <w:bCs/>
                      <w:color w:val="auto"/>
                    </w:rPr>
                    <w:t>监测点位</w:t>
                  </w:r>
                </w:p>
              </w:tc>
              <w:tc>
                <w:tcPr>
                  <w:tcW w:w="1060" w:type="pct"/>
                  <w:noWrap w:val="0"/>
                  <w:vAlign w:val="center"/>
                </w:tcPr>
                <w:p w14:paraId="23A27194">
                  <w:pPr>
                    <w:pStyle w:val="352"/>
                    <w:rPr>
                      <w:rFonts w:hint="eastAsia"/>
                      <w:b/>
                      <w:bCs/>
                      <w:color w:val="auto"/>
                    </w:rPr>
                  </w:pPr>
                  <w:r>
                    <w:rPr>
                      <w:rFonts w:hint="eastAsia"/>
                      <w:b/>
                      <w:bCs/>
                      <w:color w:val="auto"/>
                    </w:rPr>
                    <w:t>监测时间</w:t>
                  </w:r>
                </w:p>
              </w:tc>
              <w:tc>
                <w:tcPr>
                  <w:tcW w:w="395" w:type="pct"/>
                  <w:noWrap w:val="0"/>
                  <w:vAlign w:val="center"/>
                </w:tcPr>
                <w:p w14:paraId="7DA48A68">
                  <w:pPr>
                    <w:pStyle w:val="352"/>
                    <w:rPr>
                      <w:rFonts w:hint="eastAsia"/>
                      <w:b/>
                      <w:bCs/>
                      <w:color w:val="auto"/>
                    </w:rPr>
                  </w:pPr>
                  <w:r>
                    <w:rPr>
                      <w:rFonts w:hint="eastAsia"/>
                      <w:b/>
                      <w:bCs/>
                      <w:color w:val="auto"/>
                    </w:rPr>
                    <w:t>昼间</w:t>
                  </w:r>
                </w:p>
              </w:tc>
              <w:tc>
                <w:tcPr>
                  <w:tcW w:w="395" w:type="pct"/>
                  <w:noWrap w:val="0"/>
                  <w:vAlign w:val="center"/>
                </w:tcPr>
                <w:p w14:paraId="5018FB51">
                  <w:pPr>
                    <w:pStyle w:val="352"/>
                    <w:rPr>
                      <w:rFonts w:hint="eastAsia"/>
                      <w:b/>
                      <w:bCs/>
                      <w:color w:val="auto"/>
                    </w:rPr>
                  </w:pPr>
                  <w:r>
                    <w:rPr>
                      <w:rFonts w:hint="eastAsia"/>
                      <w:b/>
                      <w:bCs/>
                      <w:color w:val="auto"/>
                    </w:rPr>
                    <w:t>夜间</w:t>
                  </w:r>
                </w:p>
              </w:tc>
              <w:tc>
                <w:tcPr>
                  <w:tcW w:w="788" w:type="pct"/>
                  <w:noWrap w:val="0"/>
                  <w:vAlign w:val="center"/>
                </w:tcPr>
                <w:p w14:paraId="3F1F6135">
                  <w:pPr>
                    <w:pStyle w:val="352"/>
                    <w:rPr>
                      <w:rFonts w:hint="eastAsia"/>
                      <w:b/>
                      <w:bCs/>
                      <w:color w:val="auto"/>
                    </w:rPr>
                  </w:pPr>
                  <w:r>
                    <w:rPr>
                      <w:rFonts w:hint="eastAsia"/>
                      <w:b/>
                      <w:bCs/>
                      <w:color w:val="auto"/>
                    </w:rPr>
                    <w:t>昼间标准值</w:t>
                  </w:r>
                </w:p>
              </w:tc>
              <w:tc>
                <w:tcPr>
                  <w:tcW w:w="788" w:type="pct"/>
                  <w:noWrap w:val="0"/>
                  <w:vAlign w:val="center"/>
                </w:tcPr>
                <w:p w14:paraId="5D7B7401">
                  <w:pPr>
                    <w:pStyle w:val="352"/>
                    <w:rPr>
                      <w:rFonts w:hint="eastAsia"/>
                      <w:b/>
                      <w:bCs/>
                      <w:color w:val="auto"/>
                    </w:rPr>
                  </w:pPr>
                  <w:r>
                    <w:rPr>
                      <w:rFonts w:hint="eastAsia"/>
                      <w:b/>
                      <w:bCs/>
                      <w:color w:val="auto"/>
                    </w:rPr>
                    <w:t>夜间标准值</w:t>
                  </w:r>
                </w:p>
              </w:tc>
              <w:tc>
                <w:tcPr>
                  <w:tcW w:w="657" w:type="pct"/>
                  <w:noWrap w:val="0"/>
                  <w:vAlign w:val="center"/>
                </w:tcPr>
                <w:p w14:paraId="5D867583">
                  <w:pPr>
                    <w:pStyle w:val="352"/>
                    <w:rPr>
                      <w:rFonts w:hint="eastAsia"/>
                      <w:b/>
                      <w:bCs/>
                      <w:color w:val="auto"/>
                    </w:rPr>
                  </w:pPr>
                  <w:r>
                    <w:rPr>
                      <w:rFonts w:hint="eastAsia"/>
                      <w:b/>
                      <w:bCs/>
                      <w:color w:val="auto"/>
                    </w:rPr>
                    <w:t>达标情况</w:t>
                  </w:r>
                </w:p>
              </w:tc>
            </w:tr>
            <w:tr w14:paraId="778F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15" w:type="pct"/>
                  <w:noWrap w:val="0"/>
                  <w:vAlign w:val="center"/>
                </w:tcPr>
                <w:p w14:paraId="5ACE4036">
                  <w:pPr>
                    <w:snapToGrid w:val="0"/>
                    <w:contextualSpacing/>
                    <w:jc w:val="center"/>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东北</w:t>
                  </w:r>
                  <w:r>
                    <w:rPr>
                      <w:rFonts w:hint="eastAsia" w:ascii="Times New Roman" w:hAnsi="Times New Roman" w:eastAsia="宋体" w:cs="Times New Roman"/>
                      <w:color w:val="auto"/>
                      <w:kern w:val="0"/>
                      <w:szCs w:val="21"/>
                      <w:lang w:val="en-US" w:eastAsia="zh-CN"/>
                    </w:rPr>
                    <w:t>侧居民点</w:t>
                  </w:r>
                </w:p>
              </w:tc>
              <w:tc>
                <w:tcPr>
                  <w:tcW w:w="1060" w:type="pct"/>
                  <w:vMerge w:val="restart"/>
                  <w:noWrap w:val="0"/>
                  <w:vAlign w:val="center"/>
                </w:tcPr>
                <w:p w14:paraId="0CAB3047">
                  <w:pPr>
                    <w:pStyle w:val="352"/>
                    <w:rPr>
                      <w:color w:val="auto"/>
                    </w:rPr>
                  </w:pPr>
                  <w:r>
                    <w:rPr>
                      <w:rFonts w:hint="eastAsia"/>
                      <w:color w:val="auto"/>
                      <w:spacing w:val="-2"/>
                      <w:szCs w:val="21"/>
                    </w:rPr>
                    <w:t>202</w:t>
                  </w:r>
                  <w:r>
                    <w:rPr>
                      <w:rFonts w:hint="eastAsia"/>
                      <w:color w:val="auto"/>
                      <w:spacing w:val="-2"/>
                      <w:szCs w:val="21"/>
                      <w:lang w:val="en-US" w:eastAsia="zh-CN"/>
                    </w:rPr>
                    <w:t>5</w:t>
                  </w:r>
                  <w:r>
                    <w:rPr>
                      <w:rFonts w:hint="eastAsia"/>
                      <w:color w:val="auto"/>
                      <w:spacing w:val="-2"/>
                      <w:szCs w:val="21"/>
                    </w:rPr>
                    <w:t>年</w:t>
                  </w:r>
                  <w:r>
                    <w:rPr>
                      <w:rFonts w:hint="eastAsia"/>
                      <w:color w:val="auto"/>
                      <w:spacing w:val="-2"/>
                      <w:szCs w:val="21"/>
                      <w:lang w:val="en-US" w:eastAsia="zh-CN"/>
                    </w:rPr>
                    <w:t>7</w:t>
                  </w:r>
                  <w:r>
                    <w:rPr>
                      <w:rFonts w:hint="eastAsia"/>
                      <w:color w:val="auto"/>
                      <w:spacing w:val="-2"/>
                      <w:szCs w:val="21"/>
                    </w:rPr>
                    <w:t>月</w:t>
                  </w:r>
                  <w:r>
                    <w:rPr>
                      <w:rFonts w:hint="eastAsia"/>
                      <w:color w:val="auto"/>
                      <w:spacing w:val="-2"/>
                      <w:szCs w:val="21"/>
                      <w:lang w:val="en-US" w:eastAsia="zh-CN"/>
                    </w:rPr>
                    <w:t>3</w:t>
                  </w:r>
                  <w:r>
                    <w:rPr>
                      <w:rFonts w:hint="eastAsia"/>
                      <w:color w:val="auto"/>
                      <w:spacing w:val="-2"/>
                      <w:szCs w:val="21"/>
                    </w:rPr>
                    <w:t>日</w:t>
                  </w:r>
                </w:p>
              </w:tc>
              <w:tc>
                <w:tcPr>
                  <w:tcW w:w="395" w:type="pct"/>
                  <w:noWrap w:val="0"/>
                  <w:vAlign w:val="center"/>
                </w:tcPr>
                <w:p w14:paraId="07B6394C">
                  <w:pPr>
                    <w:pStyle w:val="352"/>
                    <w:rPr>
                      <w:color w:val="auto"/>
                    </w:rPr>
                  </w:pPr>
                  <w:r>
                    <w:rPr>
                      <w:rFonts w:hint="eastAsia"/>
                      <w:color w:val="auto"/>
                      <w:lang w:val="en-US" w:eastAsia="zh-CN"/>
                    </w:rPr>
                    <w:t>53.7</w:t>
                  </w:r>
                </w:p>
              </w:tc>
              <w:tc>
                <w:tcPr>
                  <w:tcW w:w="395" w:type="pct"/>
                  <w:noWrap w:val="0"/>
                  <w:vAlign w:val="center"/>
                </w:tcPr>
                <w:p w14:paraId="209FC0DD">
                  <w:pPr>
                    <w:pStyle w:val="352"/>
                    <w:rPr>
                      <w:color w:val="auto"/>
                    </w:rPr>
                  </w:pPr>
                  <w:r>
                    <w:rPr>
                      <w:rFonts w:hint="eastAsia"/>
                      <w:color w:val="auto"/>
                      <w:lang w:val="en-US" w:eastAsia="zh-CN"/>
                    </w:rPr>
                    <w:t>43.7</w:t>
                  </w:r>
                </w:p>
              </w:tc>
              <w:tc>
                <w:tcPr>
                  <w:tcW w:w="788" w:type="pct"/>
                  <w:vMerge w:val="restart"/>
                  <w:noWrap w:val="0"/>
                  <w:vAlign w:val="center"/>
                </w:tcPr>
                <w:p w14:paraId="09717814">
                  <w:pPr>
                    <w:pStyle w:val="352"/>
                    <w:rPr>
                      <w:rFonts w:hint="default" w:eastAsia="宋体"/>
                      <w:color w:val="auto"/>
                      <w:lang w:val="en-US" w:eastAsia="zh-CN"/>
                    </w:rPr>
                  </w:pPr>
                  <w:r>
                    <w:rPr>
                      <w:rFonts w:hint="eastAsia"/>
                      <w:color w:val="auto"/>
                      <w:lang w:val="en-US" w:eastAsia="zh-CN"/>
                    </w:rPr>
                    <w:t>60</w:t>
                  </w:r>
                </w:p>
              </w:tc>
              <w:tc>
                <w:tcPr>
                  <w:tcW w:w="788" w:type="pct"/>
                  <w:vMerge w:val="restart"/>
                  <w:noWrap w:val="0"/>
                  <w:vAlign w:val="center"/>
                </w:tcPr>
                <w:p w14:paraId="45611070">
                  <w:pPr>
                    <w:pStyle w:val="352"/>
                    <w:rPr>
                      <w:rFonts w:hint="default" w:eastAsia="宋体"/>
                      <w:color w:val="auto"/>
                      <w:lang w:val="en-US" w:eastAsia="zh-CN"/>
                    </w:rPr>
                  </w:pPr>
                  <w:r>
                    <w:rPr>
                      <w:rFonts w:hint="eastAsia"/>
                      <w:color w:val="auto"/>
                      <w:lang w:val="en-US" w:eastAsia="zh-CN"/>
                    </w:rPr>
                    <w:t>50</w:t>
                  </w:r>
                </w:p>
              </w:tc>
              <w:tc>
                <w:tcPr>
                  <w:tcW w:w="657" w:type="pct"/>
                  <w:vMerge w:val="restart"/>
                  <w:noWrap w:val="0"/>
                  <w:vAlign w:val="center"/>
                </w:tcPr>
                <w:p w14:paraId="39BBCC37">
                  <w:pPr>
                    <w:pStyle w:val="352"/>
                    <w:rPr>
                      <w:rFonts w:hint="eastAsia" w:eastAsia="宋体"/>
                      <w:color w:val="auto"/>
                      <w:lang w:val="en-US" w:eastAsia="zh-CN"/>
                    </w:rPr>
                  </w:pPr>
                  <w:r>
                    <w:rPr>
                      <w:rFonts w:hint="eastAsia"/>
                      <w:color w:val="auto"/>
                      <w:lang w:val="en-US" w:eastAsia="zh-CN"/>
                    </w:rPr>
                    <w:t>达标</w:t>
                  </w:r>
                </w:p>
              </w:tc>
            </w:tr>
            <w:tr w14:paraId="2DD9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noWrap w:val="0"/>
                  <w:vAlign w:val="center"/>
                </w:tcPr>
                <w:p w14:paraId="29B6308E">
                  <w:pPr>
                    <w:snapToGrid w:val="0"/>
                    <w:contextualSpacing/>
                    <w:jc w:val="center"/>
                    <w:rPr>
                      <w:rFonts w:hint="eastAsia" w:ascii="Times New Roman" w:hAnsi="Times New Roman" w:eastAsia="宋体" w:cs="Times New Roman"/>
                      <w:color w:val="auto"/>
                      <w:kern w:val="0"/>
                      <w:szCs w:val="21"/>
                    </w:rPr>
                  </w:pPr>
                  <w:r>
                    <w:rPr>
                      <w:rFonts w:hint="eastAsia" w:cs="Times New Roman"/>
                      <w:color w:val="auto"/>
                      <w:kern w:val="0"/>
                      <w:szCs w:val="21"/>
                      <w:lang w:val="en-US" w:eastAsia="zh-CN"/>
                    </w:rPr>
                    <w:t>东南</w:t>
                  </w:r>
                  <w:r>
                    <w:rPr>
                      <w:rFonts w:hint="eastAsia" w:ascii="Times New Roman" w:hAnsi="Times New Roman" w:eastAsia="宋体" w:cs="Times New Roman"/>
                      <w:color w:val="auto"/>
                      <w:kern w:val="0"/>
                      <w:szCs w:val="21"/>
                    </w:rPr>
                    <w:t>侧居民点</w:t>
                  </w:r>
                </w:p>
              </w:tc>
              <w:tc>
                <w:tcPr>
                  <w:tcW w:w="1060" w:type="pct"/>
                  <w:vMerge w:val="continue"/>
                  <w:noWrap w:val="0"/>
                  <w:vAlign w:val="center"/>
                </w:tcPr>
                <w:p w14:paraId="17338B5E">
                  <w:pPr>
                    <w:pStyle w:val="352"/>
                    <w:rPr>
                      <w:rFonts w:hint="eastAsia"/>
                      <w:color w:val="auto"/>
                    </w:rPr>
                  </w:pPr>
                </w:p>
              </w:tc>
              <w:tc>
                <w:tcPr>
                  <w:tcW w:w="395" w:type="pct"/>
                  <w:noWrap w:val="0"/>
                  <w:vAlign w:val="center"/>
                </w:tcPr>
                <w:p w14:paraId="03969795">
                  <w:pPr>
                    <w:pStyle w:val="352"/>
                    <w:rPr>
                      <w:color w:val="auto"/>
                    </w:rPr>
                  </w:pPr>
                  <w:r>
                    <w:rPr>
                      <w:rFonts w:hint="eastAsia"/>
                      <w:color w:val="auto"/>
                      <w:lang w:val="en-US" w:eastAsia="zh-CN"/>
                    </w:rPr>
                    <w:t>51.9</w:t>
                  </w:r>
                </w:p>
              </w:tc>
              <w:tc>
                <w:tcPr>
                  <w:tcW w:w="395" w:type="pct"/>
                  <w:noWrap w:val="0"/>
                  <w:vAlign w:val="center"/>
                </w:tcPr>
                <w:p w14:paraId="3C28FE49">
                  <w:pPr>
                    <w:pStyle w:val="352"/>
                    <w:rPr>
                      <w:color w:val="auto"/>
                    </w:rPr>
                  </w:pPr>
                  <w:r>
                    <w:rPr>
                      <w:rFonts w:hint="eastAsia"/>
                      <w:color w:val="auto"/>
                      <w:lang w:val="en-US" w:eastAsia="zh-CN"/>
                    </w:rPr>
                    <w:t>43.5</w:t>
                  </w:r>
                </w:p>
              </w:tc>
              <w:tc>
                <w:tcPr>
                  <w:tcW w:w="788" w:type="pct"/>
                  <w:vMerge w:val="continue"/>
                  <w:noWrap w:val="0"/>
                  <w:vAlign w:val="center"/>
                </w:tcPr>
                <w:p w14:paraId="0AF8362D">
                  <w:pPr>
                    <w:pStyle w:val="352"/>
                    <w:rPr>
                      <w:rFonts w:hint="eastAsia"/>
                      <w:color w:val="auto"/>
                    </w:rPr>
                  </w:pPr>
                </w:p>
              </w:tc>
              <w:tc>
                <w:tcPr>
                  <w:tcW w:w="788" w:type="pct"/>
                  <w:vMerge w:val="continue"/>
                  <w:noWrap w:val="0"/>
                  <w:vAlign w:val="center"/>
                </w:tcPr>
                <w:p w14:paraId="5B936F55">
                  <w:pPr>
                    <w:pStyle w:val="352"/>
                    <w:rPr>
                      <w:rFonts w:hint="eastAsia"/>
                      <w:color w:val="auto"/>
                    </w:rPr>
                  </w:pPr>
                </w:p>
              </w:tc>
              <w:tc>
                <w:tcPr>
                  <w:tcW w:w="657" w:type="pct"/>
                  <w:vMerge w:val="continue"/>
                  <w:noWrap w:val="0"/>
                  <w:vAlign w:val="center"/>
                </w:tcPr>
                <w:p w14:paraId="084D3595">
                  <w:pPr>
                    <w:pStyle w:val="352"/>
                    <w:rPr>
                      <w:rFonts w:hint="eastAsia"/>
                      <w:color w:val="auto"/>
                    </w:rPr>
                  </w:pPr>
                </w:p>
              </w:tc>
            </w:tr>
            <w:tr w14:paraId="709C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shd w:val="clear" w:color="auto" w:fill="auto"/>
                  <w:noWrap w:val="0"/>
                  <w:vAlign w:val="center"/>
                </w:tcPr>
                <w:p w14:paraId="1F73EF13">
                  <w:pPr>
                    <w:snapToGrid w:val="0"/>
                    <w:contextualSpacing/>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东北</w:t>
                  </w:r>
                  <w:r>
                    <w:rPr>
                      <w:rFonts w:hint="eastAsia" w:ascii="Times New Roman" w:hAnsi="Times New Roman" w:eastAsia="宋体" w:cs="Times New Roman"/>
                      <w:color w:val="auto"/>
                      <w:kern w:val="0"/>
                      <w:szCs w:val="21"/>
                      <w:lang w:val="en-US" w:eastAsia="zh-CN"/>
                    </w:rPr>
                    <w:t>侧居民点</w:t>
                  </w:r>
                </w:p>
              </w:tc>
              <w:tc>
                <w:tcPr>
                  <w:tcW w:w="1060" w:type="pct"/>
                  <w:vMerge w:val="restart"/>
                  <w:noWrap w:val="0"/>
                  <w:vAlign w:val="center"/>
                </w:tcPr>
                <w:p w14:paraId="17129A16">
                  <w:pPr>
                    <w:pStyle w:val="352"/>
                    <w:rPr>
                      <w:rFonts w:hint="eastAsia"/>
                      <w:color w:val="auto"/>
                    </w:rPr>
                  </w:pPr>
                  <w:r>
                    <w:rPr>
                      <w:rFonts w:hint="eastAsia"/>
                      <w:color w:val="auto"/>
                      <w:spacing w:val="-2"/>
                      <w:szCs w:val="21"/>
                    </w:rPr>
                    <w:t>202</w:t>
                  </w:r>
                  <w:r>
                    <w:rPr>
                      <w:rFonts w:hint="eastAsia"/>
                      <w:color w:val="auto"/>
                      <w:spacing w:val="-2"/>
                      <w:szCs w:val="21"/>
                      <w:lang w:val="en-US" w:eastAsia="zh-CN"/>
                    </w:rPr>
                    <w:t>5</w:t>
                  </w:r>
                  <w:r>
                    <w:rPr>
                      <w:rFonts w:hint="eastAsia"/>
                      <w:color w:val="auto"/>
                      <w:spacing w:val="-2"/>
                      <w:szCs w:val="21"/>
                    </w:rPr>
                    <w:t>年</w:t>
                  </w:r>
                  <w:r>
                    <w:rPr>
                      <w:rFonts w:hint="eastAsia"/>
                      <w:color w:val="auto"/>
                      <w:spacing w:val="-2"/>
                      <w:szCs w:val="21"/>
                      <w:lang w:val="en-US" w:eastAsia="zh-CN"/>
                    </w:rPr>
                    <w:t>7</w:t>
                  </w:r>
                  <w:r>
                    <w:rPr>
                      <w:rFonts w:hint="eastAsia"/>
                      <w:color w:val="auto"/>
                      <w:spacing w:val="-2"/>
                      <w:szCs w:val="21"/>
                    </w:rPr>
                    <w:t>月</w:t>
                  </w:r>
                  <w:r>
                    <w:rPr>
                      <w:rFonts w:hint="eastAsia"/>
                      <w:color w:val="auto"/>
                      <w:spacing w:val="-2"/>
                      <w:szCs w:val="21"/>
                      <w:lang w:val="en-US" w:eastAsia="zh-CN"/>
                    </w:rPr>
                    <w:t>4</w:t>
                  </w:r>
                  <w:r>
                    <w:rPr>
                      <w:rFonts w:hint="eastAsia"/>
                      <w:color w:val="auto"/>
                      <w:spacing w:val="-2"/>
                      <w:szCs w:val="21"/>
                    </w:rPr>
                    <w:t>日</w:t>
                  </w:r>
                </w:p>
              </w:tc>
              <w:tc>
                <w:tcPr>
                  <w:tcW w:w="395" w:type="pct"/>
                  <w:noWrap w:val="0"/>
                  <w:vAlign w:val="center"/>
                </w:tcPr>
                <w:p w14:paraId="4B496A44">
                  <w:pPr>
                    <w:pStyle w:val="352"/>
                    <w:rPr>
                      <w:rFonts w:hint="default" w:eastAsia="宋体"/>
                      <w:color w:val="auto"/>
                      <w:lang w:val="en-US" w:eastAsia="zh-CN"/>
                    </w:rPr>
                  </w:pPr>
                  <w:r>
                    <w:rPr>
                      <w:rFonts w:hint="eastAsia"/>
                      <w:color w:val="auto"/>
                      <w:lang w:val="en-US" w:eastAsia="zh-CN"/>
                    </w:rPr>
                    <w:t>52.9</w:t>
                  </w:r>
                </w:p>
              </w:tc>
              <w:tc>
                <w:tcPr>
                  <w:tcW w:w="395" w:type="pct"/>
                  <w:noWrap w:val="0"/>
                  <w:vAlign w:val="center"/>
                </w:tcPr>
                <w:p w14:paraId="3FE5B9FC">
                  <w:pPr>
                    <w:pStyle w:val="352"/>
                    <w:rPr>
                      <w:rFonts w:hint="default" w:eastAsia="宋体"/>
                      <w:color w:val="auto"/>
                      <w:lang w:val="en-US" w:eastAsia="zh-CN"/>
                    </w:rPr>
                  </w:pPr>
                  <w:r>
                    <w:rPr>
                      <w:rFonts w:hint="eastAsia"/>
                      <w:color w:val="auto"/>
                      <w:lang w:val="en-US" w:eastAsia="zh-CN"/>
                    </w:rPr>
                    <w:t>43.6</w:t>
                  </w:r>
                </w:p>
              </w:tc>
              <w:tc>
                <w:tcPr>
                  <w:tcW w:w="788" w:type="pct"/>
                  <w:vMerge w:val="continue"/>
                  <w:noWrap w:val="0"/>
                  <w:vAlign w:val="center"/>
                </w:tcPr>
                <w:p w14:paraId="26DF21D7">
                  <w:pPr>
                    <w:pStyle w:val="352"/>
                    <w:rPr>
                      <w:rFonts w:hint="eastAsia"/>
                      <w:color w:val="auto"/>
                    </w:rPr>
                  </w:pPr>
                </w:p>
              </w:tc>
              <w:tc>
                <w:tcPr>
                  <w:tcW w:w="788" w:type="pct"/>
                  <w:vMerge w:val="continue"/>
                  <w:noWrap w:val="0"/>
                  <w:vAlign w:val="center"/>
                </w:tcPr>
                <w:p w14:paraId="2EA24E2A">
                  <w:pPr>
                    <w:pStyle w:val="352"/>
                    <w:rPr>
                      <w:rFonts w:hint="eastAsia"/>
                      <w:color w:val="auto"/>
                    </w:rPr>
                  </w:pPr>
                </w:p>
              </w:tc>
              <w:tc>
                <w:tcPr>
                  <w:tcW w:w="657" w:type="pct"/>
                  <w:vMerge w:val="continue"/>
                  <w:noWrap w:val="0"/>
                  <w:vAlign w:val="center"/>
                </w:tcPr>
                <w:p w14:paraId="42BD9707">
                  <w:pPr>
                    <w:pStyle w:val="352"/>
                    <w:rPr>
                      <w:rFonts w:hint="eastAsia"/>
                      <w:color w:val="auto"/>
                    </w:rPr>
                  </w:pPr>
                </w:p>
              </w:tc>
            </w:tr>
            <w:tr w14:paraId="6A09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shd w:val="clear" w:color="auto" w:fill="auto"/>
                  <w:noWrap w:val="0"/>
                  <w:vAlign w:val="center"/>
                </w:tcPr>
                <w:p w14:paraId="5BE3ED5E">
                  <w:pPr>
                    <w:snapToGrid w:val="0"/>
                    <w:contextualSpacing/>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东南</w:t>
                  </w:r>
                  <w:r>
                    <w:rPr>
                      <w:rFonts w:hint="eastAsia" w:ascii="Times New Roman" w:hAnsi="Times New Roman" w:eastAsia="宋体" w:cs="Times New Roman"/>
                      <w:color w:val="auto"/>
                      <w:kern w:val="0"/>
                      <w:szCs w:val="21"/>
                    </w:rPr>
                    <w:t>侧居民点</w:t>
                  </w:r>
                </w:p>
              </w:tc>
              <w:tc>
                <w:tcPr>
                  <w:tcW w:w="1060" w:type="pct"/>
                  <w:vMerge w:val="continue"/>
                  <w:noWrap w:val="0"/>
                  <w:vAlign w:val="center"/>
                </w:tcPr>
                <w:p w14:paraId="3831EFBB">
                  <w:pPr>
                    <w:pStyle w:val="352"/>
                    <w:rPr>
                      <w:rFonts w:hint="eastAsia"/>
                      <w:color w:val="auto"/>
                    </w:rPr>
                  </w:pPr>
                </w:p>
              </w:tc>
              <w:tc>
                <w:tcPr>
                  <w:tcW w:w="395" w:type="pct"/>
                  <w:noWrap w:val="0"/>
                  <w:vAlign w:val="center"/>
                </w:tcPr>
                <w:p w14:paraId="0A6B7591">
                  <w:pPr>
                    <w:pStyle w:val="352"/>
                    <w:rPr>
                      <w:rFonts w:hint="default" w:eastAsia="宋体"/>
                      <w:color w:val="auto"/>
                      <w:lang w:val="en-US" w:eastAsia="zh-CN"/>
                    </w:rPr>
                  </w:pPr>
                  <w:r>
                    <w:rPr>
                      <w:rFonts w:hint="eastAsia"/>
                      <w:color w:val="auto"/>
                      <w:lang w:val="en-US" w:eastAsia="zh-CN"/>
                    </w:rPr>
                    <w:t>51.4</w:t>
                  </w:r>
                </w:p>
              </w:tc>
              <w:tc>
                <w:tcPr>
                  <w:tcW w:w="395" w:type="pct"/>
                  <w:noWrap w:val="0"/>
                  <w:vAlign w:val="center"/>
                </w:tcPr>
                <w:p w14:paraId="6CB6E315">
                  <w:pPr>
                    <w:pStyle w:val="352"/>
                    <w:rPr>
                      <w:rFonts w:hint="default" w:eastAsia="宋体"/>
                      <w:color w:val="auto"/>
                      <w:lang w:val="en-US" w:eastAsia="zh-CN"/>
                    </w:rPr>
                  </w:pPr>
                  <w:r>
                    <w:rPr>
                      <w:rFonts w:hint="eastAsia"/>
                      <w:color w:val="auto"/>
                      <w:lang w:val="en-US" w:eastAsia="zh-CN"/>
                    </w:rPr>
                    <w:t>42.8</w:t>
                  </w:r>
                </w:p>
              </w:tc>
              <w:tc>
                <w:tcPr>
                  <w:tcW w:w="788" w:type="pct"/>
                  <w:vMerge w:val="continue"/>
                  <w:noWrap w:val="0"/>
                  <w:vAlign w:val="center"/>
                </w:tcPr>
                <w:p w14:paraId="6C533A32">
                  <w:pPr>
                    <w:pStyle w:val="352"/>
                    <w:rPr>
                      <w:rFonts w:hint="eastAsia"/>
                      <w:color w:val="auto"/>
                    </w:rPr>
                  </w:pPr>
                </w:p>
              </w:tc>
              <w:tc>
                <w:tcPr>
                  <w:tcW w:w="788" w:type="pct"/>
                  <w:vMerge w:val="continue"/>
                  <w:noWrap w:val="0"/>
                  <w:vAlign w:val="center"/>
                </w:tcPr>
                <w:p w14:paraId="1A5BD619">
                  <w:pPr>
                    <w:pStyle w:val="352"/>
                    <w:rPr>
                      <w:rFonts w:hint="eastAsia"/>
                      <w:color w:val="auto"/>
                    </w:rPr>
                  </w:pPr>
                </w:p>
              </w:tc>
              <w:tc>
                <w:tcPr>
                  <w:tcW w:w="657" w:type="pct"/>
                  <w:vMerge w:val="continue"/>
                  <w:noWrap w:val="0"/>
                  <w:vAlign w:val="center"/>
                </w:tcPr>
                <w:p w14:paraId="0E34660D">
                  <w:pPr>
                    <w:pStyle w:val="352"/>
                    <w:rPr>
                      <w:rFonts w:hint="eastAsia"/>
                      <w:color w:val="auto"/>
                    </w:rPr>
                  </w:pPr>
                </w:p>
              </w:tc>
            </w:tr>
          </w:tbl>
          <w:p w14:paraId="2FCFD712">
            <w:pPr>
              <w:spacing w:line="360" w:lineRule="auto"/>
              <w:ind w:firstLine="480" w:firstLineChars="200"/>
              <w:rPr>
                <w:rFonts w:hint="eastAsia"/>
                <w:sz w:val="24"/>
                <w:lang w:val="en-GB"/>
              </w:rPr>
            </w:pPr>
            <w:r>
              <w:rPr>
                <w:rFonts w:hint="eastAsia"/>
                <w:sz w:val="24"/>
                <w:lang w:val="en-GB"/>
              </w:rPr>
              <w:t>由上表可知，声环境敏感目标监测值满足《声环境质量标准》（GB 3096-2008）中2类区标准。</w:t>
            </w:r>
          </w:p>
          <w:p w14:paraId="495FD9D9">
            <w:pPr>
              <w:keepNext w:val="0"/>
              <w:keepLines w:val="0"/>
              <w:pageBreakBefore w:val="0"/>
              <w:kinsoku/>
              <w:wordWrap/>
              <w:overflowPunct/>
              <w:topLinePunct w:val="0"/>
              <w:autoSpaceDE/>
              <w:autoSpaceDN/>
              <w:bidi w:val="0"/>
              <w:adjustRightInd w:val="0"/>
              <w:snapToGrid w:val="0"/>
              <w:spacing w:line="360" w:lineRule="auto"/>
              <w:textAlignment w:val="auto"/>
              <w:rPr>
                <w:b/>
                <w:sz w:val="24"/>
              </w:rPr>
            </w:pPr>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4 </w:t>
            </w:r>
            <w:r>
              <w:rPr>
                <w:b/>
                <w:sz w:val="24"/>
              </w:rPr>
              <w:t>生态环境质量现状及评价</w:t>
            </w:r>
          </w:p>
          <w:p w14:paraId="1992559D">
            <w:pPr>
              <w:pStyle w:val="243"/>
              <w:keepNext w:val="0"/>
              <w:keepLines w:val="0"/>
              <w:pageBreakBefore w:val="0"/>
              <w:widowControl/>
              <w:kinsoku/>
              <w:wordWrap/>
              <w:overflowPunct/>
              <w:topLinePunct w:val="0"/>
              <w:autoSpaceDE/>
              <w:autoSpaceDN/>
              <w:bidi w:val="0"/>
              <w:adjustRightInd w:val="0"/>
              <w:snapToGrid w:val="0"/>
              <w:ind w:firstLine="470" w:firstLineChars="196"/>
              <w:jc w:val="both"/>
              <w:textAlignment w:val="auto"/>
              <w:outlineLvl w:val="9"/>
              <w:rPr>
                <w:rFonts w:ascii="Times New Roman" w:hAnsi="Times New Roman"/>
                <w:b w:val="0"/>
                <w:sz w:val="24"/>
                <w:szCs w:val="24"/>
                <w:lang w:val="en-GB"/>
              </w:rPr>
            </w:pPr>
            <w:bookmarkStart w:id="22" w:name="_Toc129615027"/>
            <w:bookmarkStart w:id="23" w:name="_Toc16294"/>
            <w:bookmarkStart w:id="24" w:name="_Toc20956"/>
            <w:r>
              <w:rPr>
                <w:rFonts w:ascii="Times New Roman" w:hAnsi="Times New Roman"/>
                <w:b w:val="0"/>
                <w:sz w:val="24"/>
              </w:rPr>
              <w:t>项目拟建</w:t>
            </w:r>
            <w:r>
              <w:rPr>
                <w:rFonts w:ascii="Times New Roman" w:hAnsi="Times New Roman"/>
                <w:b w:val="0"/>
                <w:sz w:val="24"/>
                <w:szCs w:val="24"/>
                <w:lang w:val="en-GB"/>
              </w:rPr>
              <w:t>区域基本无原生植被，多为人工植被与半人工植被。植被形态主要为绿化林带。通过现场调查和走访，拟建地目前地表裸露，无植被覆盖。项目区域内未发现属于国家保护植物的种类，无珍稀濒危的野生保护植物物种和古大树，不涉及重要植被资源和国家保护种栖息地。</w:t>
            </w:r>
            <w:bookmarkEnd w:id="22"/>
            <w:bookmarkEnd w:id="23"/>
            <w:bookmarkEnd w:id="24"/>
          </w:p>
          <w:p w14:paraId="6D15F895">
            <w:pPr>
              <w:pStyle w:val="243"/>
              <w:keepNext w:val="0"/>
              <w:keepLines w:val="0"/>
              <w:pageBreakBefore w:val="0"/>
              <w:kinsoku/>
              <w:wordWrap/>
              <w:overflowPunct/>
              <w:topLinePunct w:val="0"/>
              <w:autoSpaceDE/>
              <w:autoSpaceDN/>
              <w:bidi w:val="0"/>
              <w:adjustRightInd w:val="0"/>
              <w:snapToGrid w:val="0"/>
              <w:jc w:val="both"/>
              <w:textAlignment w:val="auto"/>
              <w:rPr>
                <w:rFonts w:ascii="Times New Roman" w:hAnsi="Times New Roman"/>
                <w:sz w:val="24"/>
              </w:rPr>
            </w:pPr>
            <w:bookmarkStart w:id="25" w:name="_Toc20149"/>
            <w:bookmarkStart w:id="26" w:name="_Toc19998"/>
            <w:bookmarkStart w:id="27" w:name="_Toc20965"/>
            <w:bookmarkStart w:id="28" w:name="_Toc30385"/>
            <w:bookmarkStart w:id="29" w:name="_Toc10083"/>
            <w:bookmarkStart w:id="30" w:name="_Toc28541"/>
            <w:r>
              <w:rPr>
                <w:rFonts w:hint="eastAsia"/>
                <w:b/>
                <w:bCs w:val="0"/>
                <w:color w:val="auto"/>
                <w:sz w:val="24"/>
                <w:u w:val="none"/>
                <w:lang w:val="en-US" w:eastAsia="zh-CN"/>
              </w:rPr>
              <w:t>3</w:t>
            </w:r>
            <w:r>
              <w:rPr>
                <w:rFonts w:hint="eastAsia"/>
                <w:b/>
                <w:bCs w:val="0"/>
                <w:color w:val="auto"/>
                <w:sz w:val="24"/>
                <w:u w:val="none"/>
              </w:rPr>
              <w:t>.</w:t>
            </w:r>
            <w:r>
              <w:rPr>
                <w:rFonts w:hint="eastAsia"/>
                <w:b/>
                <w:bCs w:val="0"/>
                <w:color w:val="auto"/>
                <w:sz w:val="24"/>
                <w:u w:val="none"/>
                <w:lang w:val="en-US" w:eastAsia="zh-CN"/>
              </w:rPr>
              <w:t xml:space="preserve">5 </w:t>
            </w:r>
            <w:r>
              <w:rPr>
                <w:rFonts w:hint="eastAsia" w:ascii="Times New Roman" w:hAnsi="Times New Roman"/>
                <w:sz w:val="24"/>
              </w:rPr>
              <w:t>地下水</w:t>
            </w:r>
            <w:r>
              <w:rPr>
                <w:rFonts w:hint="eastAsia" w:ascii="Times New Roman" w:hAnsi="Times New Roman"/>
                <w:sz w:val="24"/>
                <w:lang w:eastAsia="zh-CN"/>
              </w:rPr>
              <w:t>、</w:t>
            </w:r>
            <w:r>
              <w:rPr>
                <w:rFonts w:hint="eastAsia" w:ascii="Times New Roman" w:hAnsi="Times New Roman"/>
                <w:sz w:val="24"/>
                <w:lang w:val="en-US" w:eastAsia="zh-CN"/>
              </w:rPr>
              <w:t>土壤</w:t>
            </w:r>
            <w:r>
              <w:rPr>
                <w:rFonts w:ascii="Times New Roman" w:hAnsi="Times New Roman"/>
                <w:sz w:val="24"/>
              </w:rPr>
              <w:t>环境现状评价</w:t>
            </w:r>
            <w:bookmarkEnd w:id="25"/>
            <w:bookmarkEnd w:id="26"/>
            <w:bookmarkEnd w:id="27"/>
            <w:bookmarkEnd w:id="28"/>
            <w:bookmarkEnd w:id="29"/>
            <w:bookmarkEnd w:id="30"/>
          </w:p>
          <w:p w14:paraId="59F84FC8">
            <w:pPr>
              <w:pStyle w:val="118"/>
              <w:spacing w:line="360" w:lineRule="auto"/>
              <w:ind w:firstLine="480" w:firstLineChars="200"/>
            </w:pPr>
            <w:r>
              <w:rPr>
                <w:rFonts w:hint="eastAsia"/>
                <w:bCs/>
              </w:rPr>
              <w:t>根据加油站介绍及同类相关加油站的调查发现，加油站储油罐采用地埋式贮存，储罐采用双层罐含内衬，而且罐区均需进行防腐防渗处理，并设置自动监测报警装置（双层罐泄漏检测仪由渗漏检测传感器、渗漏检测仪及相关附件组成。该测漏仪具有油水区分和实时监测功能，专门针对双层油罐夹层间的油水监测而设计。当夹层间发生渗漏时，夹层内的液体会接触到传感器，传感器会发出电子信号给渗漏检测仪，当检测仪接收到传感器发出信号后，程序会自动判断出油水渗漏并进行灯光和声频报警，用户会根据报警情况，及时作出响应并采取相应的应对措施，避免安全隐患和环境污染。）因此，罐区基本上不存在污染途径，根据《建设项目环境影响报告表编制技术指南》（污染影响类）（试行），本项目可不开展地下水</w:t>
            </w:r>
            <w:r>
              <w:rPr>
                <w:rFonts w:hint="eastAsia"/>
                <w:bCs/>
                <w:lang w:eastAsia="zh-CN"/>
              </w:rPr>
              <w:t>、</w:t>
            </w:r>
            <w:r>
              <w:rPr>
                <w:rFonts w:hint="eastAsia"/>
                <w:bCs/>
                <w:lang w:val="en-US" w:eastAsia="zh-CN"/>
              </w:rPr>
              <w:t>土壤</w:t>
            </w:r>
            <w:r>
              <w:rPr>
                <w:rFonts w:hint="eastAsia"/>
                <w:bCs/>
              </w:rPr>
              <w:t>环境现状调查。</w:t>
            </w:r>
          </w:p>
        </w:tc>
      </w:tr>
      <w:tr w14:paraId="4CFA0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9" w:hRule="atLeast"/>
          <w:jc w:val="center"/>
        </w:trPr>
        <w:tc>
          <w:tcPr>
            <w:tcW w:w="251" w:type="pct"/>
            <w:vAlign w:val="center"/>
          </w:tcPr>
          <w:p w14:paraId="65085F13">
            <w:pPr>
              <w:adjustRightInd w:val="0"/>
              <w:snapToGrid w:val="0"/>
              <w:jc w:val="center"/>
              <w:rPr>
                <w:kern w:val="0"/>
                <w:sz w:val="24"/>
              </w:rPr>
            </w:pPr>
            <w:r>
              <w:rPr>
                <w:kern w:val="0"/>
                <w:sz w:val="24"/>
              </w:rPr>
              <w:t>环境</w:t>
            </w:r>
          </w:p>
          <w:p w14:paraId="305A5BAA">
            <w:pPr>
              <w:adjustRightInd w:val="0"/>
              <w:snapToGrid w:val="0"/>
              <w:jc w:val="center"/>
              <w:rPr>
                <w:kern w:val="0"/>
                <w:sz w:val="24"/>
              </w:rPr>
            </w:pPr>
            <w:r>
              <w:rPr>
                <w:kern w:val="0"/>
                <w:sz w:val="24"/>
              </w:rPr>
              <w:t>保护</w:t>
            </w:r>
          </w:p>
          <w:p w14:paraId="5ED83B3D">
            <w:pPr>
              <w:adjustRightInd w:val="0"/>
              <w:snapToGrid w:val="0"/>
              <w:jc w:val="center"/>
              <w:rPr>
                <w:kern w:val="0"/>
                <w:sz w:val="24"/>
              </w:rPr>
            </w:pPr>
            <w:r>
              <w:rPr>
                <w:kern w:val="0"/>
                <w:sz w:val="24"/>
              </w:rPr>
              <w:t>目标</w:t>
            </w:r>
          </w:p>
        </w:tc>
        <w:tc>
          <w:tcPr>
            <w:tcW w:w="4748" w:type="pct"/>
            <w:vAlign w:val="center"/>
          </w:tcPr>
          <w:p w14:paraId="36E59197">
            <w:pPr>
              <w:adjustRightInd w:val="0"/>
              <w:snapToGrid w:val="0"/>
              <w:spacing w:line="360" w:lineRule="auto"/>
              <w:ind w:firstLine="480" w:firstLineChars="200"/>
              <w:jc w:val="left"/>
              <w:rPr>
                <w:rFonts w:hint="eastAsia" w:eastAsia="宋体"/>
                <w:sz w:val="24"/>
                <w:u w:val="none"/>
                <w:lang w:eastAsia="zh-CN"/>
              </w:rPr>
            </w:pPr>
            <w:r>
              <w:rPr>
                <w:color w:val="000000"/>
                <w:kern w:val="0"/>
                <w:sz w:val="24"/>
                <w:u w:val="none"/>
              </w:rPr>
              <w:t>根据现场踏勘和环境现状调查，本</w:t>
            </w:r>
            <w:r>
              <w:rPr>
                <w:bCs/>
                <w:kern w:val="1"/>
                <w:sz w:val="24"/>
                <w:u w:val="none"/>
              </w:rPr>
              <w:t>项目周边主要环境保护目标及环境保护执行标准</w:t>
            </w:r>
            <w:r>
              <w:rPr>
                <w:kern w:val="1"/>
                <w:sz w:val="24"/>
                <w:u w:val="none"/>
              </w:rPr>
              <w:t>见</w:t>
            </w:r>
            <w:r>
              <w:rPr>
                <w:rFonts w:hint="eastAsia"/>
                <w:kern w:val="1"/>
                <w:sz w:val="24"/>
                <w:u w:val="none"/>
                <w:lang w:val="en-US" w:eastAsia="zh-CN"/>
              </w:rPr>
              <w:t>下表</w:t>
            </w:r>
            <w:r>
              <w:rPr>
                <w:rFonts w:hint="eastAsia"/>
                <w:sz w:val="24"/>
                <w:u w:val="none"/>
                <w:lang w:eastAsia="zh-CN"/>
              </w:rPr>
              <w:t>：</w:t>
            </w:r>
          </w:p>
          <w:p w14:paraId="0F28CEFB">
            <w:pPr>
              <w:spacing w:line="480" w:lineRule="exact"/>
              <w:jc w:val="center"/>
              <w:rPr>
                <w:b/>
                <w:spacing w:val="4"/>
                <w:sz w:val="24"/>
                <w:szCs w:val="24"/>
                <w:u w:val="none"/>
              </w:rPr>
            </w:pPr>
            <w:r>
              <w:rPr>
                <w:b/>
                <w:spacing w:val="4"/>
                <w:sz w:val="24"/>
                <w:szCs w:val="24"/>
                <w:u w:val="none"/>
              </w:rPr>
              <w:t>表3-</w:t>
            </w:r>
            <w:r>
              <w:rPr>
                <w:rFonts w:hint="eastAsia"/>
                <w:b/>
                <w:spacing w:val="4"/>
                <w:sz w:val="24"/>
                <w:szCs w:val="24"/>
                <w:u w:val="none"/>
                <w:lang w:val="en-US" w:eastAsia="zh-CN"/>
              </w:rPr>
              <w:t>3</w:t>
            </w:r>
            <w:r>
              <w:rPr>
                <w:b/>
                <w:spacing w:val="4"/>
                <w:sz w:val="24"/>
                <w:szCs w:val="24"/>
                <w:u w:val="none"/>
              </w:rPr>
              <w:t xml:space="preserve"> </w:t>
            </w:r>
            <w:r>
              <w:rPr>
                <w:rFonts w:hint="eastAsia"/>
                <w:b/>
                <w:spacing w:val="4"/>
                <w:sz w:val="24"/>
                <w:szCs w:val="24"/>
                <w:u w:val="none"/>
                <w:lang w:val="en-US" w:eastAsia="zh-CN"/>
              </w:rPr>
              <w:t>大气环境</w:t>
            </w:r>
            <w:r>
              <w:rPr>
                <w:b/>
                <w:color w:val="000000"/>
                <w:spacing w:val="4"/>
                <w:sz w:val="24"/>
                <w:szCs w:val="24"/>
                <w:u w:val="none"/>
              </w:rPr>
              <w:t>保护目标</w:t>
            </w:r>
            <w:r>
              <w:rPr>
                <w:rFonts w:hint="default" w:ascii="Times New Roman" w:hAnsi="Times New Roman" w:eastAsia="宋体" w:cs="Times New Roman"/>
                <w:b/>
                <w:bCs/>
                <w:color w:val="000000"/>
                <w:kern w:val="0"/>
                <w:sz w:val="24"/>
                <w:szCs w:val="24"/>
                <w:lang w:bidi="ar"/>
              </w:rPr>
              <w:t>一览表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18"/>
              <w:gridCol w:w="1238"/>
              <w:gridCol w:w="1149"/>
              <w:gridCol w:w="678"/>
              <w:gridCol w:w="1035"/>
              <w:gridCol w:w="758"/>
              <w:gridCol w:w="840"/>
              <w:gridCol w:w="1250"/>
            </w:tblGrid>
            <w:tr w14:paraId="03E5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restart"/>
                  <w:tcBorders>
                    <w:tl2br w:val="nil"/>
                    <w:tr2bl w:val="nil"/>
                  </w:tcBorders>
                  <w:noWrap w:val="0"/>
                  <w:vAlign w:val="center"/>
                </w:tcPr>
                <w:p w14:paraId="6EE98AA0">
                  <w:pPr>
                    <w:snapToGrid w:val="0"/>
                    <w:jc w:val="center"/>
                    <w:rPr>
                      <w:rFonts w:hint="default" w:eastAsia="宋体"/>
                      <w:b/>
                      <w:bCs/>
                      <w:spacing w:val="4"/>
                      <w:szCs w:val="21"/>
                      <w:u w:val="single"/>
                      <w:lang w:val="en-US" w:eastAsia="zh-CN"/>
                    </w:rPr>
                  </w:pPr>
                  <w:r>
                    <w:rPr>
                      <w:rFonts w:hint="eastAsia"/>
                      <w:b/>
                      <w:bCs/>
                      <w:spacing w:val="4"/>
                      <w:szCs w:val="21"/>
                      <w:u w:val="single"/>
                      <w:lang w:val="en-US" w:eastAsia="zh-CN"/>
                    </w:rPr>
                    <w:t>序号</w:t>
                  </w:r>
                </w:p>
              </w:tc>
              <w:tc>
                <w:tcPr>
                  <w:tcW w:w="547" w:type="pct"/>
                  <w:vMerge w:val="restart"/>
                  <w:tcBorders>
                    <w:tl2br w:val="nil"/>
                    <w:tr2bl w:val="nil"/>
                  </w:tcBorders>
                  <w:noWrap w:val="0"/>
                  <w:vAlign w:val="center"/>
                </w:tcPr>
                <w:p w14:paraId="203B7CBD">
                  <w:pPr>
                    <w:snapToGrid w:val="0"/>
                    <w:jc w:val="center"/>
                    <w:rPr>
                      <w:rFonts w:hint="eastAsia"/>
                      <w:b/>
                      <w:bCs/>
                      <w:spacing w:val="4"/>
                      <w:szCs w:val="21"/>
                      <w:u w:val="single"/>
                    </w:rPr>
                  </w:pPr>
                  <w:r>
                    <w:rPr>
                      <w:rFonts w:hint="eastAsia"/>
                      <w:b/>
                      <w:bCs/>
                      <w:spacing w:val="4"/>
                      <w:szCs w:val="21"/>
                      <w:u w:val="single"/>
                    </w:rPr>
                    <w:t>名称</w:t>
                  </w:r>
                </w:p>
              </w:tc>
              <w:tc>
                <w:tcPr>
                  <w:tcW w:w="1423" w:type="pct"/>
                  <w:gridSpan w:val="2"/>
                  <w:tcBorders>
                    <w:tl2br w:val="nil"/>
                    <w:tr2bl w:val="nil"/>
                  </w:tcBorders>
                  <w:noWrap w:val="0"/>
                  <w:vAlign w:val="center"/>
                </w:tcPr>
                <w:p w14:paraId="40359FF7">
                  <w:pPr>
                    <w:snapToGrid w:val="0"/>
                    <w:jc w:val="center"/>
                    <w:rPr>
                      <w:b/>
                      <w:bCs/>
                      <w:spacing w:val="4"/>
                      <w:u w:val="single"/>
                    </w:rPr>
                  </w:pPr>
                  <w:r>
                    <w:rPr>
                      <w:rFonts w:hint="eastAsia"/>
                      <w:b/>
                      <w:bCs/>
                      <w:spacing w:val="4"/>
                      <w:szCs w:val="21"/>
                      <w:u w:val="single"/>
                    </w:rPr>
                    <w:t>坐标</w:t>
                  </w:r>
                  <w:bookmarkStart w:id="31" w:name="_Toc299634783"/>
                </w:p>
                <w:bookmarkEnd w:id="31"/>
              </w:tc>
              <w:tc>
                <w:tcPr>
                  <w:tcW w:w="404" w:type="pct"/>
                  <w:vMerge w:val="restart"/>
                  <w:tcBorders>
                    <w:tl2br w:val="nil"/>
                    <w:tr2bl w:val="nil"/>
                  </w:tcBorders>
                  <w:noWrap w:val="0"/>
                  <w:vAlign w:val="center"/>
                </w:tcPr>
                <w:p w14:paraId="3427F668">
                  <w:pPr>
                    <w:snapToGrid w:val="0"/>
                    <w:jc w:val="center"/>
                    <w:rPr>
                      <w:rFonts w:hint="eastAsia"/>
                      <w:b/>
                      <w:bCs/>
                      <w:spacing w:val="4"/>
                      <w:szCs w:val="21"/>
                      <w:u w:val="single"/>
                    </w:rPr>
                  </w:pPr>
                  <w:r>
                    <w:rPr>
                      <w:rFonts w:hint="eastAsia"/>
                      <w:b/>
                      <w:bCs/>
                      <w:spacing w:val="4"/>
                      <w:u w:val="single"/>
                    </w:rPr>
                    <w:t>保护对象</w:t>
                  </w:r>
                </w:p>
              </w:tc>
              <w:tc>
                <w:tcPr>
                  <w:tcW w:w="617" w:type="pct"/>
                  <w:vMerge w:val="restart"/>
                  <w:tcBorders>
                    <w:tl2br w:val="nil"/>
                    <w:tr2bl w:val="nil"/>
                  </w:tcBorders>
                  <w:noWrap w:val="0"/>
                  <w:vAlign w:val="center"/>
                </w:tcPr>
                <w:p w14:paraId="2EEE3CCC">
                  <w:pPr>
                    <w:snapToGrid w:val="0"/>
                    <w:jc w:val="center"/>
                    <w:rPr>
                      <w:rFonts w:hint="eastAsia"/>
                      <w:b/>
                      <w:bCs/>
                      <w:spacing w:val="4"/>
                      <w:szCs w:val="21"/>
                      <w:u w:val="single"/>
                    </w:rPr>
                  </w:pPr>
                  <w:r>
                    <w:rPr>
                      <w:rFonts w:hint="eastAsia"/>
                      <w:b/>
                      <w:bCs/>
                      <w:spacing w:val="4"/>
                      <w:szCs w:val="21"/>
                      <w:u w:val="single"/>
                    </w:rPr>
                    <w:t>保护内容</w:t>
                  </w:r>
                </w:p>
              </w:tc>
              <w:tc>
                <w:tcPr>
                  <w:tcW w:w="452" w:type="pct"/>
                  <w:vMerge w:val="restart"/>
                  <w:tcBorders>
                    <w:tl2br w:val="nil"/>
                    <w:tr2bl w:val="nil"/>
                  </w:tcBorders>
                  <w:noWrap w:val="0"/>
                  <w:vAlign w:val="center"/>
                </w:tcPr>
                <w:p w14:paraId="51302306">
                  <w:pPr>
                    <w:snapToGrid w:val="0"/>
                    <w:jc w:val="center"/>
                    <w:rPr>
                      <w:rFonts w:hint="eastAsia"/>
                      <w:b/>
                      <w:bCs/>
                      <w:spacing w:val="4"/>
                      <w:u w:val="single"/>
                    </w:rPr>
                  </w:pPr>
                  <w:bookmarkStart w:id="32" w:name="_Toc299634785"/>
                  <w:r>
                    <w:rPr>
                      <w:rFonts w:hint="eastAsia"/>
                      <w:b/>
                      <w:bCs/>
                      <w:spacing w:val="4"/>
                      <w:u w:val="single"/>
                    </w:rPr>
                    <w:t>环境功能区</w:t>
                  </w:r>
                </w:p>
                <w:bookmarkEnd w:id="32"/>
              </w:tc>
              <w:tc>
                <w:tcPr>
                  <w:tcW w:w="501" w:type="pct"/>
                  <w:vMerge w:val="restart"/>
                  <w:tcBorders>
                    <w:tl2br w:val="nil"/>
                    <w:tr2bl w:val="nil"/>
                  </w:tcBorders>
                  <w:noWrap w:val="0"/>
                  <w:vAlign w:val="center"/>
                </w:tcPr>
                <w:p w14:paraId="7A18AD63">
                  <w:pPr>
                    <w:snapToGrid w:val="0"/>
                    <w:jc w:val="center"/>
                    <w:rPr>
                      <w:rFonts w:hint="eastAsia"/>
                      <w:b/>
                      <w:bCs/>
                      <w:spacing w:val="4"/>
                      <w:u w:val="single"/>
                    </w:rPr>
                  </w:pPr>
                  <w:r>
                    <w:rPr>
                      <w:rFonts w:hint="eastAsia"/>
                      <w:b/>
                      <w:bCs/>
                      <w:spacing w:val="4"/>
                      <w:u w:val="single"/>
                    </w:rPr>
                    <w:t>相对厂址方位</w:t>
                  </w:r>
                </w:p>
              </w:tc>
              <w:tc>
                <w:tcPr>
                  <w:tcW w:w="745" w:type="pct"/>
                  <w:vMerge w:val="restart"/>
                  <w:tcBorders>
                    <w:tl2br w:val="nil"/>
                    <w:tr2bl w:val="nil"/>
                  </w:tcBorders>
                  <w:noWrap w:val="0"/>
                  <w:vAlign w:val="center"/>
                </w:tcPr>
                <w:p w14:paraId="30F5506D">
                  <w:pPr>
                    <w:snapToGrid w:val="0"/>
                    <w:jc w:val="center"/>
                    <w:rPr>
                      <w:b/>
                      <w:bCs/>
                      <w:spacing w:val="4"/>
                      <w:szCs w:val="21"/>
                      <w:u w:val="single"/>
                    </w:rPr>
                  </w:pPr>
                  <w:r>
                    <w:rPr>
                      <w:rFonts w:hint="eastAsia"/>
                      <w:b/>
                      <w:bCs/>
                      <w:spacing w:val="4"/>
                      <w:szCs w:val="21"/>
                      <w:u w:val="single"/>
                    </w:rPr>
                    <w:t>相对厂界距离/m</w:t>
                  </w:r>
                </w:p>
              </w:tc>
            </w:tr>
            <w:tr w14:paraId="7802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noWrap w:val="0"/>
                  <w:vAlign w:val="center"/>
                </w:tcPr>
                <w:p w14:paraId="3B17418C">
                  <w:pPr>
                    <w:snapToGrid w:val="0"/>
                    <w:jc w:val="center"/>
                    <w:rPr>
                      <w:rFonts w:hint="default"/>
                      <w:u w:val="single"/>
                      <w:lang w:val="en-US"/>
                    </w:rPr>
                  </w:pPr>
                </w:p>
              </w:tc>
              <w:tc>
                <w:tcPr>
                  <w:tcW w:w="547" w:type="pct"/>
                  <w:vMerge w:val="continue"/>
                  <w:tcBorders>
                    <w:tl2br w:val="nil"/>
                    <w:tr2bl w:val="nil"/>
                  </w:tcBorders>
                  <w:noWrap w:val="0"/>
                  <w:vAlign w:val="center"/>
                </w:tcPr>
                <w:p w14:paraId="0D7B3FD6">
                  <w:pPr>
                    <w:snapToGrid w:val="0"/>
                    <w:jc w:val="center"/>
                    <w:rPr>
                      <w:u w:val="single"/>
                    </w:rPr>
                  </w:pPr>
                </w:p>
              </w:tc>
              <w:tc>
                <w:tcPr>
                  <w:tcW w:w="738" w:type="pct"/>
                  <w:tcBorders>
                    <w:tl2br w:val="nil"/>
                    <w:tr2bl w:val="nil"/>
                  </w:tcBorders>
                  <w:noWrap w:val="0"/>
                  <w:vAlign w:val="center"/>
                </w:tcPr>
                <w:p w14:paraId="1420CA15">
                  <w:pPr>
                    <w:snapToGrid w:val="0"/>
                    <w:jc w:val="center"/>
                    <w:rPr>
                      <w:rFonts w:hint="eastAsia"/>
                      <w:b/>
                      <w:bCs/>
                      <w:spacing w:val="4"/>
                      <w:u w:val="single"/>
                    </w:rPr>
                  </w:pPr>
                  <w:r>
                    <w:rPr>
                      <w:rFonts w:hint="eastAsia"/>
                      <w:b/>
                      <w:bCs/>
                      <w:spacing w:val="4"/>
                      <w:u w:val="single"/>
                    </w:rPr>
                    <w:t>东经</w:t>
                  </w:r>
                </w:p>
              </w:tc>
              <w:tc>
                <w:tcPr>
                  <w:tcW w:w="684" w:type="pct"/>
                  <w:tcBorders>
                    <w:tl2br w:val="nil"/>
                    <w:tr2bl w:val="nil"/>
                  </w:tcBorders>
                  <w:noWrap w:val="0"/>
                  <w:vAlign w:val="center"/>
                </w:tcPr>
                <w:p w14:paraId="45D80830">
                  <w:pPr>
                    <w:snapToGrid w:val="0"/>
                    <w:jc w:val="center"/>
                    <w:rPr>
                      <w:rFonts w:hint="eastAsia"/>
                      <w:b/>
                      <w:bCs/>
                      <w:spacing w:val="4"/>
                      <w:u w:val="single"/>
                    </w:rPr>
                  </w:pPr>
                  <w:r>
                    <w:rPr>
                      <w:rFonts w:hint="eastAsia"/>
                      <w:b/>
                      <w:bCs/>
                      <w:spacing w:val="4"/>
                      <w:u w:val="single"/>
                    </w:rPr>
                    <w:t>北纬</w:t>
                  </w:r>
                </w:p>
              </w:tc>
              <w:tc>
                <w:tcPr>
                  <w:tcW w:w="404" w:type="pct"/>
                  <w:vMerge w:val="continue"/>
                  <w:tcBorders>
                    <w:tl2br w:val="nil"/>
                    <w:tr2bl w:val="nil"/>
                  </w:tcBorders>
                  <w:noWrap w:val="0"/>
                  <w:vAlign w:val="center"/>
                </w:tcPr>
                <w:p w14:paraId="674B479B">
                  <w:pPr>
                    <w:snapToGrid w:val="0"/>
                    <w:jc w:val="center"/>
                    <w:rPr>
                      <w:b/>
                      <w:bCs/>
                      <w:spacing w:val="4"/>
                      <w:u w:val="single"/>
                    </w:rPr>
                  </w:pPr>
                </w:p>
              </w:tc>
              <w:tc>
                <w:tcPr>
                  <w:tcW w:w="617" w:type="pct"/>
                  <w:vMerge w:val="continue"/>
                  <w:tcBorders>
                    <w:tl2br w:val="nil"/>
                    <w:tr2bl w:val="nil"/>
                  </w:tcBorders>
                  <w:noWrap w:val="0"/>
                  <w:vAlign w:val="center"/>
                </w:tcPr>
                <w:p w14:paraId="1DD2F94B">
                  <w:pPr>
                    <w:snapToGrid w:val="0"/>
                    <w:jc w:val="center"/>
                    <w:rPr>
                      <w:b/>
                      <w:bCs/>
                      <w:spacing w:val="4"/>
                      <w:u w:val="single"/>
                    </w:rPr>
                  </w:pPr>
                </w:p>
              </w:tc>
              <w:tc>
                <w:tcPr>
                  <w:tcW w:w="452" w:type="pct"/>
                  <w:vMerge w:val="continue"/>
                  <w:tcBorders>
                    <w:tl2br w:val="nil"/>
                    <w:tr2bl w:val="nil"/>
                  </w:tcBorders>
                  <w:noWrap w:val="0"/>
                  <w:vAlign w:val="center"/>
                </w:tcPr>
                <w:p w14:paraId="1B12A89C">
                  <w:pPr>
                    <w:snapToGrid w:val="0"/>
                    <w:jc w:val="center"/>
                    <w:rPr>
                      <w:b/>
                      <w:bCs/>
                      <w:spacing w:val="4"/>
                      <w:u w:val="single"/>
                    </w:rPr>
                  </w:pPr>
                </w:p>
              </w:tc>
              <w:tc>
                <w:tcPr>
                  <w:tcW w:w="501" w:type="pct"/>
                  <w:vMerge w:val="continue"/>
                  <w:tcBorders>
                    <w:tl2br w:val="nil"/>
                    <w:tr2bl w:val="nil"/>
                  </w:tcBorders>
                  <w:noWrap w:val="0"/>
                  <w:vAlign w:val="center"/>
                </w:tcPr>
                <w:p w14:paraId="65315411">
                  <w:pPr>
                    <w:snapToGrid w:val="0"/>
                    <w:jc w:val="center"/>
                    <w:rPr>
                      <w:b/>
                      <w:bCs/>
                      <w:spacing w:val="4"/>
                      <w:u w:val="single"/>
                    </w:rPr>
                  </w:pPr>
                </w:p>
              </w:tc>
              <w:tc>
                <w:tcPr>
                  <w:tcW w:w="745" w:type="pct"/>
                  <w:vMerge w:val="continue"/>
                  <w:tcBorders>
                    <w:tl2br w:val="nil"/>
                    <w:tr2bl w:val="nil"/>
                  </w:tcBorders>
                  <w:noWrap w:val="0"/>
                  <w:vAlign w:val="center"/>
                </w:tcPr>
                <w:p w14:paraId="1D9CA76E">
                  <w:pPr>
                    <w:snapToGrid w:val="0"/>
                    <w:jc w:val="center"/>
                    <w:rPr>
                      <w:b/>
                      <w:bCs/>
                      <w:spacing w:val="4"/>
                      <w:u w:val="single"/>
                    </w:rPr>
                  </w:pPr>
                </w:p>
              </w:tc>
            </w:tr>
            <w:tr w14:paraId="4997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14731795">
                  <w:pPr>
                    <w:snapToGrid w:val="0"/>
                    <w:jc w:val="center"/>
                    <w:rPr>
                      <w:rFonts w:hint="eastAsia" w:eastAsia="宋体"/>
                      <w:spacing w:val="4"/>
                      <w:szCs w:val="21"/>
                      <w:u w:val="single"/>
                      <w:lang w:val="en-US" w:eastAsia="zh-CN"/>
                    </w:rPr>
                  </w:pPr>
                  <w:r>
                    <w:rPr>
                      <w:rFonts w:hint="eastAsia"/>
                      <w:spacing w:val="4"/>
                      <w:szCs w:val="21"/>
                      <w:u w:val="single"/>
                      <w:lang w:val="en-US" w:eastAsia="zh-CN"/>
                    </w:rPr>
                    <w:t>1</w:t>
                  </w:r>
                </w:p>
              </w:tc>
              <w:tc>
                <w:tcPr>
                  <w:tcW w:w="547" w:type="pct"/>
                  <w:tcBorders>
                    <w:tl2br w:val="nil"/>
                    <w:tr2bl w:val="nil"/>
                  </w:tcBorders>
                  <w:noWrap w:val="0"/>
                  <w:vAlign w:val="center"/>
                </w:tcPr>
                <w:p w14:paraId="5C2C850A">
                  <w:pPr>
                    <w:snapToGrid w:val="0"/>
                    <w:jc w:val="center"/>
                    <w:rPr>
                      <w:rFonts w:hint="default" w:eastAsia="宋体"/>
                      <w:spacing w:val="4"/>
                      <w:szCs w:val="21"/>
                      <w:u w:val="single"/>
                      <w:lang w:val="en-US" w:eastAsia="zh-CN"/>
                    </w:rPr>
                  </w:pPr>
                  <w:r>
                    <w:rPr>
                      <w:rFonts w:hint="eastAsia"/>
                      <w:spacing w:val="4"/>
                      <w:szCs w:val="21"/>
                      <w:u w:val="single"/>
                      <w:lang w:val="en-US" w:eastAsia="zh-CN"/>
                    </w:rPr>
                    <w:t>许家院居民点#1</w:t>
                  </w:r>
                </w:p>
              </w:tc>
              <w:tc>
                <w:tcPr>
                  <w:tcW w:w="738" w:type="pct"/>
                  <w:tcBorders>
                    <w:tl2br w:val="nil"/>
                    <w:tr2bl w:val="nil"/>
                  </w:tcBorders>
                  <w:noWrap w:val="0"/>
                  <w:vAlign w:val="center"/>
                </w:tcPr>
                <w:p w14:paraId="2D391D61">
                  <w:pPr>
                    <w:snapToGrid w:val="0"/>
                    <w:jc w:val="center"/>
                    <w:rPr>
                      <w:rFonts w:hint="eastAsia"/>
                      <w:color w:val="000000"/>
                      <w:spacing w:val="4"/>
                      <w:szCs w:val="21"/>
                      <w:u w:val="single"/>
                    </w:rPr>
                  </w:pPr>
                  <w:r>
                    <w:rPr>
                      <w:rFonts w:hint="eastAsia"/>
                      <w:color w:val="000000"/>
                      <w:spacing w:val="4"/>
                      <w:szCs w:val="21"/>
                      <w:u w:val="single"/>
                    </w:rPr>
                    <w:t>111.831206</w:t>
                  </w:r>
                </w:p>
              </w:tc>
              <w:tc>
                <w:tcPr>
                  <w:tcW w:w="684" w:type="pct"/>
                  <w:tcBorders>
                    <w:tl2br w:val="nil"/>
                    <w:tr2bl w:val="nil"/>
                  </w:tcBorders>
                  <w:noWrap w:val="0"/>
                  <w:vAlign w:val="center"/>
                </w:tcPr>
                <w:p w14:paraId="047034B0">
                  <w:pPr>
                    <w:snapToGrid w:val="0"/>
                    <w:jc w:val="center"/>
                    <w:rPr>
                      <w:color w:val="000000"/>
                      <w:spacing w:val="4"/>
                      <w:szCs w:val="21"/>
                      <w:u w:val="single"/>
                    </w:rPr>
                  </w:pPr>
                  <w:r>
                    <w:rPr>
                      <w:rFonts w:hint="eastAsia"/>
                      <w:color w:val="000000"/>
                      <w:spacing w:val="4"/>
                      <w:szCs w:val="21"/>
                      <w:u w:val="single"/>
                    </w:rPr>
                    <w:t>26.617352</w:t>
                  </w:r>
                </w:p>
              </w:tc>
              <w:tc>
                <w:tcPr>
                  <w:tcW w:w="404" w:type="pct"/>
                  <w:tcBorders>
                    <w:tl2br w:val="nil"/>
                    <w:tr2bl w:val="nil"/>
                  </w:tcBorders>
                  <w:noWrap w:val="0"/>
                  <w:vAlign w:val="center"/>
                </w:tcPr>
                <w:p w14:paraId="34B5E2B4">
                  <w:pPr>
                    <w:snapToGrid w:val="0"/>
                    <w:jc w:val="center"/>
                    <w:rPr>
                      <w:color w:val="000000"/>
                      <w:spacing w:val="4"/>
                      <w:szCs w:val="21"/>
                      <w:u w:val="single"/>
                    </w:rPr>
                  </w:pPr>
                  <w:r>
                    <w:rPr>
                      <w:rFonts w:hint="eastAsia"/>
                      <w:color w:val="000000"/>
                      <w:spacing w:val="4"/>
                      <w:szCs w:val="21"/>
                      <w:u w:val="single"/>
                    </w:rPr>
                    <w:t>居住区</w:t>
                  </w:r>
                </w:p>
              </w:tc>
              <w:tc>
                <w:tcPr>
                  <w:tcW w:w="617" w:type="pct"/>
                  <w:tcBorders>
                    <w:tl2br w:val="nil"/>
                    <w:tr2bl w:val="nil"/>
                  </w:tcBorders>
                  <w:noWrap w:val="0"/>
                  <w:vAlign w:val="center"/>
                </w:tcPr>
                <w:p w14:paraId="1EB3598B">
                  <w:pPr>
                    <w:snapToGrid w:val="0"/>
                    <w:jc w:val="center"/>
                    <w:rPr>
                      <w:rFonts w:hint="default" w:eastAsia="宋体"/>
                      <w:color w:val="000000"/>
                      <w:spacing w:val="4"/>
                      <w:szCs w:val="21"/>
                      <w:u w:val="single"/>
                      <w:lang w:val="en-US" w:eastAsia="zh-CN"/>
                    </w:rPr>
                  </w:pPr>
                  <w:r>
                    <w:rPr>
                      <w:rFonts w:hint="eastAsia"/>
                      <w:color w:val="000000"/>
                      <w:spacing w:val="4"/>
                      <w:szCs w:val="21"/>
                      <w:u w:val="single"/>
                      <w:lang w:val="en-US" w:eastAsia="zh-CN"/>
                    </w:rPr>
                    <w:t>约4户，12人</w:t>
                  </w:r>
                </w:p>
              </w:tc>
              <w:tc>
                <w:tcPr>
                  <w:tcW w:w="452" w:type="pct"/>
                  <w:vMerge w:val="restart"/>
                  <w:tcBorders>
                    <w:tl2br w:val="nil"/>
                    <w:tr2bl w:val="nil"/>
                  </w:tcBorders>
                  <w:noWrap w:val="0"/>
                  <w:vAlign w:val="center"/>
                </w:tcPr>
                <w:p w14:paraId="741F1E77">
                  <w:pPr>
                    <w:snapToGrid w:val="0"/>
                    <w:jc w:val="center"/>
                    <w:rPr>
                      <w:rFonts w:hint="eastAsia"/>
                      <w:color w:val="000000"/>
                      <w:u w:val="single"/>
                    </w:rPr>
                  </w:pPr>
                  <w:bookmarkStart w:id="33" w:name="_Toc299634802"/>
                  <w:r>
                    <w:rPr>
                      <w:rFonts w:hint="eastAsia"/>
                      <w:color w:val="000000"/>
                      <w:u w:val="single"/>
                    </w:rPr>
                    <w:t>二类区</w:t>
                  </w:r>
                </w:p>
              </w:tc>
              <w:tc>
                <w:tcPr>
                  <w:tcW w:w="501" w:type="pct"/>
                  <w:tcBorders>
                    <w:tl2br w:val="nil"/>
                    <w:tr2bl w:val="nil"/>
                  </w:tcBorders>
                  <w:noWrap w:val="0"/>
                  <w:vAlign w:val="center"/>
                </w:tcPr>
                <w:p w14:paraId="5934E363">
                  <w:pPr>
                    <w:snapToGrid w:val="0"/>
                    <w:jc w:val="center"/>
                    <w:rPr>
                      <w:rFonts w:hint="eastAsia" w:eastAsia="宋体"/>
                      <w:color w:val="000000"/>
                      <w:u w:val="single"/>
                      <w:lang w:val="en-US" w:eastAsia="zh-CN"/>
                    </w:rPr>
                  </w:pPr>
                  <w:r>
                    <w:rPr>
                      <w:rFonts w:hint="eastAsia"/>
                      <w:color w:val="000000"/>
                      <w:u w:val="single"/>
                      <w:lang w:val="en-US" w:eastAsia="zh-CN"/>
                    </w:rPr>
                    <w:t>东北</w:t>
                  </w:r>
                </w:p>
                <w:bookmarkEnd w:id="33"/>
              </w:tc>
              <w:tc>
                <w:tcPr>
                  <w:tcW w:w="745" w:type="pct"/>
                  <w:tcBorders>
                    <w:tl2br w:val="nil"/>
                    <w:tr2bl w:val="nil"/>
                  </w:tcBorders>
                  <w:noWrap w:val="0"/>
                  <w:vAlign w:val="center"/>
                </w:tcPr>
                <w:p w14:paraId="169E0468">
                  <w:pPr>
                    <w:snapToGrid w:val="0"/>
                    <w:jc w:val="center"/>
                    <w:rPr>
                      <w:rFonts w:hint="default" w:eastAsia="宋体"/>
                      <w:color w:val="000000"/>
                      <w:szCs w:val="21"/>
                      <w:u w:val="single"/>
                      <w:lang w:val="en-US" w:eastAsia="zh-CN"/>
                    </w:rPr>
                  </w:pPr>
                  <w:r>
                    <w:rPr>
                      <w:rFonts w:hint="eastAsia"/>
                      <w:color w:val="000000"/>
                      <w:szCs w:val="21"/>
                      <w:u w:val="single"/>
                      <w:lang w:val="en-US" w:eastAsia="zh-CN"/>
                    </w:rPr>
                    <w:t>2-77</w:t>
                  </w:r>
                </w:p>
              </w:tc>
            </w:tr>
            <w:tr w14:paraId="6BE7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64958EC2">
                  <w:pPr>
                    <w:snapToGrid w:val="0"/>
                    <w:jc w:val="center"/>
                    <w:rPr>
                      <w:rFonts w:hint="eastAsia" w:eastAsia="宋体"/>
                      <w:color w:val="000000"/>
                      <w:szCs w:val="21"/>
                      <w:u w:val="single"/>
                      <w:lang w:val="en-US" w:eastAsia="zh-CN"/>
                    </w:rPr>
                  </w:pPr>
                  <w:r>
                    <w:rPr>
                      <w:rFonts w:hint="eastAsia"/>
                      <w:color w:val="000000"/>
                      <w:szCs w:val="21"/>
                      <w:u w:val="single"/>
                      <w:lang w:val="en-US" w:eastAsia="zh-CN"/>
                    </w:rPr>
                    <w:t>2</w:t>
                  </w:r>
                </w:p>
              </w:tc>
              <w:tc>
                <w:tcPr>
                  <w:tcW w:w="547" w:type="pct"/>
                  <w:tcBorders>
                    <w:tl2br w:val="nil"/>
                    <w:tr2bl w:val="nil"/>
                  </w:tcBorders>
                  <w:noWrap w:val="0"/>
                  <w:vAlign w:val="center"/>
                </w:tcPr>
                <w:p w14:paraId="6D54C844">
                  <w:pPr>
                    <w:snapToGrid w:val="0"/>
                    <w:jc w:val="center"/>
                    <w:rPr>
                      <w:rFonts w:hint="default" w:eastAsia="宋体"/>
                      <w:spacing w:val="4"/>
                      <w:szCs w:val="21"/>
                      <w:u w:val="single"/>
                      <w:lang w:val="en-US" w:eastAsia="zh-CN"/>
                    </w:rPr>
                  </w:pPr>
                  <w:r>
                    <w:rPr>
                      <w:rFonts w:hint="eastAsia"/>
                      <w:spacing w:val="4"/>
                      <w:szCs w:val="21"/>
                      <w:u w:val="single"/>
                      <w:lang w:val="en-US" w:eastAsia="zh-CN"/>
                    </w:rPr>
                    <w:t>许家院居民点#2</w:t>
                  </w:r>
                </w:p>
              </w:tc>
              <w:tc>
                <w:tcPr>
                  <w:tcW w:w="738" w:type="pct"/>
                  <w:tcBorders>
                    <w:tl2br w:val="nil"/>
                    <w:tr2bl w:val="nil"/>
                  </w:tcBorders>
                  <w:noWrap w:val="0"/>
                  <w:vAlign w:val="center"/>
                </w:tcPr>
                <w:p w14:paraId="60482C9E">
                  <w:pPr>
                    <w:snapToGrid w:val="0"/>
                    <w:jc w:val="center"/>
                    <w:rPr>
                      <w:color w:val="000000"/>
                      <w:szCs w:val="21"/>
                      <w:u w:val="single"/>
                    </w:rPr>
                  </w:pPr>
                  <w:r>
                    <w:rPr>
                      <w:rFonts w:hint="eastAsia"/>
                      <w:color w:val="000000"/>
                      <w:szCs w:val="21"/>
                      <w:u w:val="single"/>
                    </w:rPr>
                    <w:t>111.831101</w:t>
                  </w:r>
                </w:p>
              </w:tc>
              <w:tc>
                <w:tcPr>
                  <w:tcW w:w="684" w:type="pct"/>
                  <w:tcBorders>
                    <w:tl2br w:val="nil"/>
                    <w:tr2bl w:val="nil"/>
                  </w:tcBorders>
                  <w:noWrap w:val="0"/>
                  <w:vAlign w:val="center"/>
                </w:tcPr>
                <w:p w14:paraId="0972D8B7">
                  <w:pPr>
                    <w:snapToGrid w:val="0"/>
                    <w:jc w:val="center"/>
                    <w:rPr>
                      <w:color w:val="000000"/>
                      <w:spacing w:val="4"/>
                      <w:szCs w:val="21"/>
                      <w:u w:val="single"/>
                    </w:rPr>
                  </w:pPr>
                  <w:r>
                    <w:rPr>
                      <w:rFonts w:hint="eastAsia"/>
                      <w:color w:val="000000"/>
                      <w:spacing w:val="4"/>
                      <w:szCs w:val="21"/>
                      <w:u w:val="single"/>
                    </w:rPr>
                    <w:t>26.616727</w:t>
                  </w:r>
                </w:p>
              </w:tc>
              <w:tc>
                <w:tcPr>
                  <w:tcW w:w="404" w:type="pct"/>
                  <w:tcBorders>
                    <w:tl2br w:val="nil"/>
                    <w:tr2bl w:val="nil"/>
                  </w:tcBorders>
                  <w:noWrap w:val="0"/>
                  <w:vAlign w:val="center"/>
                </w:tcPr>
                <w:p w14:paraId="4730AFE7">
                  <w:pPr>
                    <w:snapToGrid w:val="0"/>
                    <w:jc w:val="center"/>
                    <w:rPr>
                      <w:color w:val="000000"/>
                      <w:spacing w:val="4"/>
                      <w:szCs w:val="21"/>
                      <w:u w:val="single"/>
                    </w:rPr>
                  </w:pPr>
                  <w:r>
                    <w:rPr>
                      <w:rFonts w:hint="eastAsia"/>
                      <w:color w:val="000000"/>
                      <w:spacing w:val="4"/>
                      <w:szCs w:val="21"/>
                      <w:u w:val="single"/>
                    </w:rPr>
                    <w:t>居住区</w:t>
                  </w:r>
                </w:p>
              </w:tc>
              <w:tc>
                <w:tcPr>
                  <w:tcW w:w="617" w:type="pct"/>
                  <w:tcBorders>
                    <w:tl2br w:val="nil"/>
                    <w:tr2bl w:val="nil"/>
                  </w:tcBorders>
                  <w:noWrap w:val="0"/>
                  <w:vAlign w:val="center"/>
                </w:tcPr>
                <w:p w14:paraId="1A0F66E4">
                  <w:pPr>
                    <w:widowControl/>
                    <w:jc w:val="center"/>
                    <w:rPr>
                      <w:rFonts w:hint="eastAsia"/>
                      <w:color w:val="000000"/>
                      <w:spacing w:val="4"/>
                      <w:szCs w:val="21"/>
                      <w:u w:val="single"/>
                    </w:rPr>
                  </w:pPr>
                  <w:r>
                    <w:rPr>
                      <w:rFonts w:hint="eastAsia"/>
                      <w:color w:val="000000"/>
                      <w:spacing w:val="4"/>
                      <w:szCs w:val="21"/>
                      <w:u w:val="single"/>
                      <w:lang w:val="en-US" w:eastAsia="zh-CN"/>
                    </w:rPr>
                    <w:t>约2户，6人</w:t>
                  </w:r>
                </w:p>
              </w:tc>
              <w:tc>
                <w:tcPr>
                  <w:tcW w:w="452" w:type="pct"/>
                  <w:vMerge w:val="continue"/>
                  <w:tcBorders>
                    <w:tl2br w:val="nil"/>
                    <w:tr2bl w:val="nil"/>
                  </w:tcBorders>
                  <w:noWrap w:val="0"/>
                  <w:vAlign w:val="center"/>
                </w:tcPr>
                <w:p w14:paraId="4292B331">
                  <w:pPr>
                    <w:widowControl/>
                    <w:jc w:val="center"/>
                    <w:rPr>
                      <w:color w:val="000000"/>
                      <w:szCs w:val="21"/>
                      <w:u w:val="single"/>
                    </w:rPr>
                  </w:pPr>
                </w:p>
              </w:tc>
              <w:tc>
                <w:tcPr>
                  <w:tcW w:w="501" w:type="pct"/>
                  <w:tcBorders>
                    <w:tl2br w:val="nil"/>
                    <w:tr2bl w:val="nil"/>
                  </w:tcBorders>
                  <w:noWrap w:val="0"/>
                  <w:vAlign w:val="center"/>
                </w:tcPr>
                <w:p w14:paraId="3A2239B0">
                  <w:pPr>
                    <w:snapToGrid w:val="0"/>
                    <w:jc w:val="center"/>
                    <w:rPr>
                      <w:rFonts w:hint="default" w:eastAsia="宋体"/>
                      <w:color w:val="000000"/>
                      <w:u w:val="single"/>
                      <w:lang w:val="en-US" w:eastAsia="zh-CN"/>
                    </w:rPr>
                  </w:pPr>
                  <w:r>
                    <w:rPr>
                      <w:rFonts w:hint="eastAsia"/>
                      <w:color w:val="000000"/>
                      <w:u w:val="single"/>
                      <w:lang w:val="en-US" w:eastAsia="zh-CN"/>
                    </w:rPr>
                    <w:t>东南</w:t>
                  </w:r>
                </w:p>
              </w:tc>
              <w:tc>
                <w:tcPr>
                  <w:tcW w:w="745" w:type="pct"/>
                  <w:tcBorders>
                    <w:tl2br w:val="nil"/>
                    <w:tr2bl w:val="nil"/>
                  </w:tcBorders>
                  <w:noWrap w:val="0"/>
                  <w:vAlign w:val="center"/>
                </w:tcPr>
                <w:p w14:paraId="51CE4E52">
                  <w:pPr>
                    <w:snapToGrid w:val="0"/>
                    <w:jc w:val="center"/>
                    <w:rPr>
                      <w:rFonts w:hint="default" w:eastAsia="宋体"/>
                      <w:color w:val="000000"/>
                      <w:szCs w:val="21"/>
                      <w:u w:val="single"/>
                      <w:lang w:val="en-US" w:eastAsia="zh-CN"/>
                    </w:rPr>
                  </w:pPr>
                  <w:r>
                    <w:rPr>
                      <w:rFonts w:hint="eastAsia"/>
                      <w:color w:val="000000"/>
                      <w:szCs w:val="21"/>
                      <w:u w:val="single"/>
                      <w:lang w:val="en-US" w:eastAsia="zh-CN"/>
                    </w:rPr>
                    <w:t>13-73</w:t>
                  </w:r>
                </w:p>
              </w:tc>
            </w:tr>
            <w:tr w14:paraId="13E4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25E087AF">
                  <w:pPr>
                    <w:snapToGrid w:val="0"/>
                    <w:jc w:val="center"/>
                    <w:rPr>
                      <w:rFonts w:hint="eastAsia" w:eastAsia="宋体"/>
                      <w:color w:val="000000"/>
                      <w:szCs w:val="21"/>
                      <w:u w:val="single"/>
                      <w:lang w:val="en-US" w:eastAsia="zh-CN"/>
                    </w:rPr>
                  </w:pPr>
                  <w:r>
                    <w:rPr>
                      <w:rFonts w:hint="eastAsia"/>
                      <w:color w:val="000000"/>
                      <w:szCs w:val="21"/>
                      <w:u w:val="single"/>
                      <w:lang w:val="en-US" w:eastAsia="zh-CN"/>
                    </w:rPr>
                    <w:t>3</w:t>
                  </w:r>
                </w:p>
              </w:tc>
              <w:tc>
                <w:tcPr>
                  <w:tcW w:w="547" w:type="pct"/>
                  <w:tcBorders>
                    <w:tl2br w:val="nil"/>
                    <w:tr2bl w:val="nil"/>
                  </w:tcBorders>
                  <w:noWrap w:val="0"/>
                  <w:vAlign w:val="center"/>
                </w:tcPr>
                <w:p w14:paraId="6D82D359">
                  <w:pPr>
                    <w:snapToGrid w:val="0"/>
                    <w:jc w:val="center"/>
                    <w:rPr>
                      <w:rFonts w:hint="default" w:eastAsia="宋体"/>
                      <w:spacing w:val="4"/>
                      <w:szCs w:val="21"/>
                      <w:u w:val="single"/>
                      <w:lang w:val="en-US" w:eastAsia="zh-CN"/>
                    </w:rPr>
                  </w:pPr>
                  <w:r>
                    <w:rPr>
                      <w:rFonts w:hint="eastAsia"/>
                      <w:spacing w:val="4"/>
                      <w:szCs w:val="21"/>
                      <w:u w:val="single"/>
                      <w:lang w:val="en-US" w:eastAsia="zh-CN"/>
                    </w:rPr>
                    <w:t>许家院居民点#3</w:t>
                  </w:r>
                </w:p>
              </w:tc>
              <w:tc>
                <w:tcPr>
                  <w:tcW w:w="738" w:type="pct"/>
                  <w:tcBorders>
                    <w:tl2br w:val="nil"/>
                    <w:tr2bl w:val="nil"/>
                  </w:tcBorders>
                  <w:noWrap w:val="0"/>
                  <w:vAlign w:val="center"/>
                </w:tcPr>
                <w:p w14:paraId="51D2B395">
                  <w:pPr>
                    <w:snapToGrid w:val="0"/>
                    <w:jc w:val="center"/>
                    <w:rPr>
                      <w:color w:val="000000"/>
                      <w:szCs w:val="21"/>
                      <w:u w:val="single"/>
                    </w:rPr>
                  </w:pPr>
                  <w:r>
                    <w:rPr>
                      <w:rFonts w:hint="eastAsia"/>
                      <w:color w:val="000000"/>
                      <w:szCs w:val="21"/>
                      <w:u w:val="single"/>
                    </w:rPr>
                    <w:t>111.830948</w:t>
                  </w:r>
                </w:p>
              </w:tc>
              <w:tc>
                <w:tcPr>
                  <w:tcW w:w="684" w:type="pct"/>
                  <w:tcBorders>
                    <w:tl2br w:val="nil"/>
                    <w:tr2bl w:val="nil"/>
                  </w:tcBorders>
                  <w:noWrap w:val="0"/>
                  <w:vAlign w:val="center"/>
                </w:tcPr>
                <w:p w14:paraId="75F6EC84">
                  <w:pPr>
                    <w:snapToGrid w:val="0"/>
                    <w:jc w:val="center"/>
                    <w:rPr>
                      <w:color w:val="000000"/>
                      <w:spacing w:val="4"/>
                      <w:u w:val="single"/>
                    </w:rPr>
                  </w:pPr>
                  <w:r>
                    <w:rPr>
                      <w:rFonts w:hint="eastAsia"/>
                      <w:color w:val="000000"/>
                      <w:spacing w:val="4"/>
                      <w:u w:val="single"/>
                    </w:rPr>
                    <w:t>26.619190</w:t>
                  </w:r>
                </w:p>
              </w:tc>
              <w:tc>
                <w:tcPr>
                  <w:tcW w:w="404" w:type="pct"/>
                  <w:tcBorders>
                    <w:tl2br w:val="nil"/>
                    <w:tr2bl w:val="nil"/>
                  </w:tcBorders>
                  <w:noWrap w:val="0"/>
                  <w:vAlign w:val="center"/>
                </w:tcPr>
                <w:p w14:paraId="49805D84">
                  <w:pPr>
                    <w:snapToGrid w:val="0"/>
                    <w:jc w:val="center"/>
                    <w:rPr>
                      <w:color w:val="000000"/>
                      <w:spacing w:val="4"/>
                      <w:u w:val="single"/>
                    </w:rPr>
                  </w:pPr>
                  <w:r>
                    <w:rPr>
                      <w:rFonts w:hint="eastAsia"/>
                      <w:color w:val="000000"/>
                      <w:spacing w:val="4"/>
                      <w:u w:val="single"/>
                    </w:rPr>
                    <w:t>居住区</w:t>
                  </w:r>
                </w:p>
              </w:tc>
              <w:tc>
                <w:tcPr>
                  <w:tcW w:w="617" w:type="pct"/>
                  <w:tcBorders>
                    <w:tl2br w:val="nil"/>
                    <w:tr2bl w:val="nil"/>
                  </w:tcBorders>
                  <w:noWrap w:val="0"/>
                  <w:vAlign w:val="center"/>
                </w:tcPr>
                <w:p w14:paraId="47316070">
                  <w:pPr>
                    <w:widowControl/>
                    <w:jc w:val="center"/>
                    <w:rPr>
                      <w:rFonts w:hint="eastAsia"/>
                      <w:color w:val="000000"/>
                      <w:spacing w:val="4"/>
                      <w:u w:val="single"/>
                    </w:rPr>
                  </w:pPr>
                  <w:r>
                    <w:rPr>
                      <w:rFonts w:hint="eastAsia"/>
                      <w:color w:val="000000"/>
                      <w:spacing w:val="4"/>
                      <w:szCs w:val="21"/>
                      <w:u w:val="single"/>
                      <w:lang w:val="en-US" w:eastAsia="zh-CN"/>
                    </w:rPr>
                    <w:t>约25户，75人</w:t>
                  </w:r>
                </w:p>
              </w:tc>
              <w:tc>
                <w:tcPr>
                  <w:tcW w:w="452" w:type="pct"/>
                  <w:vMerge w:val="continue"/>
                  <w:tcBorders>
                    <w:tl2br w:val="nil"/>
                    <w:tr2bl w:val="nil"/>
                  </w:tcBorders>
                  <w:noWrap w:val="0"/>
                  <w:vAlign w:val="center"/>
                </w:tcPr>
                <w:p w14:paraId="7A28AF7D">
                  <w:pPr>
                    <w:widowControl/>
                    <w:jc w:val="center"/>
                    <w:rPr>
                      <w:color w:val="000000"/>
                      <w:szCs w:val="21"/>
                      <w:u w:val="single"/>
                    </w:rPr>
                  </w:pPr>
                </w:p>
              </w:tc>
              <w:tc>
                <w:tcPr>
                  <w:tcW w:w="501" w:type="pct"/>
                  <w:tcBorders>
                    <w:tl2br w:val="nil"/>
                    <w:tr2bl w:val="nil"/>
                  </w:tcBorders>
                  <w:noWrap w:val="0"/>
                  <w:vAlign w:val="center"/>
                </w:tcPr>
                <w:p w14:paraId="127D04D2">
                  <w:pPr>
                    <w:snapToGrid w:val="0"/>
                    <w:jc w:val="center"/>
                    <w:rPr>
                      <w:rFonts w:hint="eastAsia" w:eastAsia="宋体"/>
                      <w:color w:val="000000"/>
                      <w:u w:val="single"/>
                      <w:lang w:val="en-US" w:eastAsia="zh-CN"/>
                    </w:rPr>
                  </w:pPr>
                  <w:r>
                    <w:rPr>
                      <w:rFonts w:hint="eastAsia"/>
                      <w:color w:val="000000"/>
                      <w:u w:val="single"/>
                      <w:lang w:val="en-US" w:eastAsia="zh-CN"/>
                    </w:rPr>
                    <w:t>东北</w:t>
                  </w:r>
                </w:p>
              </w:tc>
              <w:tc>
                <w:tcPr>
                  <w:tcW w:w="745" w:type="pct"/>
                  <w:tcBorders>
                    <w:tl2br w:val="nil"/>
                    <w:tr2bl w:val="nil"/>
                  </w:tcBorders>
                  <w:noWrap w:val="0"/>
                  <w:vAlign w:val="center"/>
                </w:tcPr>
                <w:p w14:paraId="709DC40A">
                  <w:pPr>
                    <w:snapToGrid w:val="0"/>
                    <w:jc w:val="center"/>
                    <w:rPr>
                      <w:rFonts w:hint="default" w:eastAsia="宋体"/>
                      <w:color w:val="000000"/>
                      <w:szCs w:val="21"/>
                      <w:u w:val="single"/>
                      <w:lang w:val="en-US" w:eastAsia="zh-CN"/>
                    </w:rPr>
                  </w:pPr>
                  <w:r>
                    <w:rPr>
                      <w:rFonts w:hint="eastAsia"/>
                      <w:color w:val="000000"/>
                      <w:szCs w:val="21"/>
                      <w:u w:val="single"/>
                      <w:lang w:val="en-US" w:eastAsia="zh-CN"/>
                    </w:rPr>
                    <w:t>51-366</w:t>
                  </w:r>
                </w:p>
              </w:tc>
            </w:tr>
            <w:tr w14:paraId="7018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58606B18">
                  <w:pPr>
                    <w:snapToGrid w:val="0"/>
                    <w:jc w:val="center"/>
                    <w:rPr>
                      <w:rFonts w:hint="default"/>
                      <w:color w:val="000000"/>
                      <w:szCs w:val="21"/>
                      <w:u w:val="single"/>
                      <w:lang w:val="en-US" w:eastAsia="zh-CN"/>
                    </w:rPr>
                  </w:pPr>
                  <w:r>
                    <w:rPr>
                      <w:rFonts w:hint="eastAsia"/>
                      <w:color w:val="000000"/>
                      <w:szCs w:val="21"/>
                      <w:u w:val="single"/>
                      <w:lang w:val="en-US" w:eastAsia="zh-CN"/>
                    </w:rPr>
                    <w:t>4</w:t>
                  </w:r>
                </w:p>
              </w:tc>
              <w:tc>
                <w:tcPr>
                  <w:tcW w:w="547" w:type="pct"/>
                  <w:tcBorders>
                    <w:tl2br w:val="nil"/>
                    <w:tr2bl w:val="nil"/>
                  </w:tcBorders>
                  <w:noWrap w:val="0"/>
                  <w:vAlign w:val="center"/>
                </w:tcPr>
                <w:p w14:paraId="3CA3AD10">
                  <w:pPr>
                    <w:snapToGrid w:val="0"/>
                    <w:jc w:val="center"/>
                    <w:rPr>
                      <w:rFonts w:hint="default" w:eastAsia="宋体"/>
                      <w:color w:val="000000"/>
                      <w:szCs w:val="21"/>
                      <w:u w:val="single"/>
                      <w:lang w:val="en-US" w:eastAsia="zh-CN"/>
                    </w:rPr>
                  </w:pPr>
                  <w:r>
                    <w:rPr>
                      <w:rFonts w:hint="eastAsia"/>
                      <w:color w:val="000000"/>
                      <w:szCs w:val="21"/>
                      <w:u w:val="single"/>
                      <w:lang w:val="en-US" w:eastAsia="zh-CN"/>
                    </w:rPr>
                    <w:t>芳名亭居民点</w:t>
                  </w:r>
                </w:p>
              </w:tc>
              <w:tc>
                <w:tcPr>
                  <w:tcW w:w="738" w:type="pct"/>
                  <w:tcBorders>
                    <w:tl2br w:val="nil"/>
                    <w:tr2bl w:val="nil"/>
                  </w:tcBorders>
                  <w:noWrap w:val="0"/>
                  <w:vAlign w:val="center"/>
                </w:tcPr>
                <w:p w14:paraId="3976F91D">
                  <w:pPr>
                    <w:snapToGrid w:val="0"/>
                    <w:jc w:val="center"/>
                    <w:rPr>
                      <w:rFonts w:hint="eastAsia"/>
                      <w:color w:val="000000"/>
                      <w:szCs w:val="21"/>
                      <w:u w:val="single"/>
                    </w:rPr>
                  </w:pPr>
                  <w:r>
                    <w:rPr>
                      <w:rFonts w:hint="eastAsia"/>
                      <w:color w:val="000000"/>
                      <w:szCs w:val="21"/>
                      <w:u w:val="single"/>
                    </w:rPr>
                    <w:t>111.829789</w:t>
                  </w:r>
                </w:p>
              </w:tc>
              <w:tc>
                <w:tcPr>
                  <w:tcW w:w="684" w:type="pct"/>
                  <w:tcBorders>
                    <w:tl2br w:val="nil"/>
                    <w:tr2bl w:val="nil"/>
                  </w:tcBorders>
                  <w:noWrap w:val="0"/>
                  <w:vAlign w:val="center"/>
                </w:tcPr>
                <w:p w14:paraId="7BB51DAE">
                  <w:pPr>
                    <w:snapToGrid w:val="0"/>
                    <w:jc w:val="center"/>
                    <w:rPr>
                      <w:color w:val="000000"/>
                      <w:spacing w:val="4"/>
                      <w:u w:val="single"/>
                    </w:rPr>
                  </w:pPr>
                  <w:r>
                    <w:rPr>
                      <w:rFonts w:hint="eastAsia"/>
                      <w:color w:val="000000"/>
                      <w:spacing w:val="4"/>
                      <w:u w:val="single"/>
                    </w:rPr>
                    <w:t>26.620631</w:t>
                  </w:r>
                </w:p>
              </w:tc>
              <w:tc>
                <w:tcPr>
                  <w:tcW w:w="404" w:type="pct"/>
                  <w:tcBorders>
                    <w:tl2br w:val="nil"/>
                    <w:tr2bl w:val="nil"/>
                  </w:tcBorders>
                  <w:noWrap w:val="0"/>
                  <w:vAlign w:val="center"/>
                </w:tcPr>
                <w:p w14:paraId="6B5F0047">
                  <w:pPr>
                    <w:snapToGrid w:val="0"/>
                    <w:jc w:val="center"/>
                    <w:rPr>
                      <w:rFonts w:hint="eastAsia"/>
                      <w:color w:val="000000"/>
                      <w:spacing w:val="4"/>
                      <w:u w:val="single"/>
                    </w:rPr>
                  </w:pPr>
                  <w:r>
                    <w:rPr>
                      <w:rFonts w:hint="eastAsia"/>
                      <w:color w:val="000000"/>
                      <w:spacing w:val="4"/>
                      <w:u w:val="single"/>
                    </w:rPr>
                    <w:t>居住区</w:t>
                  </w:r>
                </w:p>
              </w:tc>
              <w:tc>
                <w:tcPr>
                  <w:tcW w:w="617" w:type="pct"/>
                  <w:tcBorders>
                    <w:tl2br w:val="nil"/>
                    <w:tr2bl w:val="nil"/>
                  </w:tcBorders>
                  <w:noWrap w:val="0"/>
                  <w:vAlign w:val="center"/>
                </w:tcPr>
                <w:p w14:paraId="020E9A3A">
                  <w:pPr>
                    <w:widowControl/>
                    <w:jc w:val="center"/>
                    <w:rPr>
                      <w:rFonts w:hint="default" w:eastAsia="宋体"/>
                      <w:color w:val="000000"/>
                      <w:u w:val="single"/>
                      <w:lang w:val="en-US" w:eastAsia="zh-CN"/>
                    </w:rPr>
                  </w:pPr>
                  <w:r>
                    <w:rPr>
                      <w:rFonts w:hint="eastAsia"/>
                      <w:color w:val="000000"/>
                      <w:spacing w:val="4"/>
                      <w:szCs w:val="21"/>
                      <w:u w:val="single"/>
                      <w:lang w:val="en-US" w:eastAsia="zh-CN"/>
                    </w:rPr>
                    <w:t>约7户，21人</w:t>
                  </w:r>
                </w:p>
              </w:tc>
              <w:tc>
                <w:tcPr>
                  <w:tcW w:w="452" w:type="pct"/>
                  <w:vMerge w:val="continue"/>
                  <w:tcBorders>
                    <w:tl2br w:val="nil"/>
                    <w:tr2bl w:val="nil"/>
                  </w:tcBorders>
                  <w:noWrap w:val="0"/>
                  <w:vAlign w:val="center"/>
                </w:tcPr>
                <w:p w14:paraId="00BEB40E">
                  <w:pPr>
                    <w:widowControl/>
                    <w:jc w:val="center"/>
                    <w:rPr>
                      <w:color w:val="000000"/>
                      <w:szCs w:val="21"/>
                      <w:u w:val="single"/>
                    </w:rPr>
                  </w:pPr>
                </w:p>
              </w:tc>
              <w:tc>
                <w:tcPr>
                  <w:tcW w:w="501" w:type="pct"/>
                  <w:tcBorders>
                    <w:tl2br w:val="nil"/>
                    <w:tr2bl w:val="nil"/>
                  </w:tcBorders>
                  <w:noWrap w:val="0"/>
                  <w:vAlign w:val="center"/>
                </w:tcPr>
                <w:p w14:paraId="55A1AF4F">
                  <w:pPr>
                    <w:snapToGrid w:val="0"/>
                    <w:jc w:val="center"/>
                    <w:rPr>
                      <w:rFonts w:hint="default" w:eastAsia="宋体"/>
                      <w:color w:val="000000"/>
                      <w:u w:val="single"/>
                      <w:lang w:val="en-US" w:eastAsia="zh-CN"/>
                    </w:rPr>
                  </w:pPr>
                  <w:r>
                    <w:rPr>
                      <w:rFonts w:hint="eastAsia"/>
                      <w:color w:val="000000"/>
                      <w:u w:val="single"/>
                      <w:lang w:val="en-US" w:eastAsia="zh-CN"/>
                    </w:rPr>
                    <w:t>西北</w:t>
                  </w:r>
                </w:p>
              </w:tc>
              <w:tc>
                <w:tcPr>
                  <w:tcW w:w="745" w:type="pct"/>
                  <w:tcBorders>
                    <w:tl2br w:val="nil"/>
                    <w:tr2bl w:val="nil"/>
                  </w:tcBorders>
                  <w:noWrap w:val="0"/>
                  <w:vAlign w:val="center"/>
                </w:tcPr>
                <w:p w14:paraId="4127049F">
                  <w:pPr>
                    <w:snapToGrid w:val="0"/>
                    <w:jc w:val="center"/>
                    <w:rPr>
                      <w:rFonts w:hint="default" w:eastAsia="宋体"/>
                      <w:color w:val="000000"/>
                      <w:spacing w:val="4"/>
                      <w:u w:val="single"/>
                      <w:lang w:val="en-US" w:eastAsia="zh-CN"/>
                    </w:rPr>
                  </w:pPr>
                  <w:r>
                    <w:rPr>
                      <w:rFonts w:hint="eastAsia"/>
                      <w:color w:val="000000"/>
                      <w:spacing w:val="4"/>
                      <w:u w:val="single"/>
                      <w:lang w:val="en-US" w:eastAsia="zh-CN"/>
                    </w:rPr>
                    <w:t>269-405</w:t>
                  </w:r>
                </w:p>
              </w:tc>
            </w:tr>
            <w:tr w14:paraId="7F74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0156FE15">
                  <w:pPr>
                    <w:snapToGrid w:val="0"/>
                    <w:jc w:val="center"/>
                    <w:rPr>
                      <w:rFonts w:hint="default"/>
                      <w:color w:val="000000"/>
                      <w:szCs w:val="21"/>
                      <w:u w:val="single"/>
                      <w:lang w:val="en-US" w:eastAsia="zh-CN"/>
                    </w:rPr>
                  </w:pPr>
                  <w:r>
                    <w:rPr>
                      <w:rFonts w:hint="eastAsia"/>
                      <w:color w:val="000000"/>
                      <w:szCs w:val="21"/>
                      <w:u w:val="single"/>
                      <w:lang w:val="en-US" w:eastAsia="zh-CN"/>
                    </w:rPr>
                    <w:t>5</w:t>
                  </w:r>
                </w:p>
              </w:tc>
              <w:tc>
                <w:tcPr>
                  <w:tcW w:w="547" w:type="pct"/>
                  <w:tcBorders>
                    <w:tl2br w:val="nil"/>
                    <w:tr2bl w:val="nil"/>
                  </w:tcBorders>
                  <w:noWrap w:val="0"/>
                  <w:vAlign w:val="center"/>
                </w:tcPr>
                <w:p w14:paraId="1C3EE0A6">
                  <w:pPr>
                    <w:snapToGrid w:val="0"/>
                    <w:jc w:val="center"/>
                    <w:rPr>
                      <w:rFonts w:hint="default"/>
                      <w:color w:val="000000"/>
                      <w:szCs w:val="21"/>
                      <w:u w:val="single"/>
                      <w:lang w:val="en-US" w:eastAsia="zh-CN"/>
                    </w:rPr>
                  </w:pPr>
                  <w:r>
                    <w:rPr>
                      <w:rFonts w:hint="eastAsia"/>
                      <w:color w:val="000000"/>
                      <w:szCs w:val="21"/>
                      <w:u w:val="single"/>
                      <w:lang w:val="en-US" w:eastAsia="zh-CN"/>
                    </w:rPr>
                    <w:t>茅塘冲居民点#1</w:t>
                  </w:r>
                </w:p>
              </w:tc>
              <w:tc>
                <w:tcPr>
                  <w:tcW w:w="738" w:type="pct"/>
                  <w:tcBorders>
                    <w:tl2br w:val="nil"/>
                    <w:tr2bl w:val="nil"/>
                  </w:tcBorders>
                  <w:noWrap w:val="0"/>
                  <w:vAlign w:val="center"/>
                </w:tcPr>
                <w:p w14:paraId="70D7D5FE">
                  <w:pPr>
                    <w:snapToGrid w:val="0"/>
                    <w:jc w:val="center"/>
                    <w:rPr>
                      <w:rFonts w:hint="eastAsia"/>
                      <w:color w:val="000000"/>
                      <w:szCs w:val="21"/>
                      <w:u w:val="single"/>
                    </w:rPr>
                  </w:pPr>
                  <w:r>
                    <w:rPr>
                      <w:rFonts w:hint="eastAsia"/>
                      <w:color w:val="000000"/>
                      <w:szCs w:val="21"/>
                      <w:u w:val="single"/>
                    </w:rPr>
                    <w:t>111.828986</w:t>
                  </w:r>
                </w:p>
              </w:tc>
              <w:tc>
                <w:tcPr>
                  <w:tcW w:w="684" w:type="pct"/>
                  <w:tcBorders>
                    <w:tl2br w:val="nil"/>
                    <w:tr2bl w:val="nil"/>
                  </w:tcBorders>
                  <w:noWrap w:val="0"/>
                  <w:vAlign w:val="center"/>
                </w:tcPr>
                <w:p w14:paraId="6B656AAB">
                  <w:pPr>
                    <w:snapToGrid w:val="0"/>
                    <w:jc w:val="center"/>
                    <w:rPr>
                      <w:rFonts w:hint="eastAsia"/>
                      <w:color w:val="000000"/>
                      <w:spacing w:val="4"/>
                      <w:u w:val="single"/>
                    </w:rPr>
                  </w:pPr>
                  <w:r>
                    <w:rPr>
                      <w:rFonts w:hint="eastAsia"/>
                      <w:color w:val="000000"/>
                      <w:spacing w:val="4"/>
                      <w:u w:val="single"/>
                    </w:rPr>
                    <w:t>26.619123</w:t>
                  </w:r>
                </w:p>
              </w:tc>
              <w:tc>
                <w:tcPr>
                  <w:tcW w:w="404" w:type="pct"/>
                  <w:tcBorders>
                    <w:tl2br w:val="nil"/>
                    <w:tr2bl w:val="nil"/>
                  </w:tcBorders>
                  <w:shd w:val="clear" w:color="auto" w:fill="auto"/>
                  <w:noWrap w:val="0"/>
                  <w:vAlign w:val="center"/>
                </w:tcPr>
                <w:p w14:paraId="188C9946">
                  <w:pPr>
                    <w:snapToGrid w:val="0"/>
                    <w:jc w:val="center"/>
                    <w:rPr>
                      <w:rFonts w:hint="eastAsia" w:ascii="Times New Roman" w:hAnsi="Times New Roman" w:eastAsia="宋体" w:cs="Times New Roman"/>
                      <w:color w:val="000000"/>
                      <w:spacing w:val="4"/>
                      <w:kern w:val="2"/>
                      <w:sz w:val="21"/>
                      <w:szCs w:val="24"/>
                      <w:u w:val="single"/>
                      <w:lang w:val="en-US" w:eastAsia="zh-CN" w:bidi="ar-SA"/>
                    </w:rPr>
                  </w:pPr>
                  <w:r>
                    <w:rPr>
                      <w:rFonts w:hint="eastAsia"/>
                      <w:color w:val="000000"/>
                      <w:spacing w:val="4"/>
                      <w:u w:val="single"/>
                    </w:rPr>
                    <w:t>居住区</w:t>
                  </w:r>
                </w:p>
              </w:tc>
              <w:tc>
                <w:tcPr>
                  <w:tcW w:w="617" w:type="pct"/>
                  <w:tcBorders>
                    <w:tl2br w:val="nil"/>
                    <w:tr2bl w:val="nil"/>
                  </w:tcBorders>
                  <w:shd w:val="clear" w:color="auto" w:fill="auto"/>
                  <w:noWrap w:val="0"/>
                  <w:vAlign w:val="center"/>
                </w:tcPr>
                <w:p w14:paraId="568F0B6E">
                  <w:pPr>
                    <w:widowControl/>
                    <w:jc w:val="center"/>
                    <w:rPr>
                      <w:rFonts w:hint="eastAsia" w:ascii="Times New Roman" w:hAnsi="Times New Roman" w:eastAsia="宋体" w:cs="Times New Roman"/>
                      <w:color w:val="000000"/>
                      <w:kern w:val="2"/>
                      <w:sz w:val="21"/>
                      <w:szCs w:val="24"/>
                      <w:u w:val="single"/>
                      <w:lang w:val="en-US" w:eastAsia="zh-CN" w:bidi="ar-SA"/>
                    </w:rPr>
                  </w:pPr>
                  <w:r>
                    <w:rPr>
                      <w:rFonts w:hint="eastAsia"/>
                      <w:color w:val="000000"/>
                      <w:spacing w:val="4"/>
                      <w:szCs w:val="21"/>
                      <w:u w:val="single"/>
                      <w:lang w:val="en-US" w:eastAsia="zh-CN"/>
                    </w:rPr>
                    <w:t>约32户，96人</w:t>
                  </w:r>
                </w:p>
              </w:tc>
              <w:tc>
                <w:tcPr>
                  <w:tcW w:w="452" w:type="pct"/>
                  <w:vMerge w:val="continue"/>
                  <w:tcBorders>
                    <w:tl2br w:val="nil"/>
                    <w:tr2bl w:val="nil"/>
                  </w:tcBorders>
                  <w:shd w:val="clear" w:color="auto" w:fill="auto"/>
                  <w:noWrap w:val="0"/>
                  <w:vAlign w:val="center"/>
                </w:tcPr>
                <w:p w14:paraId="39FA9D64">
                  <w:pPr>
                    <w:widowControl/>
                    <w:jc w:val="center"/>
                    <w:rPr>
                      <w:rFonts w:ascii="Times New Roman" w:hAnsi="Times New Roman" w:eastAsia="宋体" w:cs="Times New Roman"/>
                      <w:color w:val="000000"/>
                      <w:kern w:val="2"/>
                      <w:sz w:val="21"/>
                      <w:szCs w:val="21"/>
                      <w:u w:val="single"/>
                      <w:lang w:val="en-US" w:eastAsia="zh-CN" w:bidi="ar-SA"/>
                    </w:rPr>
                  </w:pPr>
                </w:p>
              </w:tc>
              <w:tc>
                <w:tcPr>
                  <w:tcW w:w="501" w:type="pct"/>
                  <w:tcBorders>
                    <w:tl2br w:val="nil"/>
                    <w:tr2bl w:val="nil"/>
                  </w:tcBorders>
                  <w:shd w:val="clear" w:color="auto" w:fill="auto"/>
                  <w:noWrap w:val="0"/>
                  <w:vAlign w:val="center"/>
                </w:tcPr>
                <w:p w14:paraId="5CB7CA7D">
                  <w:pPr>
                    <w:snapToGrid w:val="0"/>
                    <w:jc w:val="center"/>
                    <w:rPr>
                      <w:rFonts w:hint="eastAsia" w:ascii="Times New Roman" w:hAnsi="Times New Roman" w:eastAsia="宋体" w:cs="Times New Roman"/>
                      <w:color w:val="000000"/>
                      <w:kern w:val="2"/>
                      <w:sz w:val="21"/>
                      <w:szCs w:val="24"/>
                      <w:u w:val="single"/>
                      <w:lang w:val="en-US" w:eastAsia="zh-CN" w:bidi="ar-SA"/>
                    </w:rPr>
                  </w:pPr>
                  <w:r>
                    <w:rPr>
                      <w:rFonts w:hint="eastAsia"/>
                      <w:color w:val="000000"/>
                      <w:u w:val="single"/>
                      <w:lang w:val="en-US" w:eastAsia="zh-CN"/>
                    </w:rPr>
                    <w:t>西北</w:t>
                  </w:r>
                </w:p>
              </w:tc>
              <w:tc>
                <w:tcPr>
                  <w:tcW w:w="745" w:type="pct"/>
                  <w:tcBorders>
                    <w:tl2br w:val="nil"/>
                    <w:tr2bl w:val="nil"/>
                  </w:tcBorders>
                  <w:shd w:val="clear" w:color="auto" w:fill="auto"/>
                  <w:noWrap w:val="0"/>
                  <w:vAlign w:val="center"/>
                </w:tcPr>
                <w:p w14:paraId="7F6727DA">
                  <w:pPr>
                    <w:snapToGrid w:val="0"/>
                    <w:jc w:val="center"/>
                    <w:rPr>
                      <w:rFonts w:hint="default" w:ascii="Times New Roman" w:hAnsi="Times New Roman" w:eastAsia="宋体" w:cs="Times New Roman"/>
                      <w:color w:val="000000"/>
                      <w:spacing w:val="4"/>
                      <w:kern w:val="2"/>
                      <w:sz w:val="21"/>
                      <w:szCs w:val="24"/>
                      <w:u w:val="single"/>
                      <w:lang w:val="en-US" w:eastAsia="zh-CN" w:bidi="ar-SA"/>
                    </w:rPr>
                  </w:pPr>
                  <w:r>
                    <w:rPr>
                      <w:rFonts w:hint="eastAsia"/>
                      <w:color w:val="000000"/>
                      <w:spacing w:val="4"/>
                      <w:u w:val="single"/>
                      <w:lang w:val="en-US" w:eastAsia="zh-CN"/>
                    </w:rPr>
                    <w:t>97-460</w:t>
                  </w:r>
                </w:p>
              </w:tc>
            </w:tr>
            <w:tr w14:paraId="77B2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tcBorders>
                    <w:tl2br w:val="nil"/>
                    <w:tr2bl w:val="nil"/>
                  </w:tcBorders>
                  <w:noWrap w:val="0"/>
                  <w:vAlign w:val="center"/>
                </w:tcPr>
                <w:p w14:paraId="5544E453">
                  <w:pPr>
                    <w:snapToGrid w:val="0"/>
                    <w:jc w:val="center"/>
                    <w:rPr>
                      <w:rFonts w:hint="default"/>
                      <w:color w:val="000000"/>
                      <w:szCs w:val="21"/>
                      <w:u w:val="single"/>
                      <w:lang w:val="en-US" w:eastAsia="zh-CN"/>
                    </w:rPr>
                  </w:pPr>
                  <w:r>
                    <w:rPr>
                      <w:rFonts w:hint="eastAsia"/>
                      <w:color w:val="000000"/>
                      <w:szCs w:val="21"/>
                      <w:u w:val="single"/>
                      <w:lang w:val="en-US" w:eastAsia="zh-CN"/>
                    </w:rPr>
                    <w:t>6</w:t>
                  </w:r>
                </w:p>
              </w:tc>
              <w:tc>
                <w:tcPr>
                  <w:tcW w:w="547" w:type="pct"/>
                  <w:tcBorders>
                    <w:tl2br w:val="nil"/>
                    <w:tr2bl w:val="nil"/>
                  </w:tcBorders>
                  <w:noWrap w:val="0"/>
                  <w:vAlign w:val="center"/>
                </w:tcPr>
                <w:p w14:paraId="3E2300C4">
                  <w:pPr>
                    <w:snapToGrid w:val="0"/>
                    <w:jc w:val="center"/>
                    <w:rPr>
                      <w:rFonts w:hint="eastAsia"/>
                      <w:color w:val="000000"/>
                      <w:szCs w:val="21"/>
                      <w:u w:val="single"/>
                      <w:lang w:val="en-US" w:eastAsia="zh-CN"/>
                    </w:rPr>
                  </w:pPr>
                  <w:r>
                    <w:rPr>
                      <w:rFonts w:hint="eastAsia"/>
                      <w:color w:val="000000"/>
                      <w:szCs w:val="21"/>
                      <w:u w:val="single"/>
                      <w:lang w:val="en-US" w:eastAsia="zh-CN"/>
                    </w:rPr>
                    <w:t>茅塘冲居民点#2</w:t>
                  </w:r>
                </w:p>
              </w:tc>
              <w:tc>
                <w:tcPr>
                  <w:tcW w:w="738" w:type="pct"/>
                  <w:tcBorders>
                    <w:tl2br w:val="nil"/>
                    <w:tr2bl w:val="nil"/>
                  </w:tcBorders>
                  <w:noWrap w:val="0"/>
                  <w:vAlign w:val="center"/>
                </w:tcPr>
                <w:p w14:paraId="41B28A0D">
                  <w:pPr>
                    <w:snapToGrid w:val="0"/>
                    <w:jc w:val="center"/>
                    <w:rPr>
                      <w:rFonts w:hint="eastAsia"/>
                      <w:color w:val="000000"/>
                      <w:szCs w:val="21"/>
                      <w:u w:val="single"/>
                    </w:rPr>
                  </w:pPr>
                  <w:r>
                    <w:rPr>
                      <w:rFonts w:hint="eastAsia"/>
                      <w:color w:val="000000"/>
                      <w:szCs w:val="21"/>
                      <w:u w:val="single"/>
                    </w:rPr>
                    <w:t>111.826372</w:t>
                  </w:r>
                </w:p>
              </w:tc>
              <w:tc>
                <w:tcPr>
                  <w:tcW w:w="684" w:type="pct"/>
                  <w:tcBorders>
                    <w:tl2br w:val="nil"/>
                    <w:tr2bl w:val="nil"/>
                  </w:tcBorders>
                  <w:noWrap w:val="0"/>
                  <w:vAlign w:val="center"/>
                </w:tcPr>
                <w:p w14:paraId="4344E5C8">
                  <w:pPr>
                    <w:snapToGrid w:val="0"/>
                    <w:jc w:val="center"/>
                    <w:rPr>
                      <w:rFonts w:hint="eastAsia"/>
                      <w:color w:val="000000"/>
                      <w:spacing w:val="4"/>
                      <w:u w:val="single"/>
                    </w:rPr>
                  </w:pPr>
                  <w:r>
                    <w:rPr>
                      <w:rFonts w:hint="eastAsia"/>
                      <w:color w:val="000000"/>
                      <w:spacing w:val="4"/>
                      <w:u w:val="single"/>
                    </w:rPr>
                    <w:t>26.615788</w:t>
                  </w:r>
                </w:p>
              </w:tc>
              <w:tc>
                <w:tcPr>
                  <w:tcW w:w="404" w:type="pct"/>
                  <w:tcBorders>
                    <w:tl2br w:val="nil"/>
                    <w:tr2bl w:val="nil"/>
                  </w:tcBorders>
                  <w:shd w:val="clear" w:color="auto" w:fill="auto"/>
                  <w:noWrap w:val="0"/>
                  <w:vAlign w:val="center"/>
                </w:tcPr>
                <w:p w14:paraId="6854455C">
                  <w:pPr>
                    <w:snapToGrid w:val="0"/>
                    <w:jc w:val="center"/>
                    <w:rPr>
                      <w:rFonts w:hint="eastAsia"/>
                      <w:color w:val="000000"/>
                      <w:spacing w:val="4"/>
                      <w:u w:val="single"/>
                    </w:rPr>
                  </w:pPr>
                  <w:r>
                    <w:rPr>
                      <w:rFonts w:hint="eastAsia"/>
                      <w:color w:val="000000"/>
                      <w:spacing w:val="4"/>
                      <w:u w:val="single"/>
                    </w:rPr>
                    <w:t>居住区</w:t>
                  </w:r>
                </w:p>
              </w:tc>
              <w:tc>
                <w:tcPr>
                  <w:tcW w:w="617" w:type="pct"/>
                  <w:tcBorders>
                    <w:tl2br w:val="nil"/>
                    <w:tr2bl w:val="nil"/>
                  </w:tcBorders>
                  <w:shd w:val="clear" w:color="auto" w:fill="auto"/>
                  <w:noWrap w:val="0"/>
                  <w:vAlign w:val="center"/>
                </w:tcPr>
                <w:p w14:paraId="5A2DA220">
                  <w:pPr>
                    <w:widowControl/>
                    <w:jc w:val="center"/>
                    <w:rPr>
                      <w:rFonts w:hint="eastAsia"/>
                      <w:color w:val="000000"/>
                      <w:spacing w:val="4"/>
                      <w:szCs w:val="21"/>
                      <w:u w:val="single"/>
                      <w:lang w:val="en-US" w:eastAsia="zh-CN"/>
                    </w:rPr>
                  </w:pPr>
                  <w:r>
                    <w:rPr>
                      <w:rFonts w:hint="eastAsia"/>
                      <w:color w:val="000000"/>
                      <w:spacing w:val="4"/>
                      <w:szCs w:val="21"/>
                      <w:u w:val="single"/>
                      <w:lang w:val="en-US" w:eastAsia="zh-CN"/>
                    </w:rPr>
                    <w:t>约4户，12人</w:t>
                  </w:r>
                </w:p>
              </w:tc>
              <w:tc>
                <w:tcPr>
                  <w:tcW w:w="452" w:type="pct"/>
                  <w:vMerge w:val="continue"/>
                  <w:tcBorders>
                    <w:tl2br w:val="nil"/>
                    <w:tr2bl w:val="nil"/>
                  </w:tcBorders>
                  <w:shd w:val="clear" w:color="auto" w:fill="auto"/>
                  <w:noWrap w:val="0"/>
                  <w:vAlign w:val="center"/>
                </w:tcPr>
                <w:p w14:paraId="40DBDB77">
                  <w:pPr>
                    <w:widowControl/>
                    <w:jc w:val="center"/>
                    <w:rPr>
                      <w:rFonts w:ascii="Times New Roman" w:hAnsi="Times New Roman" w:eastAsia="宋体" w:cs="Times New Roman"/>
                      <w:color w:val="000000"/>
                      <w:kern w:val="2"/>
                      <w:sz w:val="21"/>
                      <w:szCs w:val="21"/>
                      <w:u w:val="single"/>
                      <w:lang w:val="en-US" w:eastAsia="zh-CN" w:bidi="ar-SA"/>
                    </w:rPr>
                  </w:pPr>
                </w:p>
              </w:tc>
              <w:tc>
                <w:tcPr>
                  <w:tcW w:w="501" w:type="pct"/>
                  <w:tcBorders>
                    <w:tl2br w:val="nil"/>
                    <w:tr2bl w:val="nil"/>
                  </w:tcBorders>
                  <w:shd w:val="clear" w:color="auto" w:fill="auto"/>
                  <w:noWrap w:val="0"/>
                  <w:vAlign w:val="center"/>
                </w:tcPr>
                <w:p w14:paraId="109B6D50">
                  <w:pPr>
                    <w:snapToGrid w:val="0"/>
                    <w:jc w:val="center"/>
                    <w:rPr>
                      <w:rFonts w:hint="eastAsia" w:ascii="Times New Roman" w:hAnsi="Times New Roman" w:eastAsia="宋体" w:cs="Times New Roman"/>
                      <w:color w:val="000000"/>
                      <w:kern w:val="2"/>
                      <w:sz w:val="21"/>
                      <w:szCs w:val="24"/>
                      <w:u w:val="single"/>
                      <w:lang w:val="en-US" w:eastAsia="zh-CN" w:bidi="ar-SA"/>
                    </w:rPr>
                  </w:pPr>
                  <w:r>
                    <w:rPr>
                      <w:rFonts w:hint="eastAsia"/>
                      <w:color w:val="000000"/>
                      <w:u w:val="single"/>
                      <w:lang w:val="en-US" w:eastAsia="zh-CN"/>
                    </w:rPr>
                    <w:t>西北</w:t>
                  </w:r>
                </w:p>
              </w:tc>
              <w:tc>
                <w:tcPr>
                  <w:tcW w:w="745" w:type="pct"/>
                  <w:tcBorders>
                    <w:tl2br w:val="nil"/>
                    <w:tr2bl w:val="nil"/>
                  </w:tcBorders>
                  <w:shd w:val="clear" w:color="auto" w:fill="auto"/>
                  <w:noWrap w:val="0"/>
                  <w:vAlign w:val="center"/>
                </w:tcPr>
                <w:p w14:paraId="62494ED9">
                  <w:pPr>
                    <w:snapToGrid w:val="0"/>
                    <w:jc w:val="center"/>
                    <w:rPr>
                      <w:rFonts w:hint="default" w:ascii="Times New Roman" w:hAnsi="Times New Roman" w:eastAsia="宋体" w:cs="Times New Roman"/>
                      <w:color w:val="000000"/>
                      <w:spacing w:val="4"/>
                      <w:kern w:val="2"/>
                      <w:sz w:val="21"/>
                      <w:szCs w:val="24"/>
                      <w:u w:val="single"/>
                      <w:lang w:val="en-US" w:eastAsia="zh-CN" w:bidi="ar-SA"/>
                    </w:rPr>
                  </w:pPr>
                  <w:r>
                    <w:rPr>
                      <w:rFonts w:hint="eastAsia"/>
                      <w:color w:val="000000"/>
                      <w:spacing w:val="4"/>
                      <w:u w:val="single"/>
                      <w:lang w:val="en-US" w:eastAsia="zh-CN"/>
                    </w:rPr>
                    <w:t>390-495</w:t>
                  </w:r>
                </w:p>
              </w:tc>
            </w:tr>
          </w:tbl>
          <w:p w14:paraId="3136139F">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t>表3-</w:t>
            </w:r>
            <w:r>
              <w:rPr>
                <w:rFonts w:hint="eastAsia"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bidi="ar"/>
              </w:rPr>
              <w:t xml:space="preserve"> 地表水环境</w:t>
            </w:r>
            <w:r>
              <w:rPr>
                <w:rFonts w:hint="eastAsia" w:ascii="Times New Roman" w:hAnsi="Times New Roman" w:eastAsia="宋体" w:cs="Times New Roman"/>
                <w:b/>
                <w:bCs/>
                <w:color w:val="000000"/>
                <w:kern w:val="0"/>
                <w:sz w:val="24"/>
                <w:szCs w:val="24"/>
                <w:lang w:eastAsia="zh-CN" w:bidi="ar"/>
              </w:rPr>
              <w:t>、</w:t>
            </w:r>
            <w:r>
              <w:rPr>
                <w:rFonts w:hint="eastAsia" w:ascii="Times New Roman" w:hAnsi="Times New Roman" w:eastAsia="宋体" w:cs="Times New Roman"/>
                <w:b/>
                <w:bCs/>
                <w:color w:val="000000"/>
                <w:kern w:val="0"/>
                <w:sz w:val="24"/>
                <w:szCs w:val="24"/>
                <w:lang w:val="en-US" w:eastAsia="zh-CN" w:bidi="ar"/>
              </w:rPr>
              <w:t>声环境</w:t>
            </w:r>
            <w:r>
              <w:rPr>
                <w:rFonts w:hint="default" w:ascii="Times New Roman" w:hAnsi="Times New Roman" w:eastAsia="宋体" w:cs="Times New Roman"/>
                <w:b/>
                <w:bCs/>
                <w:color w:val="000000"/>
                <w:kern w:val="0"/>
                <w:sz w:val="24"/>
                <w:szCs w:val="24"/>
                <w:lang w:val="en-US" w:eastAsia="zh-CN" w:bidi="ar"/>
              </w:rPr>
              <w:t>及生态环境</w:t>
            </w:r>
            <w:r>
              <w:rPr>
                <w:rFonts w:hint="default" w:ascii="Times New Roman" w:hAnsi="Times New Roman" w:eastAsia="宋体" w:cs="Times New Roman"/>
                <w:b/>
                <w:bCs/>
                <w:color w:val="000000"/>
                <w:kern w:val="0"/>
                <w:sz w:val="24"/>
                <w:szCs w:val="24"/>
                <w:lang w:bidi="ar"/>
              </w:rPr>
              <w:t>保护目标一览表</w:t>
            </w:r>
          </w:p>
          <w:tbl>
            <w:tblPr>
              <w:tblStyle w:val="51"/>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90"/>
              <w:gridCol w:w="1313"/>
              <w:gridCol w:w="567"/>
              <w:gridCol w:w="1382"/>
              <w:gridCol w:w="1808"/>
              <w:gridCol w:w="2322"/>
            </w:tblGrid>
            <w:tr w14:paraId="017EAB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91" w:type="pct"/>
                  <w:tcBorders>
                    <w:top w:val="single" w:color="auto" w:sz="2" w:space="0"/>
                    <w:left w:val="single" w:color="auto" w:sz="2" w:space="0"/>
                    <w:bottom w:val="single" w:color="auto" w:sz="6" w:space="0"/>
                    <w:right w:val="single" w:color="auto" w:sz="6" w:space="0"/>
                  </w:tcBorders>
                  <w:noWrap w:val="0"/>
                  <w:vAlign w:val="center"/>
                </w:tcPr>
                <w:p w14:paraId="1F916CA8">
                  <w:pPr>
                    <w:widowControl/>
                    <w:jc w:val="center"/>
                    <w:rPr>
                      <w:b/>
                      <w:bCs/>
                      <w:kern w:val="0"/>
                      <w:szCs w:val="21"/>
                    </w:rPr>
                  </w:pPr>
                  <w:r>
                    <w:rPr>
                      <w:b/>
                      <w:bCs/>
                      <w:kern w:val="0"/>
                      <w:szCs w:val="21"/>
                    </w:rPr>
                    <w:t>项目</w:t>
                  </w:r>
                </w:p>
              </w:tc>
              <w:tc>
                <w:tcPr>
                  <w:tcW w:w="783" w:type="pct"/>
                  <w:tcBorders>
                    <w:top w:val="single" w:color="auto" w:sz="2" w:space="0"/>
                    <w:left w:val="single" w:color="auto" w:sz="6" w:space="0"/>
                    <w:bottom w:val="single" w:color="auto" w:sz="6" w:space="0"/>
                    <w:right w:val="single" w:color="auto" w:sz="6" w:space="0"/>
                  </w:tcBorders>
                  <w:noWrap w:val="0"/>
                  <w:vAlign w:val="center"/>
                </w:tcPr>
                <w:p w14:paraId="30A7B09B">
                  <w:pPr>
                    <w:widowControl/>
                    <w:jc w:val="center"/>
                    <w:rPr>
                      <w:b/>
                      <w:bCs/>
                      <w:kern w:val="0"/>
                      <w:szCs w:val="21"/>
                    </w:rPr>
                  </w:pPr>
                  <w:r>
                    <w:rPr>
                      <w:b/>
                      <w:bCs/>
                      <w:kern w:val="0"/>
                      <w:szCs w:val="21"/>
                    </w:rPr>
                    <w:t>环境保护目标</w:t>
                  </w:r>
                </w:p>
              </w:tc>
              <w:tc>
                <w:tcPr>
                  <w:tcW w:w="338" w:type="pct"/>
                  <w:tcBorders>
                    <w:top w:val="single" w:color="auto" w:sz="2" w:space="0"/>
                    <w:left w:val="single" w:color="auto" w:sz="6" w:space="0"/>
                    <w:bottom w:val="single" w:color="auto" w:sz="6" w:space="0"/>
                    <w:right w:val="single" w:color="auto" w:sz="6" w:space="0"/>
                  </w:tcBorders>
                  <w:noWrap w:val="0"/>
                  <w:vAlign w:val="center"/>
                </w:tcPr>
                <w:p w14:paraId="5D1BE01C">
                  <w:pPr>
                    <w:widowControl/>
                    <w:jc w:val="center"/>
                    <w:rPr>
                      <w:b/>
                      <w:bCs/>
                      <w:kern w:val="0"/>
                      <w:szCs w:val="21"/>
                    </w:rPr>
                  </w:pPr>
                  <w:r>
                    <w:rPr>
                      <w:b/>
                      <w:bCs/>
                      <w:kern w:val="0"/>
                      <w:szCs w:val="21"/>
                    </w:rPr>
                    <w:t>方位</w:t>
                  </w:r>
                </w:p>
              </w:tc>
              <w:tc>
                <w:tcPr>
                  <w:tcW w:w="824" w:type="pct"/>
                  <w:tcBorders>
                    <w:top w:val="single" w:color="auto" w:sz="2" w:space="0"/>
                    <w:left w:val="single" w:color="auto" w:sz="6" w:space="0"/>
                    <w:bottom w:val="single" w:color="auto" w:sz="6" w:space="0"/>
                    <w:right w:val="single" w:color="auto" w:sz="6" w:space="0"/>
                  </w:tcBorders>
                  <w:noWrap w:val="0"/>
                  <w:vAlign w:val="center"/>
                </w:tcPr>
                <w:p w14:paraId="33C68A19">
                  <w:pPr>
                    <w:widowControl/>
                    <w:jc w:val="center"/>
                    <w:rPr>
                      <w:b/>
                      <w:bCs/>
                      <w:kern w:val="0"/>
                      <w:szCs w:val="21"/>
                    </w:rPr>
                  </w:pPr>
                  <w:r>
                    <w:rPr>
                      <w:b/>
                      <w:bCs/>
                      <w:kern w:val="0"/>
                      <w:szCs w:val="21"/>
                    </w:rPr>
                    <w:t>与</w:t>
                  </w:r>
                  <w:r>
                    <w:rPr>
                      <w:rFonts w:hint="eastAsia"/>
                      <w:b/>
                      <w:bCs/>
                      <w:kern w:val="0"/>
                      <w:szCs w:val="21"/>
                      <w:lang w:val="en-US" w:eastAsia="zh-CN"/>
                    </w:rPr>
                    <w:t>厂界</w:t>
                  </w:r>
                  <w:r>
                    <w:rPr>
                      <w:b/>
                      <w:bCs/>
                      <w:kern w:val="0"/>
                      <w:szCs w:val="21"/>
                    </w:rPr>
                    <w:t>最近距离</w:t>
                  </w:r>
                </w:p>
              </w:tc>
              <w:tc>
                <w:tcPr>
                  <w:tcW w:w="1077" w:type="pct"/>
                  <w:tcBorders>
                    <w:top w:val="single" w:color="auto" w:sz="2" w:space="0"/>
                    <w:left w:val="single" w:color="auto" w:sz="6" w:space="0"/>
                    <w:bottom w:val="single" w:color="auto" w:sz="6" w:space="0"/>
                    <w:right w:val="single" w:color="auto" w:sz="6" w:space="0"/>
                  </w:tcBorders>
                  <w:noWrap w:val="0"/>
                  <w:vAlign w:val="center"/>
                </w:tcPr>
                <w:p w14:paraId="4EC0E60A">
                  <w:pPr>
                    <w:widowControl/>
                    <w:jc w:val="center"/>
                    <w:rPr>
                      <w:b/>
                      <w:bCs/>
                      <w:kern w:val="0"/>
                      <w:szCs w:val="21"/>
                    </w:rPr>
                  </w:pPr>
                  <w:r>
                    <w:rPr>
                      <w:b/>
                      <w:bCs/>
                      <w:kern w:val="0"/>
                      <w:szCs w:val="21"/>
                    </w:rPr>
                    <w:t>规模、功能</w:t>
                  </w:r>
                </w:p>
              </w:tc>
              <w:tc>
                <w:tcPr>
                  <w:tcW w:w="1385" w:type="pct"/>
                  <w:tcBorders>
                    <w:top w:val="single" w:color="auto" w:sz="2" w:space="0"/>
                    <w:left w:val="single" w:color="auto" w:sz="6" w:space="0"/>
                    <w:bottom w:val="single" w:color="auto" w:sz="6" w:space="0"/>
                    <w:right w:val="single" w:color="auto" w:sz="2" w:space="0"/>
                  </w:tcBorders>
                  <w:noWrap w:val="0"/>
                  <w:vAlign w:val="center"/>
                </w:tcPr>
                <w:p w14:paraId="68E91019">
                  <w:pPr>
                    <w:widowControl/>
                    <w:jc w:val="center"/>
                    <w:rPr>
                      <w:b/>
                      <w:bCs/>
                      <w:kern w:val="0"/>
                      <w:szCs w:val="21"/>
                    </w:rPr>
                  </w:pPr>
                  <w:r>
                    <w:rPr>
                      <w:b/>
                      <w:bCs/>
                      <w:kern w:val="0"/>
                      <w:szCs w:val="21"/>
                    </w:rPr>
                    <w:t>保护级别</w:t>
                  </w:r>
                </w:p>
              </w:tc>
            </w:tr>
            <w:tr w14:paraId="7592312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91" w:type="pct"/>
                  <w:vMerge w:val="restart"/>
                  <w:tcBorders>
                    <w:top w:val="single" w:color="auto" w:sz="6" w:space="0"/>
                    <w:left w:val="single" w:color="auto" w:sz="2" w:space="0"/>
                    <w:right w:val="single" w:color="auto" w:sz="6" w:space="0"/>
                  </w:tcBorders>
                  <w:noWrap w:val="0"/>
                  <w:vAlign w:val="center"/>
                </w:tcPr>
                <w:p w14:paraId="1AA1FB1F">
                  <w:pPr>
                    <w:widowControl/>
                    <w:jc w:val="center"/>
                    <w:rPr>
                      <w:kern w:val="0"/>
                      <w:szCs w:val="21"/>
                    </w:rPr>
                  </w:pPr>
                  <w:r>
                    <w:rPr>
                      <w:kern w:val="0"/>
                      <w:szCs w:val="21"/>
                    </w:rPr>
                    <w:t>地表水环境</w:t>
                  </w:r>
                </w:p>
              </w:tc>
              <w:tc>
                <w:tcPr>
                  <w:tcW w:w="783" w:type="pct"/>
                  <w:tcBorders>
                    <w:top w:val="single" w:color="auto" w:sz="6" w:space="0"/>
                    <w:left w:val="single" w:color="auto" w:sz="6" w:space="0"/>
                    <w:bottom w:val="single" w:color="auto" w:sz="6" w:space="0"/>
                    <w:right w:val="single" w:color="auto" w:sz="6" w:space="0"/>
                  </w:tcBorders>
                  <w:noWrap w:val="0"/>
                  <w:vAlign w:val="center"/>
                </w:tcPr>
                <w:p w14:paraId="7CD64039">
                  <w:pPr>
                    <w:widowControl/>
                    <w:jc w:val="center"/>
                    <w:rPr>
                      <w:kern w:val="0"/>
                      <w:szCs w:val="21"/>
                    </w:rPr>
                  </w:pPr>
                  <w:r>
                    <w:rPr>
                      <w:rFonts w:hint="eastAsia"/>
                      <w:kern w:val="0"/>
                      <w:szCs w:val="21"/>
                      <w:lang w:val="en-US" w:eastAsia="zh-CN"/>
                    </w:rPr>
                    <w:t>祁水</w:t>
                  </w:r>
                </w:p>
              </w:tc>
              <w:tc>
                <w:tcPr>
                  <w:tcW w:w="338" w:type="pct"/>
                  <w:tcBorders>
                    <w:top w:val="single" w:color="auto" w:sz="6" w:space="0"/>
                    <w:left w:val="single" w:color="auto" w:sz="6" w:space="0"/>
                    <w:bottom w:val="single" w:color="auto" w:sz="6" w:space="0"/>
                    <w:right w:val="single" w:color="auto" w:sz="6" w:space="0"/>
                  </w:tcBorders>
                  <w:noWrap w:val="0"/>
                  <w:vAlign w:val="center"/>
                </w:tcPr>
                <w:p w14:paraId="36EAEDBF">
                  <w:pPr>
                    <w:widowControl/>
                    <w:jc w:val="center"/>
                    <w:rPr>
                      <w:rFonts w:hint="default" w:eastAsia="宋体"/>
                      <w:kern w:val="0"/>
                      <w:szCs w:val="21"/>
                      <w:lang w:val="en-US" w:eastAsia="zh-CN"/>
                    </w:rPr>
                  </w:pPr>
                  <w:r>
                    <w:rPr>
                      <w:rFonts w:hint="eastAsia"/>
                      <w:kern w:val="0"/>
                      <w:szCs w:val="21"/>
                      <w:lang w:val="en-US" w:eastAsia="zh-CN"/>
                    </w:rPr>
                    <w:t>东</w:t>
                  </w:r>
                </w:p>
              </w:tc>
              <w:tc>
                <w:tcPr>
                  <w:tcW w:w="824" w:type="pct"/>
                  <w:tcBorders>
                    <w:top w:val="single" w:color="auto" w:sz="6" w:space="0"/>
                    <w:left w:val="single" w:color="auto" w:sz="6" w:space="0"/>
                    <w:bottom w:val="single" w:color="auto" w:sz="6" w:space="0"/>
                    <w:right w:val="single" w:color="auto" w:sz="6" w:space="0"/>
                  </w:tcBorders>
                  <w:noWrap w:val="0"/>
                  <w:vAlign w:val="center"/>
                </w:tcPr>
                <w:p w14:paraId="6AA64D35">
                  <w:pPr>
                    <w:widowControl/>
                    <w:jc w:val="center"/>
                    <w:rPr>
                      <w:rFonts w:hint="default" w:eastAsia="宋体"/>
                      <w:kern w:val="0"/>
                      <w:szCs w:val="21"/>
                      <w:lang w:val="en-US" w:eastAsia="zh-CN"/>
                    </w:rPr>
                  </w:pPr>
                  <w:r>
                    <w:rPr>
                      <w:rFonts w:hint="eastAsia"/>
                      <w:kern w:val="0"/>
                      <w:szCs w:val="21"/>
                      <w:lang w:val="en-US" w:eastAsia="zh-CN"/>
                    </w:rPr>
                    <w:t>1.1km</w:t>
                  </w:r>
                </w:p>
              </w:tc>
              <w:tc>
                <w:tcPr>
                  <w:tcW w:w="1077" w:type="pct"/>
                  <w:tcBorders>
                    <w:top w:val="single" w:color="auto" w:sz="6" w:space="0"/>
                    <w:left w:val="single" w:color="auto" w:sz="6" w:space="0"/>
                    <w:bottom w:val="single" w:color="auto" w:sz="6" w:space="0"/>
                    <w:right w:val="single" w:color="auto" w:sz="6" w:space="0"/>
                  </w:tcBorders>
                  <w:noWrap w:val="0"/>
                  <w:vAlign w:val="center"/>
                </w:tcPr>
                <w:p w14:paraId="3B3534E4">
                  <w:pPr>
                    <w:widowControl/>
                    <w:jc w:val="center"/>
                    <w:rPr>
                      <w:rFonts w:hint="eastAsia" w:eastAsia="宋体"/>
                      <w:kern w:val="0"/>
                      <w:szCs w:val="21"/>
                      <w:lang w:eastAsia="zh-CN"/>
                    </w:rPr>
                  </w:pPr>
                  <w:r>
                    <w:rPr>
                      <w:rFonts w:hint="eastAsia"/>
                      <w:kern w:val="0"/>
                      <w:szCs w:val="21"/>
                    </w:rPr>
                    <w:t>灌溉</w:t>
                  </w:r>
                  <w:r>
                    <w:rPr>
                      <w:rFonts w:hint="eastAsia"/>
                      <w:kern w:val="0"/>
                      <w:szCs w:val="21"/>
                      <w:lang w:eastAsia="zh-CN"/>
                    </w:rPr>
                    <w:t>、</w:t>
                  </w:r>
                  <w:r>
                    <w:rPr>
                      <w:rFonts w:hint="eastAsia"/>
                      <w:kern w:val="0"/>
                      <w:szCs w:val="21"/>
                    </w:rPr>
                    <w:t>渔业用水</w:t>
                  </w:r>
                </w:p>
              </w:tc>
              <w:tc>
                <w:tcPr>
                  <w:tcW w:w="1385" w:type="pct"/>
                  <w:vMerge w:val="restart"/>
                  <w:tcBorders>
                    <w:top w:val="single" w:color="auto" w:sz="6" w:space="0"/>
                    <w:left w:val="single" w:color="auto" w:sz="6" w:space="0"/>
                    <w:right w:val="single" w:color="auto" w:sz="2" w:space="0"/>
                  </w:tcBorders>
                  <w:noWrap w:val="0"/>
                  <w:vAlign w:val="center"/>
                </w:tcPr>
                <w:p w14:paraId="10DED5FB">
                  <w:pPr>
                    <w:widowControl/>
                    <w:jc w:val="center"/>
                    <w:rPr>
                      <w:kern w:val="0"/>
                      <w:szCs w:val="21"/>
                    </w:rPr>
                  </w:pPr>
                  <w:r>
                    <w:rPr>
                      <w:kern w:val="0"/>
                      <w:szCs w:val="21"/>
                    </w:rPr>
                    <w:t>GB 3838-2002中的Ⅲ类标准</w:t>
                  </w:r>
                </w:p>
              </w:tc>
            </w:tr>
            <w:tr w14:paraId="03E8E2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91" w:type="pct"/>
                  <w:vMerge w:val="continue"/>
                  <w:tcBorders>
                    <w:left w:val="single" w:color="auto" w:sz="2" w:space="0"/>
                    <w:right w:val="single" w:color="auto" w:sz="6" w:space="0"/>
                  </w:tcBorders>
                  <w:noWrap w:val="0"/>
                  <w:vAlign w:val="center"/>
                </w:tcPr>
                <w:p w14:paraId="76738122">
                  <w:pPr>
                    <w:widowControl/>
                    <w:jc w:val="center"/>
                    <w:rPr>
                      <w:kern w:val="0"/>
                      <w:szCs w:val="21"/>
                    </w:rPr>
                  </w:pPr>
                </w:p>
              </w:tc>
              <w:tc>
                <w:tcPr>
                  <w:tcW w:w="783" w:type="pct"/>
                  <w:tcBorders>
                    <w:top w:val="single" w:color="auto" w:sz="6" w:space="0"/>
                    <w:left w:val="single" w:color="auto" w:sz="6" w:space="0"/>
                    <w:bottom w:val="single" w:color="auto" w:sz="6" w:space="0"/>
                    <w:right w:val="single" w:color="auto" w:sz="6" w:space="0"/>
                  </w:tcBorders>
                  <w:noWrap w:val="0"/>
                  <w:vAlign w:val="center"/>
                </w:tcPr>
                <w:p w14:paraId="209D858B">
                  <w:pPr>
                    <w:widowControl/>
                    <w:jc w:val="center"/>
                    <w:rPr>
                      <w:rFonts w:hint="default" w:eastAsia="宋体"/>
                      <w:kern w:val="0"/>
                      <w:szCs w:val="21"/>
                      <w:lang w:val="en-US" w:eastAsia="zh-CN"/>
                    </w:rPr>
                  </w:pPr>
                  <w:r>
                    <w:rPr>
                      <w:rFonts w:hint="eastAsia"/>
                      <w:kern w:val="0"/>
                      <w:szCs w:val="21"/>
                      <w:lang w:val="en-US" w:eastAsia="zh-CN"/>
                    </w:rPr>
                    <w:t>湘江</w:t>
                  </w:r>
                </w:p>
              </w:tc>
              <w:tc>
                <w:tcPr>
                  <w:tcW w:w="338" w:type="pct"/>
                  <w:tcBorders>
                    <w:top w:val="single" w:color="auto" w:sz="6" w:space="0"/>
                    <w:left w:val="single" w:color="auto" w:sz="6" w:space="0"/>
                    <w:bottom w:val="single" w:color="auto" w:sz="6" w:space="0"/>
                    <w:right w:val="single" w:color="auto" w:sz="6" w:space="0"/>
                  </w:tcBorders>
                  <w:noWrap w:val="0"/>
                  <w:vAlign w:val="center"/>
                </w:tcPr>
                <w:p w14:paraId="3A0E5AB2">
                  <w:pPr>
                    <w:widowControl/>
                    <w:jc w:val="center"/>
                    <w:rPr>
                      <w:rFonts w:hint="eastAsia" w:eastAsia="宋体"/>
                      <w:kern w:val="0"/>
                      <w:szCs w:val="21"/>
                      <w:lang w:val="en-US" w:eastAsia="zh-CN"/>
                    </w:rPr>
                  </w:pPr>
                  <w:r>
                    <w:rPr>
                      <w:rFonts w:hint="eastAsia"/>
                      <w:kern w:val="0"/>
                      <w:szCs w:val="21"/>
                      <w:lang w:val="en-US" w:eastAsia="zh-CN"/>
                    </w:rPr>
                    <w:t>南</w:t>
                  </w:r>
                </w:p>
              </w:tc>
              <w:tc>
                <w:tcPr>
                  <w:tcW w:w="824" w:type="pct"/>
                  <w:tcBorders>
                    <w:top w:val="single" w:color="auto" w:sz="6" w:space="0"/>
                    <w:left w:val="single" w:color="auto" w:sz="6" w:space="0"/>
                    <w:bottom w:val="single" w:color="auto" w:sz="6" w:space="0"/>
                    <w:right w:val="single" w:color="auto" w:sz="6" w:space="0"/>
                  </w:tcBorders>
                  <w:noWrap w:val="0"/>
                  <w:vAlign w:val="center"/>
                </w:tcPr>
                <w:p w14:paraId="71B80C3D">
                  <w:pPr>
                    <w:widowControl/>
                    <w:jc w:val="center"/>
                    <w:rPr>
                      <w:rFonts w:hint="default" w:eastAsia="宋体"/>
                      <w:kern w:val="0"/>
                      <w:szCs w:val="21"/>
                      <w:lang w:val="en-US" w:eastAsia="zh-CN"/>
                    </w:rPr>
                  </w:pPr>
                  <w:r>
                    <w:rPr>
                      <w:rFonts w:hint="eastAsia"/>
                      <w:kern w:val="0"/>
                      <w:szCs w:val="21"/>
                      <w:lang w:val="en-US" w:eastAsia="zh-CN"/>
                    </w:rPr>
                    <w:t>5km</w:t>
                  </w:r>
                </w:p>
              </w:tc>
              <w:tc>
                <w:tcPr>
                  <w:tcW w:w="1077" w:type="pct"/>
                  <w:tcBorders>
                    <w:top w:val="single" w:color="auto" w:sz="6" w:space="0"/>
                    <w:left w:val="single" w:color="auto" w:sz="6" w:space="0"/>
                    <w:bottom w:val="single" w:color="auto" w:sz="6" w:space="0"/>
                    <w:right w:val="single" w:color="auto" w:sz="6" w:space="0"/>
                  </w:tcBorders>
                  <w:noWrap w:val="0"/>
                  <w:vAlign w:val="center"/>
                </w:tcPr>
                <w:p w14:paraId="0309C721">
                  <w:pPr>
                    <w:widowControl/>
                    <w:jc w:val="center"/>
                    <w:rPr>
                      <w:rFonts w:hint="eastAsia"/>
                      <w:kern w:val="0"/>
                      <w:szCs w:val="21"/>
                    </w:rPr>
                  </w:pPr>
                  <w:r>
                    <w:rPr>
                      <w:rFonts w:hint="eastAsia"/>
                      <w:kern w:val="0"/>
                      <w:szCs w:val="21"/>
                    </w:rPr>
                    <w:t>渔业用水、大河</w:t>
                  </w:r>
                </w:p>
              </w:tc>
              <w:tc>
                <w:tcPr>
                  <w:tcW w:w="1385" w:type="pct"/>
                  <w:vMerge w:val="continue"/>
                  <w:tcBorders>
                    <w:left w:val="single" w:color="auto" w:sz="6" w:space="0"/>
                    <w:bottom w:val="single" w:color="auto" w:sz="6" w:space="0"/>
                    <w:right w:val="single" w:color="auto" w:sz="2" w:space="0"/>
                  </w:tcBorders>
                  <w:noWrap w:val="0"/>
                  <w:vAlign w:val="center"/>
                </w:tcPr>
                <w:p w14:paraId="73BD0ABF">
                  <w:pPr>
                    <w:widowControl/>
                    <w:jc w:val="center"/>
                    <w:rPr>
                      <w:kern w:val="0"/>
                      <w:szCs w:val="21"/>
                    </w:rPr>
                  </w:pPr>
                </w:p>
              </w:tc>
            </w:tr>
            <w:tr w14:paraId="7F343A9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91" w:type="pct"/>
                  <w:vMerge w:val="restart"/>
                  <w:tcBorders>
                    <w:top w:val="single" w:color="auto" w:sz="6" w:space="0"/>
                    <w:left w:val="single" w:color="auto" w:sz="2" w:space="0"/>
                    <w:right w:val="single" w:color="auto" w:sz="6" w:space="0"/>
                  </w:tcBorders>
                  <w:noWrap w:val="0"/>
                  <w:vAlign w:val="center"/>
                </w:tcPr>
                <w:p w14:paraId="4CD4E44E">
                  <w:pPr>
                    <w:widowControl/>
                    <w:jc w:val="center"/>
                    <w:rPr>
                      <w:kern w:val="0"/>
                      <w:szCs w:val="21"/>
                      <w:u w:val="single"/>
                    </w:rPr>
                  </w:pPr>
                  <w:r>
                    <w:rPr>
                      <w:kern w:val="0"/>
                      <w:szCs w:val="21"/>
                      <w:u w:val="single"/>
                    </w:rPr>
                    <w:t>声环境</w:t>
                  </w:r>
                </w:p>
              </w:tc>
              <w:tc>
                <w:tcPr>
                  <w:tcW w:w="783"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5E225B4">
                  <w:pPr>
                    <w:snapToGrid w:val="0"/>
                    <w:jc w:val="center"/>
                    <w:rPr>
                      <w:rFonts w:hint="default" w:ascii="Times New Roman" w:hAnsi="Times New Roman" w:eastAsia="宋体" w:cs="Times New Roman"/>
                      <w:spacing w:val="4"/>
                      <w:kern w:val="2"/>
                      <w:sz w:val="21"/>
                      <w:szCs w:val="21"/>
                      <w:u w:val="single"/>
                      <w:lang w:val="en-US" w:eastAsia="zh-CN" w:bidi="ar-SA"/>
                    </w:rPr>
                  </w:pPr>
                  <w:r>
                    <w:rPr>
                      <w:rFonts w:hint="eastAsia"/>
                      <w:spacing w:val="4"/>
                      <w:szCs w:val="21"/>
                      <w:u w:val="single"/>
                      <w:lang w:val="en-US" w:eastAsia="zh-CN"/>
                    </w:rPr>
                    <w:t>许家院居民点#1</w:t>
                  </w:r>
                </w:p>
              </w:tc>
              <w:tc>
                <w:tcPr>
                  <w:tcW w:w="33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22FF484">
                  <w:pPr>
                    <w:snapToGrid w:val="0"/>
                    <w:jc w:val="center"/>
                    <w:rPr>
                      <w:rFonts w:hint="eastAsia" w:ascii="Times New Roman" w:hAnsi="Times New Roman" w:eastAsia="宋体" w:cs="Times New Roman"/>
                      <w:color w:val="000000"/>
                      <w:kern w:val="2"/>
                      <w:sz w:val="21"/>
                      <w:szCs w:val="24"/>
                      <w:u w:val="single"/>
                      <w:lang w:val="en-US" w:eastAsia="zh-CN" w:bidi="ar-SA"/>
                    </w:rPr>
                  </w:pPr>
                  <w:r>
                    <w:rPr>
                      <w:rFonts w:hint="eastAsia"/>
                      <w:color w:val="000000"/>
                      <w:u w:val="single"/>
                      <w:lang w:val="en-US" w:eastAsia="zh-CN"/>
                    </w:rPr>
                    <w:t>东北</w:t>
                  </w:r>
                </w:p>
              </w:tc>
              <w:tc>
                <w:tcPr>
                  <w:tcW w:w="82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AB3D1F2">
                  <w:pPr>
                    <w:snapToGrid w:val="0"/>
                    <w:jc w:val="center"/>
                    <w:rPr>
                      <w:rFonts w:hint="default" w:ascii="Times New Roman" w:hAnsi="Times New Roman" w:eastAsia="宋体" w:cs="Times New Roman"/>
                      <w:color w:val="000000"/>
                      <w:spacing w:val="4"/>
                      <w:kern w:val="2"/>
                      <w:sz w:val="21"/>
                      <w:szCs w:val="21"/>
                      <w:u w:val="single"/>
                      <w:lang w:val="en-US" w:eastAsia="zh-CN" w:bidi="ar-SA"/>
                    </w:rPr>
                  </w:pPr>
                  <w:r>
                    <w:rPr>
                      <w:rFonts w:hint="eastAsia" w:cs="Times New Roman"/>
                      <w:color w:val="000000"/>
                      <w:spacing w:val="4"/>
                      <w:kern w:val="2"/>
                      <w:sz w:val="21"/>
                      <w:szCs w:val="21"/>
                      <w:u w:val="single"/>
                      <w:lang w:val="en-US" w:eastAsia="zh-CN" w:bidi="ar-SA"/>
                    </w:rPr>
                    <w:t>2-75m</w:t>
                  </w:r>
                </w:p>
              </w:tc>
              <w:tc>
                <w:tcPr>
                  <w:tcW w:w="1077" w:type="pct"/>
                  <w:tcBorders>
                    <w:top w:val="single" w:color="auto" w:sz="6" w:space="0"/>
                    <w:left w:val="single" w:color="auto" w:sz="6" w:space="0"/>
                    <w:bottom w:val="single" w:color="auto" w:sz="6" w:space="0"/>
                    <w:right w:val="single" w:color="auto" w:sz="6" w:space="0"/>
                  </w:tcBorders>
                  <w:noWrap w:val="0"/>
                  <w:vAlign w:val="center"/>
                </w:tcPr>
                <w:p w14:paraId="4A046E49">
                  <w:pPr>
                    <w:rPr>
                      <w:kern w:val="0"/>
                      <w:szCs w:val="21"/>
                      <w:u w:val="single"/>
                    </w:rPr>
                  </w:pPr>
                  <w:r>
                    <w:rPr>
                      <w:rFonts w:hint="eastAsia"/>
                      <w:u w:val="single"/>
                    </w:rPr>
                    <w:t>居住区</w:t>
                  </w:r>
                  <w:r>
                    <w:rPr>
                      <w:rFonts w:hint="eastAsia"/>
                      <w:u w:val="single"/>
                      <w:lang w:eastAsia="zh-CN"/>
                    </w:rPr>
                    <w:t>，</w:t>
                  </w:r>
                  <w:r>
                    <w:rPr>
                      <w:rFonts w:hint="eastAsia"/>
                      <w:u w:val="single"/>
                    </w:rPr>
                    <w:t>约4户，12人</w:t>
                  </w:r>
                </w:p>
              </w:tc>
              <w:tc>
                <w:tcPr>
                  <w:tcW w:w="1385" w:type="pct"/>
                  <w:tcBorders>
                    <w:top w:val="single" w:color="auto" w:sz="6" w:space="0"/>
                    <w:left w:val="single" w:color="auto" w:sz="6" w:space="0"/>
                    <w:bottom w:val="single" w:color="auto" w:sz="6" w:space="0"/>
                    <w:right w:val="single" w:color="auto" w:sz="2" w:space="0"/>
                  </w:tcBorders>
                  <w:noWrap w:val="0"/>
                  <w:vAlign w:val="center"/>
                </w:tcPr>
                <w:p w14:paraId="674E411D">
                  <w:pPr>
                    <w:widowControl/>
                    <w:jc w:val="center"/>
                    <w:rPr>
                      <w:kern w:val="0"/>
                      <w:szCs w:val="21"/>
                      <w:u w:val="single"/>
                    </w:rPr>
                  </w:pPr>
                  <w:r>
                    <w:rPr>
                      <w:kern w:val="0"/>
                      <w:szCs w:val="21"/>
                      <w:u w:val="single"/>
                    </w:rPr>
                    <w:t>GB 3096-2008中</w:t>
                  </w:r>
                </w:p>
                <w:p w14:paraId="0D31AFAA">
                  <w:pPr>
                    <w:widowControl/>
                    <w:jc w:val="center"/>
                    <w:rPr>
                      <w:kern w:val="0"/>
                      <w:szCs w:val="21"/>
                      <w:u w:val="single"/>
                    </w:rPr>
                  </w:pPr>
                  <w:r>
                    <w:rPr>
                      <w:kern w:val="0"/>
                      <w:szCs w:val="21"/>
                      <w:u w:val="single"/>
                    </w:rPr>
                    <w:t>2类标准</w:t>
                  </w:r>
                </w:p>
              </w:tc>
            </w:tr>
            <w:tr w14:paraId="6539632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591" w:type="pct"/>
                  <w:vMerge w:val="continue"/>
                  <w:tcBorders>
                    <w:left w:val="single" w:color="auto" w:sz="2" w:space="0"/>
                    <w:right w:val="single" w:color="auto" w:sz="6" w:space="0"/>
                  </w:tcBorders>
                  <w:noWrap w:val="0"/>
                  <w:vAlign w:val="center"/>
                </w:tcPr>
                <w:p w14:paraId="5C701A5A">
                  <w:pPr>
                    <w:widowControl/>
                    <w:jc w:val="center"/>
                    <w:rPr>
                      <w:kern w:val="0"/>
                      <w:szCs w:val="21"/>
                      <w:u w:val="single"/>
                    </w:rPr>
                  </w:pPr>
                </w:p>
              </w:tc>
              <w:tc>
                <w:tcPr>
                  <w:tcW w:w="783"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6C723B4">
                  <w:pPr>
                    <w:snapToGrid w:val="0"/>
                    <w:jc w:val="center"/>
                    <w:rPr>
                      <w:rFonts w:hint="eastAsia" w:ascii="Times New Roman" w:hAnsi="Times New Roman" w:eastAsia="宋体" w:cs="Times New Roman"/>
                      <w:spacing w:val="4"/>
                      <w:kern w:val="2"/>
                      <w:sz w:val="21"/>
                      <w:szCs w:val="21"/>
                      <w:u w:val="single"/>
                      <w:lang w:val="en-US" w:eastAsia="zh-CN" w:bidi="ar-SA"/>
                    </w:rPr>
                  </w:pPr>
                  <w:r>
                    <w:rPr>
                      <w:rFonts w:hint="eastAsia"/>
                      <w:spacing w:val="4"/>
                      <w:szCs w:val="21"/>
                      <w:u w:val="single"/>
                      <w:lang w:val="en-US" w:eastAsia="zh-CN"/>
                    </w:rPr>
                    <w:t>许家院居民点#2</w:t>
                  </w:r>
                </w:p>
              </w:tc>
              <w:tc>
                <w:tcPr>
                  <w:tcW w:w="33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132CAA1">
                  <w:pPr>
                    <w:snapToGrid w:val="0"/>
                    <w:jc w:val="center"/>
                    <w:rPr>
                      <w:rFonts w:hint="eastAsia" w:ascii="Times New Roman" w:hAnsi="Times New Roman" w:eastAsia="宋体" w:cs="Times New Roman"/>
                      <w:color w:val="000000"/>
                      <w:kern w:val="2"/>
                      <w:sz w:val="21"/>
                      <w:szCs w:val="24"/>
                      <w:u w:val="single"/>
                      <w:lang w:val="en-US" w:eastAsia="zh-CN" w:bidi="ar-SA"/>
                    </w:rPr>
                  </w:pPr>
                  <w:r>
                    <w:rPr>
                      <w:rFonts w:hint="eastAsia"/>
                      <w:color w:val="000000"/>
                      <w:u w:val="single"/>
                      <w:lang w:val="en-US" w:eastAsia="zh-CN"/>
                    </w:rPr>
                    <w:t>东南</w:t>
                  </w:r>
                </w:p>
              </w:tc>
              <w:tc>
                <w:tcPr>
                  <w:tcW w:w="82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67508BE">
                  <w:pPr>
                    <w:snapToGrid w:val="0"/>
                    <w:jc w:val="center"/>
                    <w:rPr>
                      <w:rFonts w:hint="default" w:ascii="Times New Roman" w:hAnsi="Times New Roman" w:eastAsia="宋体" w:cs="Times New Roman"/>
                      <w:color w:val="000000"/>
                      <w:spacing w:val="4"/>
                      <w:kern w:val="2"/>
                      <w:sz w:val="21"/>
                      <w:szCs w:val="21"/>
                      <w:u w:val="single"/>
                      <w:lang w:val="en-US" w:eastAsia="zh-CN" w:bidi="ar-SA"/>
                    </w:rPr>
                  </w:pPr>
                  <w:r>
                    <w:rPr>
                      <w:rFonts w:hint="eastAsia" w:cs="Times New Roman"/>
                      <w:color w:val="000000"/>
                      <w:spacing w:val="4"/>
                      <w:kern w:val="2"/>
                      <w:sz w:val="21"/>
                      <w:szCs w:val="21"/>
                      <w:u w:val="single"/>
                      <w:lang w:val="en-US" w:eastAsia="zh-CN" w:bidi="ar-SA"/>
                    </w:rPr>
                    <w:t>13-68m</w:t>
                  </w:r>
                </w:p>
              </w:tc>
              <w:tc>
                <w:tcPr>
                  <w:tcW w:w="1077" w:type="pct"/>
                  <w:tcBorders>
                    <w:top w:val="single" w:color="auto" w:sz="6" w:space="0"/>
                    <w:left w:val="single" w:color="auto" w:sz="6" w:space="0"/>
                    <w:bottom w:val="single" w:color="auto" w:sz="6" w:space="0"/>
                    <w:right w:val="single" w:color="auto" w:sz="6" w:space="0"/>
                  </w:tcBorders>
                  <w:noWrap w:val="0"/>
                  <w:vAlign w:val="center"/>
                </w:tcPr>
                <w:p w14:paraId="2CFD1ADC">
                  <w:pPr>
                    <w:rPr>
                      <w:rFonts w:hint="eastAsia"/>
                      <w:kern w:val="0"/>
                      <w:szCs w:val="21"/>
                      <w:u w:val="single"/>
                    </w:rPr>
                  </w:pPr>
                  <w:r>
                    <w:rPr>
                      <w:rFonts w:hint="eastAsia"/>
                      <w:u w:val="single"/>
                    </w:rPr>
                    <w:t>居住区</w:t>
                  </w:r>
                  <w:r>
                    <w:rPr>
                      <w:rFonts w:hint="eastAsia"/>
                      <w:u w:val="single"/>
                      <w:lang w:eastAsia="zh-CN"/>
                    </w:rPr>
                    <w:t>，</w:t>
                  </w:r>
                  <w:r>
                    <w:rPr>
                      <w:rFonts w:hint="eastAsia"/>
                      <w:u w:val="single"/>
                    </w:rPr>
                    <w:t>约2户，6人</w:t>
                  </w:r>
                </w:p>
              </w:tc>
              <w:tc>
                <w:tcPr>
                  <w:tcW w:w="1385" w:type="pct"/>
                  <w:tcBorders>
                    <w:top w:val="single" w:color="auto" w:sz="6" w:space="0"/>
                    <w:left w:val="single" w:color="auto" w:sz="6" w:space="0"/>
                    <w:bottom w:val="single" w:color="auto" w:sz="6" w:space="0"/>
                    <w:right w:val="single" w:color="auto" w:sz="2" w:space="0"/>
                  </w:tcBorders>
                  <w:noWrap w:val="0"/>
                  <w:vAlign w:val="center"/>
                </w:tcPr>
                <w:p w14:paraId="04E53F32">
                  <w:pPr>
                    <w:widowControl/>
                    <w:jc w:val="center"/>
                    <w:rPr>
                      <w:kern w:val="0"/>
                      <w:szCs w:val="21"/>
                      <w:u w:val="single"/>
                    </w:rPr>
                  </w:pPr>
                  <w:r>
                    <w:rPr>
                      <w:kern w:val="0"/>
                      <w:szCs w:val="21"/>
                      <w:u w:val="single"/>
                    </w:rPr>
                    <w:t>GB 3096-2008中</w:t>
                  </w:r>
                </w:p>
                <w:p w14:paraId="5F804F18">
                  <w:pPr>
                    <w:widowControl/>
                    <w:jc w:val="center"/>
                    <w:rPr>
                      <w:kern w:val="0"/>
                      <w:szCs w:val="21"/>
                      <w:u w:val="single"/>
                    </w:rPr>
                  </w:pPr>
                  <w:r>
                    <w:rPr>
                      <w:kern w:val="0"/>
                      <w:szCs w:val="21"/>
                      <w:u w:val="single"/>
                    </w:rPr>
                    <w:t>2类标准</w:t>
                  </w:r>
                </w:p>
              </w:tc>
            </w:tr>
            <w:tr w14:paraId="721DE6D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591" w:type="pct"/>
                  <w:tcBorders>
                    <w:top w:val="single" w:color="auto" w:sz="6" w:space="0"/>
                    <w:left w:val="single" w:color="auto" w:sz="2" w:space="0"/>
                    <w:bottom w:val="single" w:color="auto" w:sz="6" w:space="0"/>
                    <w:right w:val="single" w:color="auto" w:sz="6" w:space="0"/>
                  </w:tcBorders>
                  <w:noWrap w:val="0"/>
                  <w:vAlign w:val="center"/>
                </w:tcPr>
                <w:p w14:paraId="45A2E9A3">
                  <w:pPr>
                    <w:widowControl/>
                    <w:jc w:val="center"/>
                    <w:rPr>
                      <w:kern w:val="0"/>
                      <w:szCs w:val="21"/>
                    </w:rPr>
                  </w:pPr>
                  <w:r>
                    <w:rPr>
                      <w:kern w:val="0"/>
                      <w:szCs w:val="21"/>
                    </w:rPr>
                    <w:t>地下水环境</w:t>
                  </w:r>
                </w:p>
              </w:tc>
              <w:tc>
                <w:tcPr>
                  <w:tcW w:w="3023" w:type="pct"/>
                  <w:gridSpan w:val="4"/>
                  <w:tcBorders>
                    <w:top w:val="single" w:color="auto" w:sz="6" w:space="0"/>
                    <w:left w:val="single" w:color="auto" w:sz="6" w:space="0"/>
                    <w:bottom w:val="single" w:color="auto" w:sz="6" w:space="0"/>
                    <w:right w:val="single" w:color="auto" w:sz="6" w:space="0"/>
                  </w:tcBorders>
                  <w:noWrap w:val="0"/>
                  <w:vAlign w:val="center"/>
                </w:tcPr>
                <w:p w14:paraId="002138B0">
                  <w:pPr>
                    <w:widowControl/>
                    <w:jc w:val="center"/>
                    <w:rPr>
                      <w:kern w:val="0"/>
                      <w:szCs w:val="21"/>
                    </w:rPr>
                  </w:pPr>
                  <w:r>
                    <w:rPr>
                      <w:kern w:val="0"/>
                      <w:szCs w:val="21"/>
                    </w:rPr>
                    <w:t>无集中式饮水水源和热水、矿泉水、温泉等特殊地下水资源</w:t>
                  </w:r>
                </w:p>
              </w:tc>
              <w:tc>
                <w:tcPr>
                  <w:tcW w:w="1385" w:type="pct"/>
                  <w:tcBorders>
                    <w:top w:val="single" w:color="auto" w:sz="6" w:space="0"/>
                    <w:left w:val="single" w:color="auto" w:sz="6" w:space="0"/>
                    <w:bottom w:val="single" w:color="auto" w:sz="6" w:space="0"/>
                    <w:right w:val="single" w:color="auto" w:sz="2" w:space="0"/>
                  </w:tcBorders>
                  <w:noWrap w:val="0"/>
                  <w:vAlign w:val="center"/>
                </w:tcPr>
                <w:p w14:paraId="30D5FC2E">
                  <w:pPr>
                    <w:widowControl/>
                    <w:jc w:val="center"/>
                    <w:rPr>
                      <w:kern w:val="0"/>
                      <w:szCs w:val="21"/>
                    </w:rPr>
                  </w:pPr>
                  <w:r>
                    <w:rPr>
                      <w:kern w:val="0"/>
                      <w:szCs w:val="21"/>
                    </w:rPr>
                    <w:t>GB/T 14848-2017中Ⅲ类标准</w:t>
                  </w:r>
                </w:p>
              </w:tc>
            </w:tr>
            <w:tr w14:paraId="2807AF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91" w:type="pct"/>
                  <w:tcBorders>
                    <w:top w:val="single" w:color="auto" w:sz="6" w:space="0"/>
                    <w:left w:val="single" w:color="auto" w:sz="2" w:space="0"/>
                    <w:bottom w:val="single" w:color="auto" w:sz="2" w:space="0"/>
                    <w:right w:val="single" w:color="auto" w:sz="6" w:space="0"/>
                  </w:tcBorders>
                  <w:noWrap w:val="0"/>
                  <w:vAlign w:val="center"/>
                </w:tcPr>
                <w:p w14:paraId="3B02F8F5">
                  <w:pPr>
                    <w:widowControl/>
                    <w:jc w:val="center"/>
                    <w:rPr>
                      <w:kern w:val="0"/>
                      <w:szCs w:val="21"/>
                    </w:rPr>
                  </w:pPr>
                  <w:r>
                    <w:rPr>
                      <w:kern w:val="0"/>
                      <w:szCs w:val="21"/>
                    </w:rPr>
                    <w:t>生态环境</w:t>
                  </w:r>
                </w:p>
              </w:tc>
              <w:tc>
                <w:tcPr>
                  <w:tcW w:w="4408" w:type="pct"/>
                  <w:gridSpan w:val="5"/>
                  <w:tcBorders>
                    <w:top w:val="single" w:color="auto" w:sz="6" w:space="0"/>
                    <w:left w:val="single" w:color="auto" w:sz="6" w:space="0"/>
                    <w:bottom w:val="single" w:color="auto" w:sz="2" w:space="0"/>
                    <w:right w:val="single" w:color="auto" w:sz="2" w:space="0"/>
                  </w:tcBorders>
                  <w:noWrap w:val="0"/>
                  <w:vAlign w:val="center"/>
                </w:tcPr>
                <w:p w14:paraId="68C28AE2">
                  <w:pPr>
                    <w:widowControl/>
                    <w:jc w:val="center"/>
                    <w:rPr>
                      <w:kern w:val="0"/>
                      <w:szCs w:val="21"/>
                    </w:rPr>
                  </w:pPr>
                  <w:r>
                    <w:rPr>
                      <w:rFonts w:hint="eastAsia"/>
                      <w:kern w:val="0"/>
                      <w:szCs w:val="21"/>
                    </w:rPr>
                    <w:t>厂界外分布有低矮植被等，区域无珍稀野生动植物</w:t>
                  </w:r>
                </w:p>
              </w:tc>
            </w:tr>
          </w:tbl>
          <w:p w14:paraId="1356AB7C">
            <w:pPr>
              <w:pStyle w:val="71"/>
              <w:rPr>
                <w:rFonts w:ascii="Times New Roman" w:hAnsi="Times New Roman" w:cs="Times New Roman"/>
                <w:color w:val="auto"/>
              </w:rPr>
            </w:pPr>
          </w:p>
        </w:tc>
      </w:tr>
      <w:tr w14:paraId="28CAA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51" w:type="pct"/>
            <w:tcMar>
              <w:left w:w="28" w:type="dxa"/>
              <w:right w:w="28" w:type="dxa"/>
            </w:tcMar>
            <w:vAlign w:val="center"/>
          </w:tcPr>
          <w:p w14:paraId="0AF34AEB">
            <w:pPr>
              <w:adjustRightInd w:val="0"/>
              <w:snapToGrid w:val="0"/>
              <w:jc w:val="center"/>
              <w:rPr>
                <w:kern w:val="0"/>
                <w:sz w:val="24"/>
              </w:rPr>
            </w:pPr>
            <w:r>
              <w:rPr>
                <w:kern w:val="0"/>
                <w:sz w:val="24"/>
              </w:rPr>
              <w:t>污染</w:t>
            </w:r>
          </w:p>
          <w:p w14:paraId="63762740">
            <w:pPr>
              <w:adjustRightInd w:val="0"/>
              <w:snapToGrid w:val="0"/>
              <w:jc w:val="center"/>
              <w:rPr>
                <w:kern w:val="0"/>
                <w:sz w:val="24"/>
              </w:rPr>
            </w:pPr>
            <w:r>
              <w:rPr>
                <w:kern w:val="0"/>
                <w:sz w:val="24"/>
              </w:rPr>
              <w:t>物排</w:t>
            </w:r>
          </w:p>
          <w:p w14:paraId="5A3CD3A1">
            <w:pPr>
              <w:adjustRightInd w:val="0"/>
              <w:snapToGrid w:val="0"/>
              <w:jc w:val="center"/>
              <w:rPr>
                <w:kern w:val="0"/>
                <w:sz w:val="24"/>
              </w:rPr>
            </w:pPr>
            <w:r>
              <w:rPr>
                <w:kern w:val="0"/>
                <w:sz w:val="24"/>
              </w:rPr>
              <w:t>放控</w:t>
            </w:r>
          </w:p>
          <w:p w14:paraId="6788E077">
            <w:pPr>
              <w:adjustRightInd w:val="0"/>
              <w:snapToGrid w:val="0"/>
              <w:jc w:val="center"/>
              <w:rPr>
                <w:kern w:val="0"/>
                <w:sz w:val="24"/>
              </w:rPr>
            </w:pPr>
            <w:r>
              <w:rPr>
                <w:kern w:val="0"/>
                <w:sz w:val="24"/>
              </w:rPr>
              <w:t>制标</w:t>
            </w:r>
          </w:p>
          <w:p w14:paraId="5F287B6F">
            <w:pPr>
              <w:adjustRightInd w:val="0"/>
              <w:snapToGrid w:val="0"/>
              <w:jc w:val="center"/>
              <w:rPr>
                <w:kern w:val="0"/>
                <w:sz w:val="24"/>
              </w:rPr>
            </w:pPr>
            <w:r>
              <w:rPr>
                <w:kern w:val="0"/>
                <w:sz w:val="24"/>
              </w:rPr>
              <w:t>准</w:t>
            </w:r>
          </w:p>
        </w:tc>
        <w:tc>
          <w:tcPr>
            <w:tcW w:w="4748" w:type="pct"/>
          </w:tcPr>
          <w:p w14:paraId="31A7752E">
            <w:pPr>
              <w:pStyle w:val="118"/>
              <w:numPr>
                <w:ilvl w:val="0"/>
                <w:numId w:val="0"/>
              </w:numPr>
              <w:spacing w:line="360" w:lineRule="auto"/>
              <w:jc w:val="both"/>
              <w:rPr>
                <w:rFonts w:hint="default" w:eastAsia="宋体"/>
                <w:b/>
                <w:bCs/>
                <w:lang w:val="en-US" w:eastAsia="zh-CN"/>
              </w:rPr>
            </w:pPr>
            <w:r>
              <w:rPr>
                <w:rFonts w:hint="eastAsia"/>
                <w:b/>
                <w:bCs/>
              </w:rPr>
              <w:t>3.</w:t>
            </w:r>
            <w:r>
              <w:rPr>
                <w:rFonts w:hint="eastAsia"/>
                <w:b/>
                <w:bCs/>
                <w:lang w:val="en-US" w:eastAsia="zh-CN"/>
              </w:rPr>
              <w:t>6</w:t>
            </w:r>
            <w:r>
              <w:rPr>
                <w:rFonts w:hint="eastAsia"/>
                <w:b/>
                <w:bCs/>
              </w:rPr>
              <w:t xml:space="preserve"> </w:t>
            </w:r>
            <w:r>
              <w:rPr>
                <w:rFonts w:hint="eastAsia"/>
                <w:b/>
                <w:bCs/>
                <w:lang w:val="en-US" w:eastAsia="zh-CN"/>
              </w:rPr>
              <w:t>废水执行标准</w:t>
            </w:r>
          </w:p>
          <w:p w14:paraId="4B59FE99">
            <w:pPr>
              <w:pStyle w:val="118"/>
              <w:numPr>
                <w:ilvl w:val="0"/>
                <w:numId w:val="0"/>
              </w:numPr>
              <w:spacing w:line="360" w:lineRule="auto"/>
              <w:ind w:firstLine="480" w:firstLineChars="200"/>
              <w:jc w:val="both"/>
            </w:pPr>
            <w:r>
              <w:t>项目污水</w:t>
            </w:r>
            <w:r>
              <w:rPr>
                <w:rFonts w:hint="eastAsia"/>
              </w:rPr>
              <w:t>经预处理满足</w:t>
            </w:r>
            <w:r>
              <w:t>《污水综合排放标准》（GB8978-1996）中三级标准</w:t>
            </w:r>
            <w:r>
              <w:rPr>
                <w:rFonts w:hint="eastAsia"/>
              </w:rPr>
              <w:t>及</w:t>
            </w:r>
            <w:r>
              <w:rPr>
                <w:rFonts w:hint="eastAsia"/>
                <w:lang w:eastAsia="zh-CN"/>
              </w:rPr>
              <w:t>祁阳市城北污水处理厂</w:t>
            </w:r>
            <w:r>
              <w:rPr>
                <w:rFonts w:hint="eastAsia"/>
              </w:rPr>
              <w:t>进水水质，进入</w:t>
            </w:r>
            <w:r>
              <w:rPr>
                <w:rFonts w:hint="eastAsia"/>
                <w:lang w:eastAsia="zh-CN"/>
              </w:rPr>
              <w:t>祁阳市城北污水处理厂</w:t>
            </w:r>
            <w:r>
              <w:rPr>
                <w:rFonts w:hint="eastAsia"/>
              </w:rPr>
              <w:t>处理达到</w:t>
            </w:r>
            <w:r>
              <w:rPr>
                <w:color w:val="auto"/>
                <w:sz w:val="24"/>
              </w:rPr>
              <w:t>《湖南省城镇污水处理厂主要水污染物排放标准》（DB43/T 1546-2018）二级标准和《城镇污水处理厂污染物排放标准》（GB18918-2002）一级A标准中较严标准</w:t>
            </w:r>
            <w:r>
              <w:rPr>
                <w:rFonts w:hint="eastAsia"/>
              </w:rPr>
              <w:t>后排放</w:t>
            </w:r>
            <w:r>
              <w:t>。</w:t>
            </w:r>
          </w:p>
          <w:p w14:paraId="11273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表3-</w:t>
            </w:r>
            <w:r>
              <w:rPr>
                <w:rFonts w:hint="eastAsia"/>
                <w:b/>
                <w:bCs/>
                <w:sz w:val="24"/>
                <w:szCs w:val="24"/>
                <w:lang w:val="en-US" w:eastAsia="zh-CN"/>
              </w:rPr>
              <w:t>5</w:t>
            </w:r>
            <w:r>
              <w:rPr>
                <w:b/>
                <w:bCs/>
                <w:sz w:val="24"/>
                <w:szCs w:val="24"/>
              </w:rPr>
              <w:t xml:space="preserve"> 污水综合排放标准三级标准（单位：mg/L，pH无量纲）</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907"/>
              <w:gridCol w:w="1042"/>
              <w:gridCol w:w="1047"/>
              <w:gridCol w:w="1051"/>
              <w:gridCol w:w="1034"/>
              <w:gridCol w:w="1245"/>
              <w:gridCol w:w="857"/>
            </w:tblGrid>
            <w:tr w14:paraId="17C3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77" w:type="dxa"/>
                  <w:vAlign w:val="center"/>
                </w:tcPr>
                <w:p w14:paraId="3C0DA5AA">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ascii="Times New Roman"/>
                      <w:b/>
                      <w:bCs/>
                      <w:szCs w:val="21"/>
                    </w:rPr>
                  </w:pPr>
                  <w:r>
                    <w:rPr>
                      <w:rFonts w:ascii="Times New Roman"/>
                      <w:b/>
                      <w:bCs/>
                      <w:szCs w:val="21"/>
                    </w:rPr>
                    <w:t>污染因子</w:t>
                  </w:r>
                </w:p>
              </w:tc>
              <w:tc>
                <w:tcPr>
                  <w:tcW w:w="907" w:type="dxa"/>
                  <w:vAlign w:val="center"/>
                </w:tcPr>
                <w:p w14:paraId="3A0CDEED">
                  <w:pPr>
                    <w:pStyle w:val="115"/>
                    <w:spacing w:before="24" w:after="24"/>
                    <w:rPr>
                      <w:rFonts w:ascii="Times New Roman"/>
                      <w:b/>
                      <w:bCs/>
                      <w:szCs w:val="21"/>
                    </w:rPr>
                  </w:pPr>
                  <w:r>
                    <w:rPr>
                      <w:rFonts w:ascii="Times New Roman"/>
                      <w:b/>
                      <w:bCs/>
                      <w:szCs w:val="21"/>
                    </w:rPr>
                    <w:t>pH</w:t>
                  </w:r>
                </w:p>
              </w:tc>
              <w:tc>
                <w:tcPr>
                  <w:tcW w:w="1042" w:type="dxa"/>
                  <w:vAlign w:val="center"/>
                </w:tcPr>
                <w:p w14:paraId="62495ACC">
                  <w:pPr>
                    <w:pStyle w:val="115"/>
                    <w:spacing w:before="24" w:after="24"/>
                    <w:rPr>
                      <w:rFonts w:ascii="Times New Roman"/>
                      <w:b/>
                      <w:bCs/>
                      <w:szCs w:val="21"/>
                    </w:rPr>
                  </w:pPr>
                  <w:r>
                    <w:rPr>
                      <w:rFonts w:ascii="Times New Roman"/>
                      <w:b/>
                      <w:bCs/>
                      <w:szCs w:val="21"/>
                    </w:rPr>
                    <w:t>COD</w:t>
                  </w:r>
                </w:p>
              </w:tc>
              <w:tc>
                <w:tcPr>
                  <w:tcW w:w="1047" w:type="dxa"/>
                  <w:vAlign w:val="center"/>
                </w:tcPr>
                <w:p w14:paraId="3F635859">
                  <w:pPr>
                    <w:pStyle w:val="115"/>
                    <w:spacing w:before="24" w:after="24"/>
                    <w:rPr>
                      <w:rFonts w:ascii="Times New Roman"/>
                      <w:b/>
                      <w:bCs/>
                      <w:szCs w:val="21"/>
                    </w:rPr>
                  </w:pPr>
                  <w:r>
                    <w:rPr>
                      <w:rFonts w:ascii="Times New Roman"/>
                      <w:b/>
                      <w:bCs/>
                      <w:szCs w:val="21"/>
                    </w:rPr>
                    <w:t>BOD</w:t>
                  </w:r>
                  <w:r>
                    <w:rPr>
                      <w:rFonts w:ascii="Times New Roman"/>
                      <w:b/>
                      <w:bCs/>
                      <w:szCs w:val="21"/>
                      <w:vertAlign w:val="subscript"/>
                    </w:rPr>
                    <w:t>5</w:t>
                  </w:r>
                </w:p>
              </w:tc>
              <w:tc>
                <w:tcPr>
                  <w:tcW w:w="1051" w:type="dxa"/>
                  <w:vAlign w:val="center"/>
                </w:tcPr>
                <w:p w14:paraId="02764FEA">
                  <w:pPr>
                    <w:pStyle w:val="115"/>
                    <w:spacing w:before="24" w:after="24"/>
                    <w:rPr>
                      <w:rFonts w:ascii="Times New Roman"/>
                      <w:b/>
                      <w:bCs/>
                      <w:szCs w:val="21"/>
                    </w:rPr>
                  </w:pPr>
                  <w:r>
                    <w:rPr>
                      <w:rFonts w:ascii="Times New Roman"/>
                      <w:b/>
                      <w:bCs/>
                      <w:szCs w:val="21"/>
                    </w:rPr>
                    <w:t>NH</w:t>
                  </w:r>
                  <w:r>
                    <w:rPr>
                      <w:rFonts w:ascii="Times New Roman"/>
                      <w:b/>
                      <w:bCs/>
                      <w:szCs w:val="21"/>
                      <w:vertAlign w:val="subscript"/>
                    </w:rPr>
                    <w:t>3</w:t>
                  </w:r>
                  <w:r>
                    <w:rPr>
                      <w:rFonts w:ascii="Times New Roman"/>
                      <w:b/>
                      <w:bCs/>
                      <w:szCs w:val="21"/>
                    </w:rPr>
                    <w:t>-N</w:t>
                  </w:r>
                </w:p>
              </w:tc>
              <w:tc>
                <w:tcPr>
                  <w:tcW w:w="1034" w:type="dxa"/>
                  <w:vAlign w:val="center"/>
                </w:tcPr>
                <w:p w14:paraId="34A7E57E">
                  <w:pPr>
                    <w:pStyle w:val="115"/>
                    <w:spacing w:before="24" w:after="24"/>
                    <w:rPr>
                      <w:rFonts w:ascii="Times New Roman"/>
                      <w:b/>
                      <w:bCs/>
                      <w:szCs w:val="21"/>
                    </w:rPr>
                  </w:pPr>
                  <w:r>
                    <w:rPr>
                      <w:rFonts w:ascii="Times New Roman"/>
                      <w:b/>
                      <w:bCs/>
                      <w:szCs w:val="21"/>
                    </w:rPr>
                    <w:t>SS</w:t>
                  </w:r>
                </w:p>
              </w:tc>
              <w:tc>
                <w:tcPr>
                  <w:tcW w:w="1245" w:type="dxa"/>
                  <w:vAlign w:val="center"/>
                </w:tcPr>
                <w:p w14:paraId="4426FAFD">
                  <w:pPr>
                    <w:pStyle w:val="115"/>
                    <w:spacing w:before="24" w:after="24"/>
                    <w:ind w:left="0" w:leftChars="0" w:firstLine="0" w:firstLineChars="0"/>
                    <w:jc w:val="both"/>
                    <w:rPr>
                      <w:rFonts w:ascii="Times New Roman"/>
                      <w:b/>
                      <w:bCs/>
                      <w:szCs w:val="21"/>
                    </w:rPr>
                  </w:pPr>
                  <w:r>
                    <w:rPr>
                      <w:rFonts w:ascii="Times New Roman"/>
                      <w:b/>
                      <w:bCs/>
                      <w:szCs w:val="21"/>
                    </w:rPr>
                    <w:t>动植物油</w:t>
                  </w:r>
                </w:p>
              </w:tc>
              <w:tc>
                <w:tcPr>
                  <w:tcW w:w="857" w:type="dxa"/>
                  <w:vAlign w:val="center"/>
                </w:tcPr>
                <w:p w14:paraId="73D168CB">
                  <w:pPr>
                    <w:pStyle w:val="115"/>
                    <w:spacing w:before="24" w:after="24"/>
                    <w:rPr>
                      <w:rFonts w:ascii="Times New Roman"/>
                      <w:b/>
                      <w:bCs/>
                      <w:szCs w:val="21"/>
                    </w:rPr>
                  </w:pPr>
                  <w:r>
                    <w:rPr>
                      <w:rFonts w:ascii="Times New Roman"/>
                      <w:b/>
                      <w:bCs/>
                      <w:szCs w:val="21"/>
                    </w:rPr>
                    <w:t>石油类</w:t>
                  </w:r>
                </w:p>
              </w:tc>
            </w:tr>
            <w:tr w14:paraId="5341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77" w:type="dxa"/>
                  <w:vAlign w:val="center"/>
                </w:tcPr>
                <w:p w14:paraId="101F2BB9">
                  <w:pPr>
                    <w:pStyle w:val="115"/>
                    <w:spacing w:before="24" w:after="24"/>
                    <w:rPr>
                      <w:rFonts w:ascii="Times New Roman"/>
                      <w:szCs w:val="21"/>
                    </w:rPr>
                  </w:pPr>
                  <w:r>
                    <w:rPr>
                      <w:rFonts w:ascii="Times New Roman"/>
                      <w:szCs w:val="21"/>
                    </w:rPr>
                    <w:t>浓度限值</w:t>
                  </w:r>
                </w:p>
              </w:tc>
              <w:tc>
                <w:tcPr>
                  <w:tcW w:w="907" w:type="dxa"/>
                  <w:vAlign w:val="center"/>
                </w:tcPr>
                <w:p w14:paraId="5CEA1C2C">
                  <w:pPr>
                    <w:pStyle w:val="115"/>
                    <w:spacing w:before="24" w:after="24"/>
                    <w:rPr>
                      <w:rFonts w:ascii="Times New Roman"/>
                      <w:szCs w:val="21"/>
                    </w:rPr>
                  </w:pPr>
                  <w:r>
                    <w:rPr>
                      <w:rFonts w:ascii="Times New Roman"/>
                      <w:szCs w:val="21"/>
                    </w:rPr>
                    <w:t>6~9</w:t>
                  </w:r>
                </w:p>
              </w:tc>
              <w:tc>
                <w:tcPr>
                  <w:tcW w:w="1042" w:type="dxa"/>
                  <w:vAlign w:val="center"/>
                </w:tcPr>
                <w:p w14:paraId="0D8656F1">
                  <w:pPr>
                    <w:pStyle w:val="115"/>
                    <w:spacing w:before="24" w:after="24"/>
                    <w:rPr>
                      <w:rFonts w:ascii="Times New Roman"/>
                      <w:szCs w:val="21"/>
                    </w:rPr>
                  </w:pPr>
                  <w:r>
                    <w:rPr>
                      <w:rFonts w:ascii="Times New Roman"/>
                      <w:szCs w:val="21"/>
                    </w:rPr>
                    <w:t>500</w:t>
                  </w:r>
                </w:p>
              </w:tc>
              <w:tc>
                <w:tcPr>
                  <w:tcW w:w="1047" w:type="dxa"/>
                  <w:vAlign w:val="center"/>
                </w:tcPr>
                <w:p w14:paraId="55793414">
                  <w:pPr>
                    <w:pStyle w:val="115"/>
                    <w:spacing w:before="24" w:after="24"/>
                    <w:rPr>
                      <w:rFonts w:ascii="Times New Roman"/>
                      <w:szCs w:val="21"/>
                    </w:rPr>
                  </w:pPr>
                  <w:r>
                    <w:rPr>
                      <w:rFonts w:ascii="Times New Roman"/>
                      <w:szCs w:val="21"/>
                    </w:rPr>
                    <w:t>300</w:t>
                  </w:r>
                </w:p>
              </w:tc>
              <w:tc>
                <w:tcPr>
                  <w:tcW w:w="1051" w:type="dxa"/>
                  <w:vAlign w:val="center"/>
                </w:tcPr>
                <w:p w14:paraId="1486EF9B">
                  <w:pPr>
                    <w:pStyle w:val="115"/>
                    <w:spacing w:before="24" w:after="24"/>
                    <w:rPr>
                      <w:rFonts w:ascii="Times New Roman"/>
                      <w:szCs w:val="21"/>
                    </w:rPr>
                  </w:pPr>
                  <w:r>
                    <w:rPr>
                      <w:rFonts w:ascii="Times New Roman"/>
                      <w:szCs w:val="21"/>
                    </w:rPr>
                    <w:t>/</w:t>
                  </w:r>
                </w:p>
              </w:tc>
              <w:tc>
                <w:tcPr>
                  <w:tcW w:w="1034" w:type="dxa"/>
                  <w:vAlign w:val="center"/>
                </w:tcPr>
                <w:p w14:paraId="48F86BF1">
                  <w:pPr>
                    <w:pStyle w:val="115"/>
                    <w:spacing w:before="24" w:after="24"/>
                    <w:rPr>
                      <w:rFonts w:ascii="Times New Roman"/>
                      <w:szCs w:val="21"/>
                    </w:rPr>
                  </w:pPr>
                  <w:r>
                    <w:rPr>
                      <w:rFonts w:ascii="Times New Roman"/>
                      <w:szCs w:val="21"/>
                    </w:rPr>
                    <w:t>400</w:t>
                  </w:r>
                </w:p>
              </w:tc>
              <w:tc>
                <w:tcPr>
                  <w:tcW w:w="1245" w:type="dxa"/>
                  <w:vAlign w:val="center"/>
                </w:tcPr>
                <w:p w14:paraId="07EA5717">
                  <w:pPr>
                    <w:pStyle w:val="115"/>
                    <w:spacing w:before="24" w:after="24"/>
                    <w:rPr>
                      <w:rFonts w:ascii="Times New Roman"/>
                      <w:szCs w:val="21"/>
                    </w:rPr>
                  </w:pPr>
                  <w:r>
                    <w:rPr>
                      <w:rFonts w:ascii="Times New Roman"/>
                      <w:szCs w:val="21"/>
                    </w:rPr>
                    <w:t>100</w:t>
                  </w:r>
                </w:p>
              </w:tc>
              <w:tc>
                <w:tcPr>
                  <w:tcW w:w="857" w:type="dxa"/>
                  <w:vAlign w:val="center"/>
                </w:tcPr>
                <w:p w14:paraId="11939F68">
                  <w:pPr>
                    <w:pStyle w:val="115"/>
                    <w:spacing w:before="24" w:after="24"/>
                    <w:rPr>
                      <w:rFonts w:ascii="Times New Roman"/>
                      <w:szCs w:val="21"/>
                    </w:rPr>
                  </w:pPr>
                  <w:r>
                    <w:rPr>
                      <w:rFonts w:ascii="Times New Roman"/>
                      <w:szCs w:val="21"/>
                    </w:rPr>
                    <w:t>20</w:t>
                  </w:r>
                </w:p>
              </w:tc>
            </w:tr>
          </w:tbl>
          <w:p w14:paraId="48B4379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sz w:val="24"/>
                <w:szCs w:val="24"/>
                <w:lang w:val="en-US" w:eastAsia="zh-CN"/>
              </w:rPr>
            </w:pPr>
            <w:r>
              <w:rPr>
                <w:b/>
                <w:sz w:val="24"/>
                <w:szCs w:val="24"/>
              </w:rPr>
              <w:t>表3-</w:t>
            </w:r>
            <w:r>
              <w:rPr>
                <w:rFonts w:hint="eastAsia"/>
                <w:b/>
                <w:sz w:val="24"/>
                <w:szCs w:val="24"/>
                <w:lang w:val="en-US" w:eastAsia="zh-CN"/>
              </w:rPr>
              <w:t>6</w:t>
            </w:r>
            <w:r>
              <w:rPr>
                <w:b/>
                <w:sz w:val="24"/>
                <w:szCs w:val="24"/>
              </w:rPr>
              <w:t xml:space="preserve"> </w:t>
            </w:r>
            <w:r>
              <w:rPr>
                <w:rFonts w:hint="eastAsia"/>
                <w:b/>
                <w:sz w:val="24"/>
                <w:szCs w:val="24"/>
                <w:lang w:eastAsia="zh-CN"/>
              </w:rPr>
              <w:t>祁阳市城北污水处理厂</w:t>
            </w:r>
            <w:r>
              <w:rPr>
                <w:rFonts w:hint="eastAsia"/>
                <w:b/>
                <w:sz w:val="24"/>
                <w:szCs w:val="24"/>
              </w:rPr>
              <w:t xml:space="preserve">进水水质 </w:t>
            </w:r>
            <w:r>
              <w:rPr>
                <w:b/>
                <w:kern w:val="0"/>
                <w:sz w:val="24"/>
                <w:szCs w:val="24"/>
              </w:rPr>
              <w:t>单位：mg/L</w:t>
            </w:r>
            <w:r>
              <w:rPr>
                <w:b/>
                <w:sz w:val="24"/>
                <w:szCs w:val="24"/>
              </w:rPr>
              <w:t>(pH：无量纲)</w:t>
            </w:r>
            <w:r>
              <w:rPr>
                <w:rFonts w:hint="eastAsia"/>
                <w:lang w:val="en-US" w:eastAsia="zh-CN"/>
              </w:rPr>
              <w:t xml:space="preserve"> </w:t>
            </w:r>
          </w:p>
          <w:tbl>
            <w:tblPr>
              <w:tblStyle w:val="5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775"/>
              <w:gridCol w:w="934"/>
              <w:gridCol w:w="991"/>
              <w:gridCol w:w="1055"/>
              <w:gridCol w:w="728"/>
              <w:gridCol w:w="910"/>
              <w:gridCol w:w="941"/>
              <w:gridCol w:w="949"/>
            </w:tblGrid>
            <w:tr w14:paraId="7C5B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52" w:type="pct"/>
                  <w:tcBorders>
                    <w:tl2br w:val="nil"/>
                    <w:tr2bl w:val="nil"/>
                  </w:tcBorders>
                  <w:vAlign w:val="center"/>
                </w:tcPr>
                <w:p w14:paraId="73B89F4D">
                  <w:pPr>
                    <w:wordWrap w:val="0"/>
                    <w:topLinePunct/>
                    <w:adjustRightInd w:val="0"/>
                    <w:snapToGrid w:val="0"/>
                    <w:jc w:val="center"/>
                    <w:rPr>
                      <w:szCs w:val="21"/>
                    </w:rPr>
                  </w:pPr>
                  <w:r>
                    <w:rPr>
                      <w:rFonts w:hint="eastAsia"/>
                      <w:b/>
                      <w:szCs w:val="21"/>
                    </w:rPr>
                    <w:t>水质指标</w:t>
                  </w:r>
                </w:p>
              </w:tc>
              <w:tc>
                <w:tcPr>
                  <w:tcW w:w="462" w:type="pct"/>
                  <w:tcBorders>
                    <w:tl2br w:val="nil"/>
                    <w:tr2bl w:val="nil"/>
                  </w:tcBorders>
                  <w:vAlign w:val="center"/>
                </w:tcPr>
                <w:p w14:paraId="328170D8">
                  <w:pPr>
                    <w:wordWrap w:val="0"/>
                    <w:topLinePunct/>
                    <w:adjustRightInd w:val="0"/>
                    <w:snapToGrid w:val="0"/>
                    <w:jc w:val="center"/>
                    <w:rPr>
                      <w:szCs w:val="21"/>
                    </w:rPr>
                  </w:pPr>
                  <w:r>
                    <w:rPr>
                      <w:rFonts w:hint="eastAsia"/>
                      <w:b/>
                      <w:szCs w:val="21"/>
                    </w:rPr>
                    <w:t>p</w:t>
                  </w:r>
                  <w:r>
                    <w:rPr>
                      <w:b/>
                      <w:szCs w:val="21"/>
                    </w:rPr>
                    <w:t>H</w:t>
                  </w:r>
                </w:p>
              </w:tc>
              <w:tc>
                <w:tcPr>
                  <w:tcW w:w="557" w:type="pct"/>
                  <w:tcBorders>
                    <w:tl2br w:val="nil"/>
                    <w:tr2bl w:val="nil"/>
                  </w:tcBorders>
                  <w:vAlign w:val="center"/>
                </w:tcPr>
                <w:p w14:paraId="5E63FDCC">
                  <w:pPr>
                    <w:wordWrap w:val="0"/>
                    <w:topLinePunct/>
                    <w:adjustRightInd w:val="0"/>
                    <w:snapToGrid w:val="0"/>
                    <w:jc w:val="center"/>
                    <w:rPr>
                      <w:szCs w:val="21"/>
                    </w:rPr>
                  </w:pPr>
                  <w:r>
                    <w:rPr>
                      <w:b/>
                      <w:szCs w:val="21"/>
                    </w:rPr>
                    <w:t>COD</w:t>
                  </w:r>
                  <w:r>
                    <w:rPr>
                      <w:b/>
                      <w:szCs w:val="21"/>
                      <w:vertAlign w:val="subscript"/>
                    </w:rPr>
                    <w:t>cr</w:t>
                  </w:r>
                </w:p>
              </w:tc>
              <w:tc>
                <w:tcPr>
                  <w:tcW w:w="591" w:type="pct"/>
                  <w:tcBorders>
                    <w:tl2br w:val="nil"/>
                    <w:tr2bl w:val="nil"/>
                  </w:tcBorders>
                  <w:vAlign w:val="center"/>
                </w:tcPr>
                <w:p w14:paraId="5C280777">
                  <w:pPr>
                    <w:wordWrap w:val="0"/>
                    <w:topLinePunct/>
                    <w:adjustRightInd w:val="0"/>
                    <w:snapToGrid w:val="0"/>
                    <w:jc w:val="center"/>
                    <w:rPr>
                      <w:szCs w:val="21"/>
                    </w:rPr>
                  </w:pPr>
                  <w:r>
                    <w:rPr>
                      <w:b/>
                      <w:szCs w:val="21"/>
                    </w:rPr>
                    <w:t>BOD</w:t>
                  </w:r>
                  <w:r>
                    <w:rPr>
                      <w:b/>
                      <w:szCs w:val="21"/>
                      <w:vertAlign w:val="subscript"/>
                    </w:rPr>
                    <w:t>5</w:t>
                  </w:r>
                </w:p>
              </w:tc>
              <w:tc>
                <w:tcPr>
                  <w:tcW w:w="629" w:type="pct"/>
                  <w:tcBorders>
                    <w:tl2br w:val="nil"/>
                    <w:tr2bl w:val="nil"/>
                  </w:tcBorders>
                  <w:vAlign w:val="center"/>
                </w:tcPr>
                <w:p w14:paraId="6AB3D1F4">
                  <w:pPr>
                    <w:wordWrap w:val="0"/>
                    <w:topLinePunct/>
                    <w:adjustRightInd w:val="0"/>
                    <w:snapToGrid w:val="0"/>
                    <w:jc w:val="center"/>
                    <w:rPr>
                      <w:szCs w:val="21"/>
                    </w:rPr>
                  </w:pPr>
                  <w:r>
                    <w:rPr>
                      <w:b/>
                      <w:szCs w:val="21"/>
                    </w:rPr>
                    <w:t>NH</w:t>
                  </w:r>
                  <w:r>
                    <w:rPr>
                      <w:b/>
                      <w:szCs w:val="21"/>
                      <w:vertAlign w:val="subscript"/>
                    </w:rPr>
                    <w:t>3</w:t>
                  </w:r>
                  <w:r>
                    <w:rPr>
                      <w:b/>
                      <w:szCs w:val="21"/>
                    </w:rPr>
                    <w:t>-N</w:t>
                  </w:r>
                </w:p>
              </w:tc>
              <w:tc>
                <w:tcPr>
                  <w:tcW w:w="434" w:type="pct"/>
                  <w:tcBorders>
                    <w:tl2br w:val="nil"/>
                    <w:tr2bl w:val="nil"/>
                  </w:tcBorders>
                  <w:vAlign w:val="center"/>
                </w:tcPr>
                <w:p w14:paraId="74B4B74F">
                  <w:pPr>
                    <w:wordWrap w:val="0"/>
                    <w:topLinePunct/>
                    <w:adjustRightInd w:val="0"/>
                    <w:snapToGrid w:val="0"/>
                    <w:jc w:val="center"/>
                    <w:rPr>
                      <w:szCs w:val="21"/>
                    </w:rPr>
                  </w:pPr>
                  <w:r>
                    <w:rPr>
                      <w:b/>
                      <w:szCs w:val="21"/>
                    </w:rPr>
                    <w:t>SS</w:t>
                  </w:r>
                </w:p>
              </w:tc>
              <w:tc>
                <w:tcPr>
                  <w:tcW w:w="543" w:type="pct"/>
                  <w:tcBorders>
                    <w:tl2br w:val="nil"/>
                    <w:tr2bl w:val="nil"/>
                  </w:tcBorders>
                  <w:vAlign w:val="center"/>
                </w:tcPr>
                <w:p w14:paraId="3BD00CF0">
                  <w:pPr>
                    <w:wordWrap w:val="0"/>
                    <w:topLinePunct/>
                    <w:adjustRightInd w:val="0"/>
                    <w:snapToGrid w:val="0"/>
                    <w:jc w:val="center"/>
                    <w:rPr>
                      <w:b/>
                      <w:szCs w:val="21"/>
                    </w:rPr>
                  </w:pPr>
                  <w:r>
                    <w:rPr>
                      <w:rFonts w:hint="eastAsia"/>
                      <w:b/>
                      <w:szCs w:val="21"/>
                    </w:rPr>
                    <w:t>石油类</w:t>
                  </w:r>
                </w:p>
              </w:tc>
              <w:tc>
                <w:tcPr>
                  <w:tcW w:w="561" w:type="pct"/>
                  <w:tcBorders>
                    <w:tl2br w:val="nil"/>
                    <w:tr2bl w:val="nil"/>
                  </w:tcBorders>
                  <w:vAlign w:val="center"/>
                </w:tcPr>
                <w:p w14:paraId="291B3EE4">
                  <w:pPr>
                    <w:wordWrap w:val="0"/>
                    <w:topLinePunct/>
                    <w:adjustRightInd w:val="0"/>
                    <w:snapToGrid w:val="0"/>
                    <w:jc w:val="center"/>
                    <w:rPr>
                      <w:b/>
                      <w:szCs w:val="21"/>
                    </w:rPr>
                  </w:pPr>
                  <w:r>
                    <w:rPr>
                      <w:rFonts w:hint="eastAsia"/>
                      <w:b/>
                      <w:szCs w:val="21"/>
                    </w:rPr>
                    <w:t>TN</w:t>
                  </w:r>
                </w:p>
              </w:tc>
              <w:tc>
                <w:tcPr>
                  <w:tcW w:w="566" w:type="pct"/>
                  <w:tcBorders>
                    <w:tl2br w:val="nil"/>
                    <w:tr2bl w:val="nil"/>
                  </w:tcBorders>
                  <w:vAlign w:val="center"/>
                </w:tcPr>
                <w:p w14:paraId="626EF451">
                  <w:pPr>
                    <w:wordWrap w:val="0"/>
                    <w:topLinePunct/>
                    <w:adjustRightInd w:val="0"/>
                    <w:snapToGrid w:val="0"/>
                    <w:jc w:val="center"/>
                    <w:rPr>
                      <w:b/>
                      <w:szCs w:val="21"/>
                    </w:rPr>
                  </w:pPr>
                  <w:r>
                    <w:rPr>
                      <w:rFonts w:hint="eastAsia"/>
                      <w:b/>
                      <w:szCs w:val="21"/>
                    </w:rPr>
                    <w:t>TP</w:t>
                  </w:r>
                </w:p>
              </w:tc>
            </w:tr>
            <w:tr w14:paraId="4A79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652" w:type="pct"/>
                  <w:tcBorders>
                    <w:tl2br w:val="nil"/>
                    <w:tr2bl w:val="nil"/>
                  </w:tcBorders>
                </w:tcPr>
                <w:p w14:paraId="3ABC642B">
                  <w:pPr>
                    <w:jc w:val="center"/>
                    <w:rPr>
                      <w:szCs w:val="21"/>
                    </w:rPr>
                  </w:pPr>
                  <w:r>
                    <w:rPr>
                      <w:szCs w:val="21"/>
                    </w:rPr>
                    <w:t>进水（mg/L）</w:t>
                  </w:r>
                </w:p>
              </w:tc>
              <w:tc>
                <w:tcPr>
                  <w:tcW w:w="462" w:type="pct"/>
                  <w:tcBorders>
                    <w:tl2br w:val="nil"/>
                    <w:tr2bl w:val="nil"/>
                  </w:tcBorders>
                  <w:vAlign w:val="center"/>
                </w:tcPr>
                <w:p w14:paraId="39A8D355">
                  <w:pPr>
                    <w:pStyle w:val="43"/>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6-9</w:t>
                  </w:r>
                </w:p>
              </w:tc>
              <w:tc>
                <w:tcPr>
                  <w:tcW w:w="557" w:type="pct"/>
                  <w:tcBorders>
                    <w:tl2br w:val="nil"/>
                    <w:tr2bl w:val="nil"/>
                  </w:tcBorders>
                  <w:vAlign w:val="center"/>
                </w:tcPr>
                <w:p w14:paraId="4A5600A3">
                  <w:pPr>
                    <w:pStyle w:val="43"/>
                    <w:tabs>
                      <w:tab w:val="right" w:leader="dot" w:pos="8949"/>
                    </w:tabs>
                    <w:spacing w:after="0" w:line="240" w:lineRule="auto"/>
                    <w:ind w:lef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300</w:t>
                  </w:r>
                </w:p>
              </w:tc>
              <w:tc>
                <w:tcPr>
                  <w:tcW w:w="591" w:type="pct"/>
                  <w:tcBorders>
                    <w:tl2br w:val="nil"/>
                    <w:tr2bl w:val="nil"/>
                  </w:tcBorders>
                  <w:vAlign w:val="center"/>
                </w:tcPr>
                <w:p w14:paraId="7F7FDAA8">
                  <w:pPr>
                    <w:pStyle w:val="43"/>
                    <w:tabs>
                      <w:tab w:val="right" w:leader="dot" w:pos="8949"/>
                    </w:tabs>
                    <w:spacing w:after="0" w:line="240" w:lineRule="auto"/>
                    <w:ind w:left="0"/>
                    <w:jc w:val="center"/>
                    <w:rPr>
                      <w:rFonts w:ascii="Times New Roman" w:hAnsi="Times New Roman"/>
                      <w:sz w:val="21"/>
                      <w:szCs w:val="21"/>
                    </w:rPr>
                  </w:pPr>
                  <w:r>
                    <w:rPr>
                      <w:rFonts w:hint="eastAsia" w:ascii="Times New Roman" w:hAnsi="Times New Roman"/>
                      <w:sz w:val="21"/>
                      <w:szCs w:val="21"/>
                    </w:rPr>
                    <w:t>120</w:t>
                  </w:r>
                </w:p>
              </w:tc>
              <w:tc>
                <w:tcPr>
                  <w:tcW w:w="629" w:type="pct"/>
                  <w:tcBorders>
                    <w:tl2br w:val="nil"/>
                    <w:tr2bl w:val="nil"/>
                  </w:tcBorders>
                  <w:vAlign w:val="center"/>
                </w:tcPr>
                <w:p w14:paraId="5C86A8DD">
                  <w:pPr>
                    <w:pStyle w:val="43"/>
                    <w:tabs>
                      <w:tab w:val="right" w:leader="dot" w:pos="8949"/>
                    </w:tabs>
                    <w:spacing w:after="0" w:line="240" w:lineRule="auto"/>
                    <w:ind w:lef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32</w:t>
                  </w:r>
                </w:p>
              </w:tc>
              <w:tc>
                <w:tcPr>
                  <w:tcW w:w="434" w:type="pct"/>
                  <w:tcBorders>
                    <w:tl2br w:val="nil"/>
                    <w:tr2bl w:val="nil"/>
                  </w:tcBorders>
                  <w:vAlign w:val="center"/>
                </w:tcPr>
                <w:p w14:paraId="2AC2BDC5">
                  <w:pPr>
                    <w:pStyle w:val="43"/>
                    <w:tabs>
                      <w:tab w:val="right" w:leader="dot" w:pos="8949"/>
                    </w:tabs>
                    <w:spacing w:after="0" w:line="240" w:lineRule="auto"/>
                    <w:ind w:left="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200</w:t>
                  </w:r>
                </w:p>
              </w:tc>
              <w:tc>
                <w:tcPr>
                  <w:tcW w:w="543" w:type="pct"/>
                  <w:tcBorders>
                    <w:tl2br w:val="nil"/>
                    <w:tr2bl w:val="nil"/>
                  </w:tcBorders>
                  <w:vAlign w:val="center"/>
                </w:tcPr>
                <w:p w14:paraId="332931EC">
                  <w:pPr>
                    <w:jc w:val="center"/>
                    <w:rPr>
                      <w:rFonts w:hint="eastAsia" w:eastAsia="宋体"/>
                      <w:szCs w:val="21"/>
                      <w:lang w:eastAsia="zh-CN"/>
                    </w:rPr>
                  </w:pPr>
                  <w:r>
                    <w:rPr>
                      <w:rFonts w:hint="eastAsia"/>
                      <w:szCs w:val="21"/>
                      <w:lang w:val="en-US" w:eastAsia="zh-CN"/>
                    </w:rPr>
                    <w:t>/</w:t>
                  </w:r>
                </w:p>
              </w:tc>
              <w:tc>
                <w:tcPr>
                  <w:tcW w:w="561" w:type="pct"/>
                  <w:tcBorders>
                    <w:tl2br w:val="nil"/>
                    <w:tr2bl w:val="nil"/>
                  </w:tcBorders>
                  <w:vAlign w:val="center"/>
                </w:tcPr>
                <w:p w14:paraId="2D9DFF09">
                  <w:pPr>
                    <w:jc w:val="center"/>
                    <w:rPr>
                      <w:rFonts w:hint="eastAsia" w:eastAsia="宋体"/>
                      <w:szCs w:val="21"/>
                      <w:lang w:eastAsia="zh-CN"/>
                    </w:rPr>
                  </w:pPr>
                  <w:r>
                    <w:rPr>
                      <w:rFonts w:hint="eastAsia"/>
                      <w:szCs w:val="21"/>
                      <w:lang w:val="en-US" w:eastAsia="zh-CN"/>
                    </w:rPr>
                    <w:t>/</w:t>
                  </w:r>
                </w:p>
              </w:tc>
              <w:tc>
                <w:tcPr>
                  <w:tcW w:w="566" w:type="pct"/>
                  <w:tcBorders>
                    <w:tl2br w:val="nil"/>
                    <w:tr2bl w:val="nil"/>
                  </w:tcBorders>
                  <w:vAlign w:val="center"/>
                </w:tcPr>
                <w:p w14:paraId="434DA377">
                  <w:pPr>
                    <w:jc w:val="center"/>
                    <w:rPr>
                      <w:rFonts w:hint="default" w:eastAsia="宋体"/>
                      <w:szCs w:val="21"/>
                      <w:lang w:val="en-US" w:eastAsia="zh-CN"/>
                    </w:rPr>
                  </w:pPr>
                  <w:r>
                    <w:rPr>
                      <w:rFonts w:hint="eastAsia"/>
                      <w:szCs w:val="21"/>
                    </w:rPr>
                    <w:t>3</w:t>
                  </w:r>
                  <w:r>
                    <w:rPr>
                      <w:rFonts w:hint="eastAsia"/>
                      <w:szCs w:val="21"/>
                      <w:lang w:val="en-US" w:eastAsia="zh-CN"/>
                    </w:rPr>
                    <w:t>.5</w:t>
                  </w:r>
                </w:p>
              </w:tc>
            </w:tr>
          </w:tbl>
          <w:p w14:paraId="5CC45F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val="en-US" w:eastAsia="zh-CN"/>
              </w:rPr>
            </w:pPr>
            <w:r>
              <w:rPr>
                <w:rFonts w:hint="eastAsia"/>
                <w:b/>
                <w:bCs/>
                <w:sz w:val="24"/>
                <w:szCs w:val="24"/>
                <w:lang w:val="en-US" w:eastAsia="zh-CN"/>
              </w:rPr>
              <w:t>表3-7 本项目废水排放标准</w:t>
            </w:r>
          </w:p>
          <w:tbl>
            <w:tblPr>
              <w:tblStyle w:val="5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76"/>
              <w:gridCol w:w="933"/>
              <w:gridCol w:w="991"/>
              <w:gridCol w:w="1095"/>
              <w:gridCol w:w="702"/>
              <w:gridCol w:w="896"/>
              <w:gridCol w:w="941"/>
              <w:gridCol w:w="950"/>
            </w:tblGrid>
            <w:tr w14:paraId="57D3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088" w:type="dxa"/>
                  <w:tcBorders>
                    <w:tl2br w:val="nil"/>
                    <w:tr2bl w:val="nil"/>
                  </w:tcBorders>
                  <w:vAlign w:val="center"/>
                </w:tcPr>
                <w:p w14:paraId="6C93A319">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szCs w:val="21"/>
                    </w:rPr>
                  </w:pPr>
                  <w:r>
                    <w:rPr>
                      <w:rFonts w:ascii="Times New Roman"/>
                      <w:b/>
                      <w:bCs/>
                      <w:szCs w:val="21"/>
                    </w:rPr>
                    <w:t>污染因子</w:t>
                  </w:r>
                </w:p>
              </w:tc>
              <w:tc>
                <w:tcPr>
                  <w:tcW w:w="774" w:type="dxa"/>
                  <w:tcBorders>
                    <w:tl2br w:val="nil"/>
                    <w:tr2bl w:val="nil"/>
                  </w:tcBorders>
                  <w:vAlign w:val="center"/>
                </w:tcPr>
                <w:p w14:paraId="339020BB">
                  <w:pPr>
                    <w:wordWrap w:val="0"/>
                    <w:topLinePunct/>
                    <w:adjustRightInd w:val="0"/>
                    <w:snapToGrid w:val="0"/>
                    <w:jc w:val="center"/>
                    <w:rPr>
                      <w:szCs w:val="21"/>
                    </w:rPr>
                  </w:pPr>
                  <w:r>
                    <w:rPr>
                      <w:rFonts w:hint="eastAsia"/>
                      <w:b/>
                      <w:szCs w:val="21"/>
                    </w:rPr>
                    <w:t>p</w:t>
                  </w:r>
                  <w:r>
                    <w:rPr>
                      <w:b/>
                      <w:szCs w:val="21"/>
                    </w:rPr>
                    <w:t>H</w:t>
                  </w:r>
                </w:p>
              </w:tc>
              <w:tc>
                <w:tcPr>
                  <w:tcW w:w="931" w:type="dxa"/>
                  <w:tcBorders>
                    <w:tl2br w:val="nil"/>
                    <w:tr2bl w:val="nil"/>
                  </w:tcBorders>
                  <w:vAlign w:val="center"/>
                </w:tcPr>
                <w:p w14:paraId="00AE22B1">
                  <w:pPr>
                    <w:wordWrap w:val="0"/>
                    <w:topLinePunct/>
                    <w:adjustRightInd w:val="0"/>
                    <w:snapToGrid w:val="0"/>
                    <w:jc w:val="center"/>
                    <w:rPr>
                      <w:szCs w:val="21"/>
                    </w:rPr>
                  </w:pPr>
                  <w:r>
                    <w:rPr>
                      <w:b/>
                      <w:szCs w:val="21"/>
                    </w:rPr>
                    <w:t>COD</w:t>
                  </w:r>
                  <w:r>
                    <w:rPr>
                      <w:b/>
                      <w:szCs w:val="21"/>
                      <w:vertAlign w:val="subscript"/>
                    </w:rPr>
                    <w:t>cr</w:t>
                  </w:r>
                </w:p>
              </w:tc>
              <w:tc>
                <w:tcPr>
                  <w:tcW w:w="989" w:type="dxa"/>
                  <w:tcBorders>
                    <w:tl2br w:val="nil"/>
                    <w:tr2bl w:val="nil"/>
                  </w:tcBorders>
                  <w:vAlign w:val="center"/>
                </w:tcPr>
                <w:p w14:paraId="0261B413">
                  <w:pPr>
                    <w:wordWrap w:val="0"/>
                    <w:topLinePunct/>
                    <w:adjustRightInd w:val="0"/>
                    <w:snapToGrid w:val="0"/>
                    <w:jc w:val="center"/>
                    <w:rPr>
                      <w:szCs w:val="21"/>
                    </w:rPr>
                  </w:pPr>
                  <w:r>
                    <w:rPr>
                      <w:b/>
                      <w:szCs w:val="21"/>
                    </w:rPr>
                    <w:t>BOD</w:t>
                  </w:r>
                  <w:r>
                    <w:rPr>
                      <w:b/>
                      <w:szCs w:val="21"/>
                      <w:vertAlign w:val="subscript"/>
                    </w:rPr>
                    <w:t>5</w:t>
                  </w:r>
                </w:p>
              </w:tc>
              <w:tc>
                <w:tcPr>
                  <w:tcW w:w="1092" w:type="dxa"/>
                  <w:tcBorders>
                    <w:tl2br w:val="nil"/>
                    <w:tr2bl w:val="nil"/>
                  </w:tcBorders>
                  <w:vAlign w:val="center"/>
                </w:tcPr>
                <w:p w14:paraId="1CBA185B">
                  <w:pPr>
                    <w:wordWrap w:val="0"/>
                    <w:topLinePunct/>
                    <w:adjustRightInd w:val="0"/>
                    <w:snapToGrid w:val="0"/>
                    <w:jc w:val="center"/>
                    <w:rPr>
                      <w:szCs w:val="21"/>
                    </w:rPr>
                  </w:pPr>
                  <w:r>
                    <w:rPr>
                      <w:b/>
                      <w:szCs w:val="21"/>
                    </w:rPr>
                    <w:t>NH</w:t>
                  </w:r>
                  <w:r>
                    <w:rPr>
                      <w:b/>
                      <w:szCs w:val="21"/>
                      <w:vertAlign w:val="subscript"/>
                    </w:rPr>
                    <w:t>3</w:t>
                  </w:r>
                  <w:r>
                    <w:rPr>
                      <w:b/>
                      <w:szCs w:val="21"/>
                    </w:rPr>
                    <w:t>-N</w:t>
                  </w:r>
                </w:p>
              </w:tc>
              <w:tc>
                <w:tcPr>
                  <w:tcW w:w="700" w:type="dxa"/>
                  <w:tcBorders>
                    <w:tl2br w:val="nil"/>
                    <w:tr2bl w:val="nil"/>
                  </w:tcBorders>
                  <w:vAlign w:val="center"/>
                </w:tcPr>
                <w:p w14:paraId="538FADF1">
                  <w:pPr>
                    <w:wordWrap w:val="0"/>
                    <w:topLinePunct/>
                    <w:adjustRightInd w:val="0"/>
                    <w:snapToGrid w:val="0"/>
                    <w:jc w:val="center"/>
                    <w:rPr>
                      <w:szCs w:val="21"/>
                    </w:rPr>
                  </w:pPr>
                  <w:r>
                    <w:rPr>
                      <w:b/>
                      <w:szCs w:val="21"/>
                    </w:rPr>
                    <w:t>SS</w:t>
                  </w:r>
                </w:p>
              </w:tc>
              <w:tc>
                <w:tcPr>
                  <w:tcW w:w="894" w:type="dxa"/>
                  <w:tcBorders>
                    <w:tl2br w:val="nil"/>
                    <w:tr2bl w:val="nil"/>
                  </w:tcBorders>
                  <w:vAlign w:val="center"/>
                </w:tcPr>
                <w:p w14:paraId="1562752D">
                  <w:pPr>
                    <w:wordWrap w:val="0"/>
                    <w:topLinePunct/>
                    <w:adjustRightInd w:val="0"/>
                    <w:snapToGrid w:val="0"/>
                    <w:jc w:val="center"/>
                    <w:rPr>
                      <w:b/>
                      <w:szCs w:val="21"/>
                    </w:rPr>
                  </w:pPr>
                  <w:r>
                    <w:rPr>
                      <w:rFonts w:hint="eastAsia"/>
                      <w:b/>
                      <w:szCs w:val="21"/>
                    </w:rPr>
                    <w:t>石油类</w:t>
                  </w:r>
                </w:p>
              </w:tc>
              <w:tc>
                <w:tcPr>
                  <w:tcW w:w="939" w:type="dxa"/>
                  <w:tcBorders>
                    <w:tl2br w:val="nil"/>
                    <w:tr2bl w:val="nil"/>
                  </w:tcBorders>
                  <w:vAlign w:val="center"/>
                </w:tcPr>
                <w:p w14:paraId="299C223E">
                  <w:pPr>
                    <w:wordWrap w:val="0"/>
                    <w:topLinePunct/>
                    <w:adjustRightInd w:val="0"/>
                    <w:snapToGrid w:val="0"/>
                    <w:jc w:val="center"/>
                    <w:rPr>
                      <w:b/>
                      <w:szCs w:val="21"/>
                    </w:rPr>
                  </w:pPr>
                  <w:r>
                    <w:rPr>
                      <w:rFonts w:hint="eastAsia"/>
                      <w:b/>
                      <w:szCs w:val="21"/>
                    </w:rPr>
                    <w:t>TN</w:t>
                  </w:r>
                </w:p>
              </w:tc>
              <w:tc>
                <w:tcPr>
                  <w:tcW w:w="948" w:type="dxa"/>
                  <w:tcBorders>
                    <w:tl2br w:val="nil"/>
                    <w:tr2bl w:val="nil"/>
                  </w:tcBorders>
                  <w:vAlign w:val="center"/>
                </w:tcPr>
                <w:p w14:paraId="117CE74C">
                  <w:pPr>
                    <w:wordWrap w:val="0"/>
                    <w:topLinePunct/>
                    <w:adjustRightInd w:val="0"/>
                    <w:snapToGrid w:val="0"/>
                    <w:jc w:val="center"/>
                    <w:rPr>
                      <w:b/>
                      <w:szCs w:val="21"/>
                    </w:rPr>
                  </w:pPr>
                  <w:r>
                    <w:rPr>
                      <w:rFonts w:hint="eastAsia"/>
                      <w:b/>
                      <w:szCs w:val="21"/>
                    </w:rPr>
                    <w:t>TP</w:t>
                  </w:r>
                </w:p>
              </w:tc>
            </w:tr>
            <w:tr w14:paraId="4695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88" w:type="dxa"/>
                  <w:tcBorders>
                    <w:tl2br w:val="nil"/>
                    <w:tr2bl w:val="nil"/>
                  </w:tcBorders>
                  <w:vAlign w:val="center"/>
                </w:tcPr>
                <w:p w14:paraId="4EEE5D23">
                  <w:pPr>
                    <w:pStyle w:val="115"/>
                    <w:spacing w:before="24" w:after="24"/>
                    <w:ind w:left="420" w:leftChars="0" w:hanging="420" w:hangingChars="200"/>
                    <w:rPr>
                      <w:szCs w:val="21"/>
                    </w:rPr>
                  </w:pPr>
                  <w:r>
                    <w:rPr>
                      <w:rFonts w:ascii="Times New Roman"/>
                      <w:szCs w:val="21"/>
                    </w:rPr>
                    <w:t>浓度限值</w:t>
                  </w:r>
                </w:p>
              </w:tc>
              <w:tc>
                <w:tcPr>
                  <w:tcW w:w="774" w:type="dxa"/>
                  <w:tcBorders>
                    <w:tl2br w:val="nil"/>
                    <w:tr2bl w:val="nil"/>
                  </w:tcBorders>
                  <w:vAlign w:val="center"/>
                </w:tcPr>
                <w:p w14:paraId="2C7C7DFD">
                  <w:pPr>
                    <w:pStyle w:val="43"/>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6-9</w:t>
                  </w:r>
                </w:p>
              </w:tc>
              <w:tc>
                <w:tcPr>
                  <w:tcW w:w="931" w:type="dxa"/>
                  <w:tcBorders>
                    <w:tl2br w:val="nil"/>
                    <w:tr2bl w:val="nil"/>
                  </w:tcBorders>
                  <w:vAlign w:val="center"/>
                </w:tcPr>
                <w:p w14:paraId="44187B60">
                  <w:pPr>
                    <w:pStyle w:val="43"/>
                    <w:tabs>
                      <w:tab w:val="right" w:leader="dot" w:pos="8949"/>
                    </w:tabs>
                    <w:spacing w:after="0" w:line="240" w:lineRule="auto"/>
                    <w:ind w:left="0" w:leftChars="0"/>
                    <w:jc w:val="center"/>
                    <w:rPr>
                      <w:rFonts w:ascii="Times New Roman" w:hAnsi="Times New Roman"/>
                      <w:sz w:val="21"/>
                      <w:szCs w:val="21"/>
                    </w:rPr>
                  </w:pPr>
                  <w:r>
                    <w:rPr>
                      <w:rFonts w:hint="eastAsia" w:ascii="Times New Roman" w:hAnsi="Times New Roman"/>
                      <w:sz w:val="21"/>
                      <w:szCs w:val="21"/>
                      <w:lang w:val="en-US" w:eastAsia="zh-CN"/>
                    </w:rPr>
                    <w:t>300</w:t>
                  </w:r>
                </w:p>
              </w:tc>
              <w:tc>
                <w:tcPr>
                  <w:tcW w:w="989" w:type="dxa"/>
                  <w:tcBorders>
                    <w:tl2br w:val="nil"/>
                    <w:tr2bl w:val="nil"/>
                  </w:tcBorders>
                  <w:vAlign w:val="center"/>
                </w:tcPr>
                <w:p w14:paraId="143C4201">
                  <w:pPr>
                    <w:pStyle w:val="43"/>
                    <w:tabs>
                      <w:tab w:val="right" w:leader="dot" w:pos="8949"/>
                    </w:tabs>
                    <w:spacing w:after="0" w:line="240" w:lineRule="auto"/>
                    <w:ind w:left="0" w:leftChars="0"/>
                    <w:jc w:val="center"/>
                    <w:rPr>
                      <w:rFonts w:ascii="Times New Roman" w:hAnsi="Times New Roman"/>
                      <w:sz w:val="21"/>
                      <w:szCs w:val="21"/>
                    </w:rPr>
                  </w:pPr>
                  <w:r>
                    <w:rPr>
                      <w:rFonts w:hint="eastAsia" w:ascii="Times New Roman" w:hAnsi="Times New Roman"/>
                      <w:sz w:val="21"/>
                      <w:szCs w:val="21"/>
                    </w:rPr>
                    <w:t>120</w:t>
                  </w:r>
                </w:p>
              </w:tc>
              <w:tc>
                <w:tcPr>
                  <w:tcW w:w="1092" w:type="dxa"/>
                  <w:tcBorders>
                    <w:tl2br w:val="nil"/>
                    <w:tr2bl w:val="nil"/>
                  </w:tcBorders>
                  <w:vAlign w:val="center"/>
                </w:tcPr>
                <w:p w14:paraId="46265D88">
                  <w:pPr>
                    <w:pStyle w:val="43"/>
                    <w:tabs>
                      <w:tab w:val="right" w:leader="dot" w:pos="8949"/>
                    </w:tabs>
                    <w:spacing w:after="0" w:line="240" w:lineRule="auto"/>
                    <w:ind w:left="0" w:leftChars="0"/>
                    <w:jc w:val="center"/>
                    <w:rPr>
                      <w:rFonts w:ascii="Times New Roman" w:hAnsi="Times New Roman"/>
                      <w:sz w:val="21"/>
                      <w:szCs w:val="21"/>
                    </w:rPr>
                  </w:pPr>
                  <w:r>
                    <w:rPr>
                      <w:rFonts w:hint="eastAsia" w:ascii="Times New Roman" w:hAnsi="Times New Roman"/>
                      <w:sz w:val="21"/>
                      <w:szCs w:val="21"/>
                      <w:lang w:val="en-US" w:eastAsia="zh-CN"/>
                    </w:rPr>
                    <w:t>32</w:t>
                  </w:r>
                </w:p>
              </w:tc>
              <w:tc>
                <w:tcPr>
                  <w:tcW w:w="700" w:type="dxa"/>
                  <w:tcBorders>
                    <w:tl2br w:val="nil"/>
                    <w:tr2bl w:val="nil"/>
                  </w:tcBorders>
                  <w:vAlign w:val="center"/>
                </w:tcPr>
                <w:p w14:paraId="478EB041">
                  <w:pPr>
                    <w:pStyle w:val="43"/>
                    <w:tabs>
                      <w:tab w:val="right" w:leader="dot" w:pos="8949"/>
                    </w:tabs>
                    <w:spacing w:after="0" w:line="240" w:lineRule="auto"/>
                    <w:ind w:left="0" w:leftChars="0"/>
                    <w:jc w:val="center"/>
                    <w:rPr>
                      <w:rFonts w:ascii="Times New Roman" w:hAnsi="Times New Roman"/>
                      <w:sz w:val="21"/>
                      <w:szCs w:val="21"/>
                    </w:rPr>
                  </w:pPr>
                  <w:r>
                    <w:rPr>
                      <w:rFonts w:hint="eastAsia" w:ascii="Times New Roman" w:hAnsi="Times New Roman"/>
                      <w:sz w:val="21"/>
                      <w:szCs w:val="21"/>
                      <w:lang w:val="en-US" w:eastAsia="zh-CN"/>
                    </w:rPr>
                    <w:t>200</w:t>
                  </w:r>
                </w:p>
              </w:tc>
              <w:tc>
                <w:tcPr>
                  <w:tcW w:w="894" w:type="dxa"/>
                  <w:tcBorders>
                    <w:tl2br w:val="nil"/>
                    <w:tr2bl w:val="nil"/>
                  </w:tcBorders>
                  <w:vAlign w:val="center"/>
                </w:tcPr>
                <w:p w14:paraId="6A6159D1">
                  <w:pPr>
                    <w:jc w:val="center"/>
                    <w:rPr>
                      <w:rFonts w:hint="default"/>
                      <w:szCs w:val="21"/>
                      <w:lang w:val="en-US"/>
                    </w:rPr>
                  </w:pPr>
                  <w:r>
                    <w:rPr>
                      <w:rFonts w:hint="eastAsia"/>
                      <w:szCs w:val="21"/>
                      <w:lang w:val="en-US" w:eastAsia="zh-CN"/>
                    </w:rPr>
                    <w:t>20</w:t>
                  </w:r>
                </w:p>
              </w:tc>
              <w:tc>
                <w:tcPr>
                  <w:tcW w:w="939" w:type="dxa"/>
                  <w:tcBorders>
                    <w:tl2br w:val="nil"/>
                    <w:tr2bl w:val="nil"/>
                  </w:tcBorders>
                  <w:vAlign w:val="center"/>
                </w:tcPr>
                <w:p w14:paraId="20BF1A39">
                  <w:pPr>
                    <w:jc w:val="center"/>
                    <w:rPr>
                      <w:szCs w:val="21"/>
                    </w:rPr>
                  </w:pPr>
                  <w:r>
                    <w:rPr>
                      <w:rFonts w:hint="eastAsia"/>
                      <w:szCs w:val="21"/>
                      <w:lang w:val="en-US" w:eastAsia="zh-CN"/>
                    </w:rPr>
                    <w:t>/</w:t>
                  </w:r>
                </w:p>
              </w:tc>
              <w:tc>
                <w:tcPr>
                  <w:tcW w:w="948" w:type="dxa"/>
                  <w:tcBorders>
                    <w:tl2br w:val="nil"/>
                    <w:tr2bl w:val="nil"/>
                  </w:tcBorders>
                  <w:vAlign w:val="center"/>
                </w:tcPr>
                <w:p w14:paraId="3AEE4ECF">
                  <w:pPr>
                    <w:jc w:val="center"/>
                    <w:rPr>
                      <w:szCs w:val="21"/>
                    </w:rPr>
                  </w:pPr>
                  <w:r>
                    <w:rPr>
                      <w:rFonts w:hint="eastAsia"/>
                      <w:szCs w:val="21"/>
                    </w:rPr>
                    <w:t>3</w:t>
                  </w:r>
                  <w:r>
                    <w:rPr>
                      <w:rFonts w:hint="eastAsia"/>
                      <w:szCs w:val="21"/>
                      <w:lang w:val="en-US" w:eastAsia="zh-CN"/>
                    </w:rPr>
                    <w:t>.5</w:t>
                  </w:r>
                </w:p>
              </w:tc>
            </w:tr>
          </w:tbl>
          <w:p w14:paraId="240287C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3.7 废气执行标准</w:t>
            </w:r>
          </w:p>
          <w:p w14:paraId="5EE07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u w:val="none"/>
              </w:rPr>
            </w:pPr>
            <w:r>
              <w:rPr>
                <w:rFonts w:hint="eastAsia"/>
                <w:bCs/>
                <w:color w:val="auto"/>
                <w:sz w:val="24"/>
                <w:u w:val="none"/>
              </w:rPr>
              <w:t>项目运营期无组织挥发油气（以非甲烷总烃计）</w:t>
            </w:r>
            <w:r>
              <w:rPr>
                <w:rFonts w:hint="eastAsia"/>
                <w:bCs/>
                <w:color w:val="auto"/>
                <w:sz w:val="24"/>
                <w:u w:val="none"/>
                <w:lang w:eastAsia="zh-CN"/>
              </w:rPr>
              <w:t>，</w:t>
            </w:r>
            <w:r>
              <w:rPr>
                <w:rFonts w:hint="eastAsia"/>
                <w:bCs/>
                <w:color w:val="auto"/>
                <w:sz w:val="24"/>
                <w:u w:val="none"/>
              </w:rPr>
              <w:t>加油站生产系统执行</w:t>
            </w:r>
            <w:r>
              <w:rPr>
                <w:bCs/>
                <w:color w:val="auto"/>
                <w:sz w:val="24"/>
                <w:u w:val="none"/>
              </w:rPr>
              <w:t>《加油站大气污染物排放标准》（GB20952-20</w:t>
            </w:r>
            <w:r>
              <w:rPr>
                <w:rFonts w:hint="eastAsia"/>
                <w:bCs/>
                <w:color w:val="auto"/>
                <w:sz w:val="24"/>
                <w:u w:val="none"/>
              </w:rPr>
              <w:t>20</w:t>
            </w:r>
            <w:r>
              <w:rPr>
                <w:bCs/>
                <w:color w:val="auto"/>
                <w:sz w:val="24"/>
                <w:u w:val="none"/>
              </w:rPr>
              <w:t>）</w:t>
            </w:r>
            <w:r>
              <w:rPr>
                <w:rFonts w:hint="eastAsia"/>
                <w:bCs/>
                <w:color w:val="auto"/>
                <w:sz w:val="24"/>
                <w:u w:val="none"/>
              </w:rPr>
              <w:t>，详情如下：</w:t>
            </w:r>
          </w:p>
          <w:p w14:paraId="5F05C5B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jc w:val="center"/>
              <w:textAlignment w:val="auto"/>
              <w:rPr>
                <w:b/>
                <w:bCs/>
                <w:color w:val="auto"/>
                <w:kern w:val="21"/>
                <w:sz w:val="24"/>
                <w:szCs w:val="24"/>
                <w:u w:val="none"/>
              </w:rPr>
            </w:pPr>
            <w:r>
              <w:rPr>
                <w:rFonts w:hint="eastAsia"/>
                <w:b/>
                <w:bCs/>
                <w:color w:val="auto"/>
                <w:kern w:val="21"/>
                <w:sz w:val="24"/>
                <w:szCs w:val="24"/>
                <w:u w:val="none"/>
              </w:rPr>
              <w:t>表3-</w:t>
            </w:r>
            <w:r>
              <w:rPr>
                <w:rFonts w:hint="eastAsia"/>
                <w:b/>
                <w:bCs/>
                <w:color w:val="auto"/>
                <w:kern w:val="21"/>
                <w:sz w:val="24"/>
                <w:szCs w:val="24"/>
                <w:u w:val="none"/>
                <w:lang w:val="en-US" w:eastAsia="zh-CN"/>
              </w:rPr>
              <w:t>8</w:t>
            </w:r>
            <w:r>
              <w:rPr>
                <w:rFonts w:hint="eastAsia"/>
                <w:b/>
                <w:bCs/>
                <w:color w:val="auto"/>
                <w:kern w:val="21"/>
                <w:sz w:val="24"/>
                <w:szCs w:val="24"/>
                <w:u w:val="none"/>
              </w:rPr>
              <w:t xml:space="preserve"> 加油站大气污染物排放标准</w:t>
            </w:r>
          </w:p>
          <w:tbl>
            <w:tblPr>
              <w:tblStyle w:val="51"/>
              <w:tblW w:w="499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379"/>
              <w:gridCol w:w="3151"/>
              <w:gridCol w:w="2194"/>
            </w:tblGrid>
            <w:tr w14:paraId="01DA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87" w:type="pct"/>
                  <w:tcBorders>
                    <w:tl2br w:val="nil"/>
                    <w:tr2bl w:val="nil"/>
                  </w:tcBorders>
                  <w:noWrap w:val="0"/>
                  <w:vAlign w:val="top"/>
                </w:tcPr>
                <w:p w14:paraId="6D2AFEED">
                  <w:pPr>
                    <w:adjustRightInd w:val="0"/>
                    <w:snapToGrid w:val="0"/>
                    <w:jc w:val="center"/>
                    <w:rPr>
                      <w:b/>
                      <w:bCs/>
                      <w:color w:val="auto"/>
                      <w:kern w:val="21"/>
                      <w:szCs w:val="21"/>
                      <w:u w:val="none"/>
                    </w:rPr>
                  </w:pPr>
                  <w:r>
                    <w:rPr>
                      <w:rFonts w:hint="eastAsia"/>
                      <w:b/>
                      <w:bCs/>
                      <w:color w:val="auto"/>
                      <w:kern w:val="21"/>
                      <w:szCs w:val="21"/>
                      <w:u w:val="none"/>
                    </w:rPr>
                    <w:t>污染物项目</w:t>
                  </w:r>
                </w:p>
              </w:tc>
              <w:tc>
                <w:tcPr>
                  <w:tcW w:w="823" w:type="pct"/>
                  <w:tcBorders>
                    <w:tl2br w:val="nil"/>
                    <w:tr2bl w:val="nil"/>
                  </w:tcBorders>
                  <w:noWrap w:val="0"/>
                  <w:vAlign w:val="top"/>
                </w:tcPr>
                <w:p w14:paraId="37891A1A">
                  <w:pPr>
                    <w:adjustRightInd w:val="0"/>
                    <w:snapToGrid w:val="0"/>
                    <w:jc w:val="center"/>
                    <w:rPr>
                      <w:rFonts w:hint="eastAsia"/>
                      <w:b/>
                      <w:bCs/>
                      <w:color w:val="auto"/>
                      <w:kern w:val="21"/>
                      <w:szCs w:val="21"/>
                      <w:u w:val="none"/>
                    </w:rPr>
                  </w:pPr>
                  <w:r>
                    <w:rPr>
                      <w:rFonts w:hint="eastAsia"/>
                      <w:b/>
                      <w:bCs/>
                      <w:color w:val="auto"/>
                      <w:kern w:val="21"/>
                      <w:szCs w:val="21"/>
                      <w:u w:val="none"/>
                    </w:rPr>
                    <w:t>排放限值</w:t>
                  </w:r>
                </w:p>
              </w:tc>
              <w:tc>
                <w:tcPr>
                  <w:tcW w:w="1880" w:type="pct"/>
                  <w:tcBorders>
                    <w:tl2br w:val="nil"/>
                    <w:tr2bl w:val="nil"/>
                  </w:tcBorders>
                  <w:noWrap w:val="0"/>
                  <w:vAlign w:val="top"/>
                </w:tcPr>
                <w:p w14:paraId="47F81993">
                  <w:pPr>
                    <w:adjustRightInd w:val="0"/>
                    <w:snapToGrid w:val="0"/>
                    <w:jc w:val="center"/>
                    <w:rPr>
                      <w:b/>
                      <w:bCs/>
                      <w:color w:val="auto"/>
                      <w:kern w:val="21"/>
                      <w:szCs w:val="21"/>
                      <w:u w:val="none"/>
                    </w:rPr>
                  </w:pPr>
                  <w:r>
                    <w:rPr>
                      <w:rFonts w:hint="eastAsia"/>
                      <w:b/>
                      <w:bCs/>
                      <w:color w:val="auto"/>
                      <w:kern w:val="21"/>
                      <w:szCs w:val="21"/>
                      <w:u w:val="none"/>
                    </w:rPr>
                    <w:t>限值含义</w:t>
                  </w:r>
                </w:p>
              </w:tc>
              <w:tc>
                <w:tcPr>
                  <w:tcW w:w="1309" w:type="pct"/>
                  <w:tcBorders>
                    <w:tl2br w:val="nil"/>
                    <w:tr2bl w:val="nil"/>
                  </w:tcBorders>
                  <w:noWrap w:val="0"/>
                  <w:vAlign w:val="top"/>
                </w:tcPr>
                <w:p w14:paraId="037B4E8A">
                  <w:pPr>
                    <w:adjustRightInd w:val="0"/>
                    <w:snapToGrid w:val="0"/>
                    <w:jc w:val="center"/>
                    <w:rPr>
                      <w:rFonts w:hint="eastAsia"/>
                      <w:b/>
                      <w:bCs/>
                      <w:color w:val="auto"/>
                      <w:kern w:val="21"/>
                      <w:szCs w:val="21"/>
                      <w:u w:val="none"/>
                    </w:rPr>
                  </w:pPr>
                  <w:r>
                    <w:rPr>
                      <w:rFonts w:hint="eastAsia"/>
                      <w:b/>
                      <w:bCs/>
                      <w:color w:val="auto"/>
                      <w:kern w:val="21"/>
                      <w:szCs w:val="21"/>
                      <w:u w:val="none"/>
                    </w:rPr>
                    <w:t>监控点位</w:t>
                  </w:r>
                </w:p>
              </w:tc>
            </w:tr>
            <w:tr w14:paraId="09E8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87" w:type="pct"/>
                  <w:vMerge w:val="restart"/>
                  <w:tcBorders>
                    <w:tl2br w:val="nil"/>
                    <w:tr2bl w:val="nil"/>
                  </w:tcBorders>
                  <w:noWrap w:val="0"/>
                  <w:vAlign w:val="center"/>
                </w:tcPr>
                <w:p w14:paraId="5BBD5B3D">
                  <w:pPr>
                    <w:adjustRightInd w:val="0"/>
                    <w:snapToGrid w:val="0"/>
                    <w:jc w:val="center"/>
                    <w:rPr>
                      <w:color w:val="auto"/>
                      <w:kern w:val="21"/>
                      <w:szCs w:val="21"/>
                      <w:u w:val="none"/>
                    </w:rPr>
                  </w:pPr>
                  <w:r>
                    <w:rPr>
                      <w:rFonts w:hint="eastAsia"/>
                      <w:color w:val="auto"/>
                      <w:kern w:val="21"/>
                      <w:szCs w:val="21"/>
                      <w:u w:val="none"/>
                    </w:rPr>
                    <w:t>NMHC</w:t>
                  </w:r>
                </w:p>
              </w:tc>
              <w:tc>
                <w:tcPr>
                  <w:tcW w:w="823" w:type="pct"/>
                  <w:tcBorders>
                    <w:tl2br w:val="nil"/>
                    <w:tr2bl w:val="nil"/>
                  </w:tcBorders>
                  <w:noWrap w:val="0"/>
                  <w:vAlign w:val="center"/>
                </w:tcPr>
                <w:p w14:paraId="6D8F2E8D">
                  <w:pPr>
                    <w:adjustRightInd w:val="0"/>
                    <w:snapToGrid w:val="0"/>
                    <w:jc w:val="center"/>
                    <w:rPr>
                      <w:color w:val="auto"/>
                      <w:kern w:val="21"/>
                      <w:szCs w:val="21"/>
                      <w:u w:val="none"/>
                    </w:rPr>
                  </w:pPr>
                  <w:r>
                    <w:rPr>
                      <w:rFonts w:hint="eastAsia"/>
                      <w:color w:val="auto"/>
                      <w:kern w:val="21"/>
                      <w:szCs w:val="21"/>
                      <w:u w:val="none"/>
                    </w:rPr>
                    <w:t>25</w:t>
                  </w:r>
                  <w:r>
                    <w:rPr>
                      <w:rFonts w:hint="eastAsia"/>
                      <w:lang w:val="en-US" w:eastAsia="zh-CN"/>
                    </w:rPr>
                    <w:t>g/m</w:t>
                  </w:r>
                  <w:r>
                    <w:rPr>
                      <w:rFonts w:hint="eastAsia"/>
                      <w:vertAlign w:val="superscript"/>
                      <w:lang w:val="en-US" w:eastAsia="zh-CN"/>
                    </w:rPr>
                    <w:t>3</w:t>
                  </w:r>
                </w:p>
              </w:tc>
              <w:tc>
                <w:tcPr>
                  <w:tcW w:w="1880" w:type="pct"/>
                  <w:vMerge w:val="restart"/>
                  <w:tcBorders>
                    <w:tl2br w:val="nil"/>
                    <w:tr2bl w:val="nil"/>
                  </w:tcBorders>
                  <w:noWrap w:val="0"/>
                  <w:vAlign w:val="center"/>
                </w:tcPr>
                <w:p w14:paraId="014A6A56">
                  <w:pPr>
                    <w:adjustRightInd w:val="0"/>
                    <w:snapToGrid w:val="0"/>
                    <w:jc w:val="center"/>
                    <w:rPr>
                      <w:color w:val="auto"/>
                      <w:kern w:val="21"/>
                      <w:szCs w:val="21"/>
                      <w:u w:val="none"/>
                    </w:rPr>
                  </w:pPr>
                  <w:r>
                    <w:rPr>
                      <w:rFonts w:hint="eastAsia"/>
                      <w:color w:val="auto"/>
                      <w:kern w:val="21"/>
                      <w:szCs w:val="21"/>
                      <w:u w:val="none"/>
                    </w:rPr>
                    <w:t>监控点处1h平均浓度值</w:t>
                  </w:r>
                </w:p>
              </w:tc>
              <w:tc>
                <w:tcPr>
                  <w:tcW w:w="1309" w:type="pct"/>
                  <w:tcBorders>
                    <w:tl2br w:val="nil"/>
                    <w:tr2bl w:val="nil"/>
                  </w:tcBorders>
                  <w:noWrap w:val="0"/>
                  <w:vAlign w:val="center"/>
                </w:tcPr>
                <w:p w14:paraId="7B5A07A9">
                  <w:pPr>
                    <w:adjustRightInd w:val="0"/>
                    <w:snapToGrid w:val="0"/>
                    <w:jc w:val="center"/>
                    <w:rPr>
                      <w:rFonts w:hint="default" w:eastAsia="宋体"/>
                      <w:color w:val="auto"/>
                      <w:kern w:val="21"/>
                      <w:szCs w:val="21"/>
                      <w:u w:val="none"/>
                      <w:lang w:val="en-US" w:eastAsia="zh-CN"/>
                    </w:rPr>
                  </w:pPr>
                  <w:r>
                    <w:rPr>
                      <w:rFonts w:hint="eastAsia"/>
                      <w:color w:val="auto"/>
                      <w:kern w:val="21"/>
                      <w:szCs w:val="21"/>
                      <w:u w:val="none"/>
                      <w:lang w:val="en-US" w:eastAsia="zh-CN"/>
                    </w:rPr>
                    <w:t>油气处理装置排气口</w:t>
                  </w:r>
                </w:p>
              </w:tc>
            </w:tr>
            <w:tr w14:paraId="71EB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87" w:type="pct"/>
                  <w:vMerge w:val="continue"/>
                  <w:tcBorders>
                    <w:tl2br w:val="nil"/>
                    <w:tr2bl w:val="nil"/>
                  </w:tcBorders>
                  <w:noWrap w:val="0"/>
                  <w:vAlign w:val="center"/>
                </w:tcPr>
                <w:p w14:paraId="6D7306FA">
                  <w:pPr>
                    <w:adjustRightInd w:val="0"/>
                    <w:snapToGrid w:val="0"/>
                    <w:jc w:val="center"/>
                    <w:rPr>
                      <w:rFonts w:hint="eastAsia"/>
                      <w:color w:val="auto"/>
                      <w:kern w:val="21"/>
                      <w:szCs w:val="21"/>
                      <w:u w:val="none"/>
                    </w:rPr>
                  </w:pPr>
                </w:p>
              </w:tc>
              <w:tc>
                <w:tcPr>
                  <w:tcW w:w="823" w:type="pct"/>
                  <w:tcBorders>
                    <w:tl2br w:val="nil"/>
                    <w:tr2bl w:val="nil"/>
                  </w:tcBorders>
                  <w:noWrap w:val="0"/>
                  <w:vAlign w:val="center"/>
                </w:tcPr>
                <w:p w14:paraId="7EA9B8BC">
                  <w:pPr>
                    <w:adjustRightInd w:val="0"/>
                    <w:snapToGrid w:val="0"/>
                    <w:jc w:val="center"/>
                    <w:rPr>
                      <w:color w:val="auto"/>
                      <w:kern w:val="21"/>
                      <w:szCs w:val="21"/>
                      <w:u w:val="none"/>
                    </w:rPr>
                  </w:pPr>
                  <w:r>
                    <w:rPr>
                      <w:rFonts w:hint="eastAsia"/>
                      <w:color w:val="auto"/>
                      <w:kern w:val="21"/>
                      <w:szCs w:val="21"/>
                      <w:u w:val="none"/>
                    </w:rPr>
                    <w:t>4.0</w:t>
                  </w:r>
                  <w:r>
                    <w:rPr>
                      <w:rFonts w:hint="eastAsia"/>
                      <w:color w:val="auto"/>
                      <w:kern w:val="21"/>
                      <w:szCs w:val="21"/>
                      <w:u w:val="none"/>
                      <w:lang w:val="en-US" w:eastAsia="zh-CN"/>
                    </w:rPr>
                    <w:t>m</w:t>
                  </w:r>
                  <w:r>
                    <w:rPr>
                      <w:rFonts w:hint="eastAsia"/>
                      <w:lang w:val="en-US" w:eastAsia="zh-CN"/>
                    </w:rPr>
                    <w:t>g/m</w:t>
                  </w:r>
                  <w:r>
                    <w:rPr>
                      <w:rFonts w:hint="eastAsia"/>
                      <w:vertAlign w:val="superscript"/>
                      <w:lang w:val="en-US" w:eastAsia="zh-CN"/>
                    </w:rPr>
                    <w:t>3</w:t>
                  </w:r>
                </w:p>
              </w:tc>
              <w:tc>
                <w:tcPr>
                  <w:tcW w:w="1880" w:type="pct"/>
                  <w:vMerge w:val="continue"/>
                  <w:tcBorders>
                    <w:tl2br w:val="nil"/>
                    <w:tr2bl w:val="nil"/>
                  </w:tcBorders>
                  <w:noWrap w:val="0"/>
                  <w:vAlign w:val="center"/>
                </w:tcPr>
                <w:p w14:paraId="5A1E6A76">
                  <w:pPr>
                    <w:adjustRightInd w:val="0"/>
                    <w:snapToGrid w:val="0"/>
                    <w:jc w:val="center"/>
                    <w:rPr>
                      <w:rFonts w:hint="eastAsia"/>
                      <w:color w:val="auto"/>
                      <w:kern w:val="21"/>
                      <w:szCs w:val="21"/>
                      <w:u w:val="none"/>
                    </w:rPr>
                  </w:pPr>
                </w:p>
              </w:tc>
              <w:tc>
                <w:tcPr>
                  <w:tcW w:w="1309" w:type="pct"/>
                  <w:tcBorders>
                    <w:tl2br w:val="nil"/>
                    <w:tr2bl w:val="nil"/>
                  </w:tcBorders>
                  <w:noWrap w:val="0"/>
                  <w:vAlign w:val="center"/>
                </w:tcPr>
                <w:p w14:paraId="3B07EE45">
                  <w:pPr>
                    <w:adjustRightInd w:val="0"/>
                    <w:snapToGrid w:val="0"/>
                    <w:jc w:val="center"/>
                    <w:rPr>
                      <w:color w:val="auto"/>
                      <w:kern w:val="21"/>
                      <w:szCs w:val="21"/>
                      <w:u w:val="none"/>
                    </w:rPr>
                  </w:pPr>
                  <w:r>
                    <w:rPr>
                      <w:rFonts w:hint="eastAsia"/>
                      <w:color w:val="auto"/>
                      <w:kern w:val="21"/>
                      <w:szCs w:val="21"/>
                      <w:u w:val="none"/>
                    </w:rPr>
                    <w:t>加油站企业边界</w:t>
                  </w:r>
                </w:p>
              </w:tc>
            </w:tr>
          </w:tbl>
          <w:p w14:paraId="2217D5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lang w:eastAsia="zh-CN"/>
              </w:rPr>
            </w:pPr>
            <w:r>
              <w:rPr>
                <w:rFonts w:hint="eastAsia" w:ascii="Times New Roman" w:hAnsi="Times New Roman" w:eastAsia="宋体" w:cs="Times New Roman"/>
                <w:color w:val="auto"/>
                <w:sz w:val="24"/>
                <w:u w:val="none"/>
              </w:rPr>
              <w:t>厂区内无组织挥发性有机物执行《挥发性有机物无组织排放控制标准》（GB37822-2019）附录A中的排放限值要求</w:t>
            </w:r>
            <w:r>
              <w:rPr>
                <w:rFonts w:hint="eastAsia" w:ascii="Times New Roman" w:hAnsi="Times New Roman" w:eastAsia="宋体" w:cs="Times New Roman"/>
                <w:color w:val="auto"/>
                <w:sz w:val="24"/>
                <w:u w:val="none"/>
                <w:lang w:eastAsia="zh-CN"/>
              </w:rPr>
              <w:t>。</w:t>
            </w:r>
          </w:p>
          <w:p w14:paraId="1FE549DA">
            <w:pPr>
              <w:pBdr>
                <w:top w:val="none" w:color="auto" w:sz="0" w:space="1"/>
                <w:left w:val="none" w:color="auto" w:sz="0" w:space="4"/>
                <w:bottom w:val="none" w:color="auto" w:sz="0" w:space="1"/>
                <w:right w:val="none" w:color="auto" w:sz="0" w:space="4"/>
              </w:pBdr>
              <w:adjustRightInd w:val="0"/>
              <w:snapToGrid w:val="0"/>
              <w:spacing w:line="240" w:lineRule="auto"/>
              <w:jc w:val="center"/>
              <w:rPr>
                <w:rFonts w:hint="eastAsia" w:ascii="Times New Roman" w:hAnsi="Times New Roman" w:eastAsia="宋体" w:cs="Times New Roman"/>
                <w:b/>
                <w:bCs/>
                <w:color w:val="auto"/>
                <w:kern w:val="21"/>
                <w:sz w:val="24"/>
                <w:szCs w:val="24"/>
                <w:u w:val="none"/>
              </w:rPr>
            </w:pPr>
            <w:r>
              <w:rPr>
                <w:rFonts w:hint="eastAsia" w:ascii="Times New Roman" w:hAnsi="Times New Roman" w:eastAsia="宋体" w:cs="Times New Roman"/>
                <w:b/>
                <w:bCs/>
                <w:color w:val="auto"/>
                <w:kern w:val="21"/>
                <w:sz w:val="24"/>
                <w:szCs w:val="24"/>
                <w:u w:val="none"/>
              </w:rPr>
              <w:t>表</w:t>
            </w:r>
            <w:r>
              <w:rPr>
                <w:rFonts w:hint="eastAsia" w:ascii="Times New Roman" w:hAnsi="Times New Roman" w:eastAsia="宋体" w:cs="Times New Roman"/>
                <w:b/>
                <w:bCs/>
                <w:color w:val="auto"/>
                <w:kern w:val="21"/>
                <w:sz w:val="24"/>
                <w:szCs w:val="24"/>
                <w:u w:val="none"/>
                <w:lang w:val="en-US" w:eastAsia="zh-CN"/>
              </w:rPr>
              <w:t>3</w:t>
            </w:r>
            <w:r>
              <w:rPr>
                <w:rFonts w:hint="eastAsia" w:ascii="Times New Roman" w:hAnsi="Times New Roman" w:eastAsia="宋体" w:cs="Times New Roman"/>
                <w:b/>
                <w:bCs/>
                <w:color w:val="auto"/>
                <w:kern w:val="21"/>
                <w:sz w:val="24"/>
                <w:szCs w:val="24"/>
                <w:u w:val="none"/>
              </w:rPr>
              <w:t>-</w:t>
            </w:r>
            <w:r>
              <w:rPr>
                <w:rFonts w:hint="eastAsia" w:cs="Times New Roman"/>
                <w:b/>
                <w:bCs/>
                <w:color w:val="auto"/>
                <w:kern w:val="21"/>
                <w:sz w:val="24"/>
                <w:szCs w:val="24"/>
                <w:u w:val="none"/>
                <w:lang w:val="en-US" w:eastAsia="zh-CN"/>
              </w:rPr>
              <w:t>9</w:t>
            </w:r>
            <w:r>
              <w:rPr>
                <w:rFonts w:hint="eastAsia" w:ascii="Times New Roman" w:hAnsi="Times New Roman" w:eastAsia="宋体" w:cs="Times New Roman"/>
                <w:b/>
                <w:bCs/>
                <w:color w:val="auto"/>
                <w:kern w:val="21"/>
                <w:sz w:val="24"/>
                <w:szCs w:val="24"/>
                <w:u w:val="none"/>
              </w:rPr>
              <w:t xml:space="preserve"> </w:t>
            </w:r>
            <w:r>
              <w:rPr>
                <w:rFonts w:hint="eastAsia" w:ascii="Times New Roman" w:hAnsi="Times New Roman" w:eastAsia="宋体" w:cs="Times New Roman"/>
                <w:b/>
                <w:bCs/>
                <w:color w:val="auto"/>
                <w:kern w:val="21"/>
                <w:sz w:val="24"/>
                <w:szCs w:val="24"/>
                <w:u w:val="none"/>
                <w:lang w:val="en-US" w:eastAsia="zh-CN"/>
              </w:rPr>
              <w:t>厂区内</w:t>
            </w:r>
            <w:r>
              <w:rPr>
                <w:rFonts w:hint="eastAsia" w:ascii="Times New Roman" w:hAnsi="Times New Roman" w:eastAsia="宋体" w:cs="Times New Roman"/>
                <w:b/>
                <w:bCs/>
                <w:color w:val="auto"/>
                <w:kern w:val="21"/>
                <w:sz w:val="24"/>
                <w:szCs w:val="24"/>
                <w:u w:val="none"/>
              </w:rPr>
              <w:t>大气污染物排放标准限值一览表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038"/>
              <w:gridCol w:w="2825"/>
              <w:gridCol w:w="2064"/>
              <w:gridCol w:w="1242"/>
            </w:tblGrid>
            <w:tr w14:paraId="4090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3" w:type="pct"/>
                  <w:tcBorders>
                    <w:tl2br w:val="nil"/>
                    <w:tr2bl w:val="nil"/>
                  </w:tcBorders>
                  <w:noWrap w:val="0"/>
                  <w:vAlign w:val="center"/>
                </w:tcPr>
                <w:p w14:paraId="134759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kern w:val="21"/>
                      <w:sz w:val="21"/>
                      <w:szCs w:val="21"/>
                      <w:highlight w:val="none"/>
                      <w:u w:val="none"/>
                      <w:lang w:val="en-US" w:eastAsia="zh-CN"/>
                    </w:rPr>
                  </w:pPr>
                  <w:r>
                    <w:rPr>
                      <w:rFonts w:hint="eastAsia" w:ascii="Times New Roman" w:hAnsi="Times New Roman" w:eastAsia="宋体" w:cs="Times New Roman"/>
                      <w:b/>
                      <w:bCs/>
                      <w:color w:val="auto"/>
                      <w:kern w:val="21"/>
                      <w:sz w:val="21"/>
                      <w:szCs w:val="21"/>
                      <w:highlight w:val="none"/>
                      <w:u w:val="none"/>
                    </w:rPr>
                    <w:t>污染物</w:t>
                  </w:r>
                </w:p>
              </w:tc>
              <w:tc>
                <w:tcPr>
                  <w:tcW w:w="3535" w:type="pct"/>
                  <w:gridSpan w:val="3"/>
                  <w:tcBorders>
                    <w:tl2br w:val="nil"/>
                    <w:tr2bl w:val="nil"/>
                  </w:tcBorders>
                  <w:noWrap w:val="0"/>
                  <w:vAlign w:val="center"/>
                </w:tcPr>
                <w:p w14:paraId="5C53857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b/>
                      <w:bCs/>
                      <w:color w:val="auto"/>
                      <w:kern w:val="21"/>
                      <w:sz w:val="21"/>
                      <w:szCs w:val="21"/>
                      <w:highlight w:val="none"/>
                      <w:u w:val="none"/>
                    </w:rPr>
                  </w:pPr>
                  <w:r>
                    <w:rPr>
                      <w:rFonts w:hint="eastAsia" w:ascii="Times New Roman" w:hAnsi="Times New Roman" w:eastAsia="宋体" w:cs="Times New Roman"/>
                      <w:b/>
                      <w:bCs/>
                      <w:color w:val="auto"/>
                      <w:kern w:val="21"/>
                      <w:sz w:val="21"/>
                      <w:szCs w:val="21"/>
                      <w:highlight w:val="none"/>
                      <w:u w:val="none"/>
                      <w:lang w:val="en-US" w:eastAsia="zh-CN"/>
                    </w:rPr>
                    <w:t>标准要求</w:t>
                  </w:r>
                </w:p>
              </w:tc>
              <w:tc>
                <w:tcPr>
                  <w:tcW w:w="741" w:type="pct"/>
                  <w:tcBorders>
                    <w:tl2br w:val="nil"/>
                    <w:tr2bl w:val="nil"/>
                  </w:tcBorders>
                  <w:noWrap w:val="0"/>
                  <w:vAlign w:val="center"/>
                </w:tcPr>
                <w:p w14:paraId="71C3676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kern w:val="21"/>
                      <w:sz w:val="21"/>
                      <w:szCs w:val="21"/>
                      <w:highlight w:val="none"/>
                      <w:u w:val="none"/>
                      <w:lang w:val="en-US" w:eastAsia="zh-CN"/>
                    </w:rPr>
                  </w:pPr>
                  <w:r>
                    <w:rPr>
                      <w:rFonts w:hint="eastAsia" w:ascii="Times New Roman" w:hAnsi="Times New Roman" w:eastAsia="宋体" w:cs="Times New Roman"/>
                      <w:b/>
                      <w:bCs/>
                      <w:color w:val="auto"/>
                      <w:kern w:val="21"/>
                      <w:sz w:val="21"/>
                      <w:szCs w:val="21"/>
                      <w:highlight w:val="none"/>
                      <w:u w:val="none"/>
                      <w:lang w:val="en-US" w:eastAsia="zh-CN"/>
                    </w:rPr>
                    <w:t>执行标准</w:t>
                  </w:r>
                </w:p>
              </w:tc>
            </w:tr>
            <w:tr w14:paraId="1781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3" w:type="pct"/>
                  <w:vMerge w:val="restart"/>
                  <w:tcBorders>
                    <w:tl2br w:val="nil"/>
                    <w:tr2bl w:val="nil"/>
                  </w:tcBorders>
                  <w:noWrap w:val="0"/>
                  <w:vAlign w:val="center"/>
                </w:tcPr>
                <w:p w14:paraId="0929D58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厂区内无组织挥发性有机物（NMHC）</w:t>
                  </w:r>
                </w:p>
              </w:tc>
              <w:tc>
                <w:tcPr>
                  <w:tcW w:w="619" w:type="pct"/>
                  <w:tcBorders>
                    <w:tl2br w:val="nil"/>
                    <w:tr2bl w:val="nil"/>
                  </w:tcBorders>
                  <w:noWrap w:val="0"/>
                  <w:vAlign w:val="center"/>
                </w:tcPr>
                <w:p w14:paraId="60BDB5D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ascii="Times New Roman" w:hAnsi="Times New Roman" w:eastAsia="宋体" w:cs="Times New Roman"/>
                      <w:color w:val="auto"/>
                      <w:kern w:val="21"/>
                      <w:sz w:val="21"/>
                      <w:szCs w:val="21"/>
                      <w:highlight w:val="none"/>
                      <w:u w:val="none"/>
                      <w:lang w:val="en-US" w:eastAsia="zh-CN"/>
                    </w:rPr>
                    <w:t>排放限值</w:t>
                  </w:r>
                </w:p>
              </w:tc>
              <w:tc>
                <w:tcPr>
                  <w:tcW w:w="1685" w:type="pct"/>
                  <w:tcBorders>
                    <w:tl2br w:val="nil"/>
                    <w:tr2bl w:val="nil"/>
                  </w:tcBorders>
                  <w:noWrap w:val="0"/>
                  <w:vAlign w:val="center"/>
                </w:tcPr>
                <w:p w14:paraId="4FB2967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ascii="Times New Roman" w:hAnsi="Times New Roman" w:eastAsia="宋体" w:cs="Times New Roman"/>
                      <w:color w:val="auto"/>
                      <w:kern w:val="21"/>
                      <w:sz w:val="21"/>
                      <w:szCs w:val="21"/>
                      <w:highlight w:val="none"/>
                      <w:u w:val="none"/>
                      <w:lang w:val="en-US" w:eastAsia="zh-CN"/>
                    </w:rPr>
                    <w:t>限值含义</w:t>
                  </w:r>
                </w:p>
              </w:tc>
              <w:tc>
                <w:tcPr>
                  <w:tcW w:w="1230" w:type="pct"/>
                  <w:tcBorders>
                    <w:tl2br w:val="nil"/>
                    <w:tr2bl w:val="nil"/>
                  </w:tcBorders>
                  <w:noWrap w:val="0"/>
                  <w:vAlign w:val="center"/>
                </w:tcPr>
                <w:p w14:paraId="7109E05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6"/>
                      <w:kern w:val="21"/>
                      <w:sz w:val="21"/>
                      <w:szCs w:val="21"/>
                      <w:highlight w:val="none"/>
                      <w:u w:val="none"/>
                      <w:lang w:val="en-US" w:eastAsia="zh-CN"/>
                    </w:rPr>
                  </w:pPr>
                  <w:r>
                    <w:rPr>
                      <w:rFonts w:hint="eastAsia" w:ascii="Times New Roman" w:hAnsi="Times New Roman" w:eastAsia="宋体" w:cs="Times New Roman"/>
                      <w:color w:val="auto"/>
                      <w:spacing w:val="-6"/>
                      <w:kern w:val="21"/>
                      <w:sz w:val="21"/>
                      <w:szCs w:val="21"/>
                      <w:highlight w:val="none"/>
                      <w:u w:val="none"/>
                      <w:lang w:val="en-US" w:eastAsia="zh-CN"/>
                    </w:rPr>
                    <w:t>无组织排放监控位置</w:t>
                  </w:r>
                </w:p>
              </w:tc>
              <w:tc>
                <w:tcPr>
                  <w:tcW w:w="741" w:type="pct"/>
                  <w:vMerge w:val="restart"/>
                  <w:tcBorders>
                    <w:tl2br w:val="nil"/>
                    <w:tr2bl w:val="nil"/>
                  </w:tcBorders>
                  <w:noWrap w:val="0"/>
                  <w:vAlign w:val="center"/>
                </w:tcPr>
                <w:p w14:paraId="637B0AA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pacing w:val="-6"/>
                      <w:kern w:val="21"/>
                      <w:sz w:val="21"/>
                      <w:szCs w:val="21"/>
                      <w:highlight w:val="none"/>
                      <w:u w:val="none"/>
                    </w:rPr>
                  </w:pPr>
                  <w:r>
                    <w:rPr>
                      <w:rFonts w:hint="eastAsia" w:ascii="Times New Roman" w:hAnsi="Times New Roman" w:eastAsia="宋体" w:cs="Times New Roman"/>
                      <w:b w:val="0"/>
                      <w:bCs/>
                      <w:color w:val="auto"/>
                      <w:sz w:val="21"/>
                      <w:szCs w:val="21"/>
                      <w:highlight w:val="none"/>
                      <w:u w:val="none"/>
                      <w:lang w:val="en-US" w:eastAsia="zh-CN"/>
                    </w:rPr>
                    <w:t>GB37822-2019</w:t>
                  </w:r>
                </w:p>
              </w:tc>
            </w:tr>
            <w:tr w14:paraId="0B4A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3" w:type="pct"/>
                  <w:vMerge w:val="continue"/>
                  <w:tcBorders>
                    <w:tl2br w:val="nil"/>
                    <w:tr2bl w:val="nil"/>
                  </w:tcBorders>
                  <w:noWrap w:val="0"/>
                  <w:vAlign w:val="center"/>
                </w:tcPr>
                <w:p w14:paraId="4E69626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b w:val="0"/>
                      <w:bCs/>
                      <w:color w:val="auto"/>
                      <w:sz w:val="21"/>
                      <w:szCs w:val="21"/>
                      <w:highlight w:val="none"/>
                      <w:u w:val="none"/>
                      <w:lang w:val="en-US" w:eastAsia="zh-CN"/>
                    </w:rPr>
                  </w:pPr>
                </w:p>
              </w:tc>
              <w:tc>
                <w:tcPr>
                  <w:tcW w:w="619" w:type="pct"/>
                  <w:tcBorders>
                    <w:tl2br w:val="nil"/>
                    <w:tr2bl w:val="nil"/>
                  </w:tcBorders>
                  <w:noWrap w:val="0"/>
                  <w:vAlign w:val="center"/>
                </w:tcPr>
                <w:p w14:paraId="6976E55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cs="Times New Roman"/>
                      <w:color w:val="auto"/>
                      <w:kern w:val="21"/>
                      <w:sz w:val="21"/>
                      <w:szCs w:val="21"/>
                      <w:highlight w:val="none"/>
                      <w:u w:val="none"/>
                      <w:lang w:val="en-US" w:eastAsia="zh-CN"/>
                    </w:rPr>
                    <w:t>10</w:t>
                  </w:r>
                  <w:r>
                    <w:rPr>
                      <w:rFonts w:hint="eastAsia" w:ascii="Times New Roman" w:hAnsi="Times New Roman" w:eastAsia="宋体" w:cs="Times New Roman"/>
                      <w:color w:val="auto"/>
                      <w:kern w:val="21"/>
                      <w:sz w:val="21"/>
                      <w:szCs w:val="21"/>
                      <w:highlight w:val="none"/>
                      <w:u w:val="none"/>
                      <w:lang w:val="en-US" w:eastAsia="zh-CN"/>
                    </w:rPr>
                    <w:t>mg/m</w:t>
                  </w:r>
                  <w:r>
                    <w:rPr>
                      <w:rFonts w:hint="eastAsia" w:ascii="Times New Roman" w:hAnsi="Times New Roman" w:eastAsia="宋体" w:cs="Times New Roman"/>
                      <w:color w:val="auto"/>
                      <w:kern w:val="21"/>
                      <w:sz w:val="21"/>
                      <w:szCs w:val="21"/>
                      <w:highlight w:val="none"/>
                      <w:u w:val="none"/>
                      <w:vertAlign w:val="superscript"/>
                      <w:lang w:val="en-US" w:eastAsia="zh-CN"/>
                    </w:rPr>
                    <w:t>3</w:t>
                  </w:r>
                </w:p>
              </w:tc>
              <w:tc>
                <w:tcPr>
                  <w:tcW w:w="1685" w:type="pct"/>
                  <w:tcBorders>
                    <w:tl2br w:val="nil"/>
                    <w:tr2bl w:val="nil"/>
                  </w:tcBorders>
                  <w:noWrap w:val="0"/>
                  <w:vAlign w:val="center"/>
                </w:tcPr>
                <w:p w14:paraId="3A73C45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1"/>
                      <w:sz w:val="21"/>
                      <w:szCs w:val="21"/>
                      <w:highlight w:val="none"/>
                      <w:u w:val="none"/>
                      <w:lang w:val="en-US" w:eastAsia="zh-CN"/>
                    </w:rPr>
                  </w:pPr>
                  <w:r>
                    <w:rPr>
                      <w:rFonts w:hint="eastAsia" w:ascii="Times New Roman" w:hAnsi="Times New Roman" w:eastAsia="宋体" w:cs="Times New Roman"/>
                      <w:color w:val="auto"/>
                      <w:kern w:val="21"/>
                      <w:sz w:val="21"/>
                      <w:szCs w:val="21"/>
                      <w:highlight w:val="none"/>
                      <w:u w:val="none"/>
                      <w:lang w:val="en-US" w:eastAsia="zh-CN"/>
                    </w:rPr>
                    <w:t>监控点处1h平均浓度值</w:t>
                  </w:r>
                </w:p>
              </w:tc>
              <w:tc>
                <w:tcPr>
                  <w:tcW w:w="1230" w:type="pct"/>
                  <w:vMerge w:val="restart"/>
                  <w:tcBorders>
                    <w:tl2br w:val="nil"/>
                    <w:tr2bl w:val="nil"/>
                  </w:tcBorders>
                  <w:noWrap w:val="0"/>
                  <w:vAlign w:val="center"/>
                </w:tcPr>
                <w:p w14:paraId="29D2DF0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6"/>
                      <w:kern w:val="21"/>
                      <w:sz w:val="21"/>
                      <w:szCs w:val="21"/>
                      <w:highlight w:val="none"/>
                      <w:u w:val="none"/>
                      <w:lang w:val="en-US" w:eastAsia="zh-CN"/>
                    </w:rPr>
                  </w:pPr>
                  <w:r>
                    <w:rPr>
                      <w:rFonts w:hint="eastAsia" w:ascii="Times New Roman" w:hAnsi="Times New Roman" w:eastAsia="宋体" w:cs="Times New Roman"/>
                      <w:color w:val="auto"/>
                      <w:spacing w:val="-6"/>
                      <w:kern w:val="21"/>
                      <w:sz w:val="21"/>
                      <w:szCs w:val="21"/>
                      <w:highlight w:val="none"/>
                      <w:u w:val="none"/>
                      <w:lang w:val="en-US" w:eastAsia="zh-CN"/>
                    </w:rPr>
                    <w:t>在厂房外设置监控点</w:t>
                  </w:r>
                </w:p>
              </w:tc>
              <w:tc>
                <w:tcPr>
                  <w:tcW w:w="741" w:type="pct"/>
                  <w:vMerge w:val="continue"/>
                  <w:tcBorders>
                    <w:tl2br w:val="nil"/>
                    <w:tr2bl w:val="nil"/>
                  </w:tcBorders>
                  <w:noWrap w:val="0"/>
                  <w:vAlign w:val="center"/>
                </w:tcPr>
                <w:p w14:paraId="4C493E9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pacing w:val="-6"/>
                      <w:kern w:val="21"/>
                      <w:sz w:val="21"/>
                      <w:szCs w:val="21"/>
                      <w:highlight w:val="none"/>
                      <w:u w:val="none"/>
                    </w:rPr>
                  </w:pPr>
                </w:p>
              </w:tc>
            </w:tr>
            <w:tr w14:paraId="4DC0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23" w:type="pct"/>
                  <w:vMerge w:val="continue"/>
                  <w:tcBorders>
                    <w:tl2br w:val="nil"/>
                    <w:tr2bl w:val="nil"/>
                  </w:tcBorders>
                  <w:noWrap w:val="0"/>
                  <w:vAlign w:val="center"/>
                </w:tcPr>
                <w:p w14:paraId="7EFA72F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p>
              </w:tc>
              <w:tc>
                <w:tcPr>
                  <w:tcW w:w="619" w:type="pct"/>
                  <w:tcBorders>
                    <w:tl2br w:val="nil"/>
                    <w:tr2bl w:val="nil"/>
                  </w:tcBorders>
                  <w:noWrap w:val="0"/>
                  <w:vAlign w:val="center"/>
                </w:tcPr>
                <w:p w14:paraId="50C5C47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cs="Times New Roman"/>
                      <w:color w:val="auto"/>
                      <w:kern w:val="21"/>
                      <w:sz w:val="21"/>
                      <w:szCs w:val="21"/>
                      <w:highlight w:val="none"/>
                      <w:u w:val="none"/>
                      <w:lang w:val="en-US" w:eastAsia="zh-CN"/>
                    </w:rPr>
                    <w:t>3</w:t>
                  </w:r>
                  <w:r>
                    <w:rPr>
                      <w:rFonts w:hint="eastAsia" w:ascii="Times New Roman" w:hAnsi="Times New Roman" w:eastAsia="宋体" w:cs="Times New Roman"/>
                      <w:color w:val="auto"/>
                      <w:kern w:val="21"/>
                      <w:sz w:val="21"/>
                      <w:szCs w:val="21"/>
                      <w:highlight w:val="none"/>
                      <w:u w:val="none"/>
                      <w:lang w:val="en-US" w:eastAsia="zh-CN"/>
                    </w:rPr>
                    <w:t>0mg/m</w:t>
                  </w:r>
                  <w:r>
                    <w:rPr>
                      <w:rFonts w:hint="eastAsia" w:ascii="Times New Roman" w:hAnsi="Times New Roman" w:eastAsia="宋体" w:cs="Times New Roman"/>
                      <w:color w:val="auto"/>
                      <w:kern w:val="21"/>
                      <w:sz w:val="21"/>
                      <w:szCs w:val="21"/>
                      <w:highlight w:val="none"/>
                      <w:u w:val="none"/>
                      <w:vertAlign w:val="superscript"/>
                      <w:lang w:val="en-US" w:eastAsia="zh-CN"/>
                    </w:rPr>
                    <w:t>3</w:t>
                  </w:r>
                </w:p>
              </w:tc>
              <w:tc>
                <w:tcPr>
                  <w:tcW w:w="1685" w:type="pct"/>
                  <w:tcBorders>
                    <w:tl2br w:val="nil"/>
                    <w:tr2bl w:val="nil"/>
                  </w:tcBorders>
                  <w:noWrap w:val="0"/>
                  <w:vAlign w:val="center"/>
                </w:tcPr>
                <w:p w14:paraId="6750741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1"/>
                      <w:sz w:val="21"/>
                      <w:szCs w:val="21"/>
                      <w:highlight w:val="none"/>
                      <w:u w:val="none"/>
                      <w:lang w:val="en-US" w:eastAsia="zh-CN"/>
                    </w:rPr>
                  </w:pPr>
                  <w:r>
                    <w:rPr>
                      <w:rFonts w:hint="eastAsia" w:ascii="Times New Roman" w:hAnsi="Times New Roman" w:eastAsia="宋体" w:cs="Times New Roman"/>
                      <w:color w:val="auto"/>
                      <w:kern w:val="21"/>
                      <w:sz w:val="21"/>
                      <w:szCs w:val="21"/>
                      <w:highlight w:val="none"/>
                      <w:u w:val="none"/>
                      <w:lang w:val="en-US" w:eastAsia="zh-CN"/>
                    </w:rPr>
                    <w:t>监控点处任意一处浓度值</w:t>
                  </w:r>
                </w:p>
              </w:tc>
              <w:tc>
                <w:tcPr>
                  <w:tcW w:w="1230" w:type="pct"/>
                  <w:vMerge w:val="continue"/>
                  <w:tcBorders>
                    <w:tl2br w:val="nil"/>
                    <w:tr2bl w:val="nil"/>
                  </w:tcBorders>
                  <w:noWrap w:val="0"/>
                  <w:vAlign w:val="center"/>
                </w:tcPr>
                <w:p w14:paraId="5B8AB4F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pacing w:val="-6"/>
                      <w:kern w:val="21"/>
                      <w:sz w:val="21"/>
                      <w:szCs w:val="21"/>
                      <w:highlight w:val="none"/>
                      <w:u w:val="none"/>
                    </w:rPr>
                  </w:pPr>
                </w:p>
              </w:tc>
              <w:tc>
                <w:tcPr>
                  <w:tcW w:w="741" w:type="pct"/>
                  <w:vMerge w:val="continue"/>
                  <w:tcBorders>
                    <w:tl2br w:val="nil"/>
                    <w:tr2bl w:val="nil"/>
                  </w:tcBorders>
                  <w:noWrap w:val="0"/>
                  <w:vAlign w:val="center"/>
                </w:tcPr>
                <w:p w14:paraId="382CE9F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pacing w:val="-6"/>
                      <w:kern w:val="21"/>
                      <w:sz w:val="21"/>
                      <w:szCs w:val="21"/>
                      <w:highlight w:val="none"/>
                      <w:u w:val="none"/>
                    </w:rPr>
                  </w:pPr>
                </w:p>
              </w:tc>
            </w:tr>
          </w:tbl>
          <w:p w14:paraId="14A7BB16">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营运期加油油气回收管线液阻检测值应执行《加油站大气污染物排放标准》（</w:t>
            </w:r>
            <w:r>
              <w:rPr>
                <w:rFonts w:hint="default" w:ascii="Times New Roman" w:hAnsi="Times New Roman" w:eastAsia="宋体" w:cs="Times New Roman"/>
                <w:color w:val="000000"/>
                <w:kern w:val="0"/>
                <w:sz w:val="24"/>
                <w:szCs w:val="24"/>
                <w:lang w:val="en-US" w:eastAsia="zh-CN" w:bidi="ar"/>
              </w:rPr>
              <w:t>GB20952-2020</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中加油站油气回收管线液阻最大压力限值。</w:t>
            </w:r>
          </w:p>
          <w:p w14:paraId="49BF3BAA">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10</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加油站油气回收管线液阻最大压力限值</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0"/>
              <w:gridCol w:w="4190"/>
            </w:tblGrid>
            <w:tr w14:paraId="4F02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2500" w:type="pct"/>
                  <w:tcBorders>
                    <w:tl2br w:val="nil"/>
                    <w:tr2bl w:val="nil"/>
                  </w:tcBorders>
                  <w:noWrap w:val="0"/>
                  <w:vAlign w:val="center"/>
                </w:tcPr>
                <w:p w14:paraId="47CC06E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通入氮气流量/（L/min）</w:t>
                  </w:r>
                </w:p>
              </w:tc>
              <w:tc>
                <w:tcPr>
                  <w:tcW w:w="2500" w:type="pct"/>
                  <w:tcBorders>
                    <w:tl2br w:val="nil"/>
                    <w:tr2bl w:val="nil"/>
                  </w:tcBorders>
                  <w:noWrap w:val="0"/>
                  <w:vAlign w:val="center"/>
                </w:tcPr>
                <w:p w14:paraId="1E3EB40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最大压力/Pa</w:t>
                  </w:r>
                </w:p>
              </w:tc>
            </w:tr>
            <w:tr w14:paraId="7F54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5D4FD27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18</w:t>
                  </w:r>
                </w:p>
              </w:tc>
              <w:tc>
                <w:tcPr>
                  <w:tcW w:w="2500" w:type="pct"/>
                  <w:tcBorders>
                    <w:tl2br w:val="nil"/>
                    <w:tr2bl w:val="nil"/>
                  </w:tcBorders>
                  <w:noWrap w:val="0"/>
                  <w:vAlign w:val="center"/>
                </w:tcPr>
                <w:p w14:paraId="5D733B7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40</w:t>
                  </w:r>
                </w:p>
              </w:tc>
            </w:tr>
            <w:tr w14:paraId="293A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6758DDC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28</w:t>
                  </w:r>
                </w:p>
              </w:tc>
              <w:tc>
                <w:tcPr>
                  <w:tcW w:w="2500" w:type="pct"/>
                  <w:tcBorders>
                    <w:tl2br w:val="nil"/>
                    <w:tr2bl w:val="nil"/>
                  </w:tcBorders>
                  <w:noWrap w:val="0"/>
                  <w:vAlign w:val="center"/>
                </w:tcPr>
                <w:p w14:paraId="1AF9EEF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90</w:t>
                  </w:r>
                </w:p>
              </w:tc>
            </w:tr>
            <w:tr w14:paraId="73C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5EA6E2C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38</w:t>
                  </w:r>
                </w:p>
              </w:tc>
              <w:tc>
                <w:tcPr>
                  <w:tcW w:w="2500" w:type="pct"/>
                  <w:tcBorders>
                    <w:tl2br w:val="nil"/>
                    <w:tr2bl w:val="nil"/>
                  </w:tcBorders>
                  <w:noWrap w:val="0"/>
                  <w:vAlign w:val="center"/>
                </w:tcPr>
                <w:p w14:paraId="0E31473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155</w:t>
                  </w:r>
                </w:p>
              </w:tc>
            </w:tr>
          </w:tbl>
          <w:p w14:paraId="4AF36DE5">
            <w:pPr>
              <w:adjustRightInd w:val="0"/>
              <w:snapToGrid w:val="0"/>
              <w:spacing w:line="360" w:lineRule="auto"/>
              <w:ind w:firstLine="480" w:firstLineChars="200"/>
              <w:jc w:val="left"/>
              <w:rPr>
                <w:rFonts w:hint="eastAsia"/>
                <w:b w:val="0"/>
                <w:bCs w:val="0"/>
                <w:sz w:val="24"/>
                <w:u w:val="none"/>
              </w:rPr>
            </w:pPr>
            <w:r>
              <w:rPr>
                <w:rFonts w:hint="eastAsia"/>
                <w:b w:val="0"/>
                <w:bCs w:val="0"/>
                <w:sz w:val="24"/>
                <w:u w:val="none"/>
              </w:rPr>
              <w:t>营运期油气回收系统密闭性压力检测值应执行《加油站大气污染物排放标准》（GB20952-2020）表2中加油站油气回收系统密闭性检测最小剩余压力限值。</w:t>
            </w:r>
          </w:p>
          <w:p w14:paraId="2A7AFD87">
            <w:pPr>
              <w:adjustRightInd w:val="0"/>
              <w:snapToGrid w:val="0"/>
              <w:spacing w:line="240" w:lineRule="auto"/>
              <w:jc w:val="center"/>
              <w:rPr>
                <w:rFonts w:hint="eastAsia"/>
                <w:b/>
                <w:bCs/>
                <w:sz w:val="24"/>
                <w:u w:val="none"/>
              </w:rPr>
            </w:pPr>
            <w:r>
              <w:rPr>
                <w:rFonts w:hint="eastAsia"/>
                <w:b/>
                <w:bCs/>
                <w:sz w:val="24"/>
                <w:u w:val="none"/>
              </w:rPr>
              <w:t>表3-</w:t>
            </w:r>
            <w:r>
              <w:rPr>
                <w:rFonts w:hint="eastAsia"/>
                <w:b/>
                <w:bCs/>
                <w:sz w:val="24"/>
                <w:u w:val="none"/>
                <w:lang w:val="en-US" w:eastAsia="zh-CN"/>
              </w:rPr>
              <w:t>11</w:t>
            </w:r>
            <w:r>
              <w:rPr>
                <w:rFonts w:hint="eastAsia"/>
                <w:b/>
                <w:bCs/>
                <w:sz w:val="24"/>
                <w:u w:val="none"/>
              </w:rPr>
              <w:t xml:space="preserve"> 加油站油气回收系统密闭性检测最小剩余压力限值</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0"/>
              <w:gridCol w:w="4190"/>
            </w:tblGrid>
            <w:tr w14:paraId="3732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vMerge w:val="restart"/>
                  <w:tcBorders>
                    <w:tl2br w:val="nil"/>
                    <w:tr2bl w:val="nil"/>
                  </w:tcBorders>
                  <w:noWrap w:val="0"/>
                  <w:vAlign w:val="center"/>
                </w:tcPr>
                <w:p w14:paraId="150FE2D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储油罐油气空间/L</w:t>
                  </w:r>
                </w:p>
              </w:tc>
              <w:tc>
                <w:tcPr>
                  <w:tcW w:w="2500" w:type="pct"/>
                  <w:tcBorders>
                    <w:tl2br w:val="nil"/>
                    <w:tr2bl w:val="nil"/>
                  </w:tcBorders>
                  <w:noWrap w:val="0"/>
                  <w:vAlign w:val="center"/>
                </w:tcPr>
                <w:p w14:paraId="7E8FFEE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受影响的加油枪数</w:t>
                  </w:r>
                </w:p>
              </w:tc>
            </w:tr>
            <w:tr w14:paraId="039A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vMerge w:val="continue"/>
                  <w:tcBorders>
                    <w:tl2br w:val="nil"/>
                    <w:tr2bl w:val="nil"/>
                  </w:tcBorders>
                  <w:noWrap w:val="0"/>
                  <w:vAlign w:val="center"/>
                </w:tcPr>
                <w:p w14:paraId="1520054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rPr>
                  </w:pPr>
                </w:p>
              </w:tc>
              <w:tc>
                <w:tcPr>
                  <w:tcW w:w="2500" w:type="pct"/>
                  <w:tcBorders>
                    <w:tl2br w:val="nil"/>
                    <w:tr2bl w:val="nil"/>
                  </w:tcBorders>
                  <w:noWrap w:val="0"/>
                  <w:vAlign w:val="center"/>
                </w:tcPr>
                <w:p w14:paraId="0A53293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7-12</w:t>
                  </w:r>
                  <w:r>
                    <w:rPr>
                      <w:rFonts w:hint="eastAsia" w:ascii="Times New Roman" w:hAnsi="Times New Roman" w:eastAsia="宋体" w:cs="Times New Roman"/>
                      <w:color w:val="auto"/>
                      <w:sz w:val="21"/>
                      <w:szCs w:val="21"/>
                      <w:highlight w:val="none"/>
                      <w:lang w:eastAsia="zh-CN"/>
                    </w:rPr>
                    <w:t>）</w:t>
                  </w:r>
                </w:p>
              </w:tc>
            </w:tr>
            <w:tr w14:paraId="1D6E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7DE1E94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1893</w:t>
                  </w:r>
                </w:p>
              </w:tc>
              <w:tc>
                <w:tcPr>
                  <w:tcW w:w="2500" w:type="pct"/>
                  <w:tcBorders>
                    <w:tl2br w:val="nil"/>
                    <w:tr2bl w:val="nil"/>
                  </w:tcBorders>
                  <w:noWrap w:val="0"/>
                  <w:vAlign w:val="center"/>
                </w:tcPr>
                <w:p w14:paraId="567E273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w:t>
                  </w:r>
                </w:p>
              </w:tc>
            </w:tr>
            <w:tr w14:paraId="665F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5D133F0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2082</w:t>
                  </w:r>
                </w:p>
              </w:tc>
              <w:tc>
                <w:tcPr>
                  <w:tcW w:w="2500" w:type="pct"/>
                  <w:tcBorders>
                    <w:tl2br w:val="nil"/>
                    <w:tr2bl w:val="nil"/>
                  </w:tcBorders>
                  <w:noWrap w:val="0"/>
                  <w:vAlign w:val="center"/>
                </w:tcPr>
                <w:p w14:paraId="18E2E33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189</w:t>
                  </w:r>
                </w:p>
              </w:tc>
            </w:tr>
            <w:tr w14:paraId="1E6F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6E3468C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2271</w:t>
                  </w:r>
                </w:p>
              </w:tc>
              <w:tc>
                <w:tcPr>
                  <w:tcW w:w="2500" w:type="pct"/>
                  <w:tcBorders>
                    <w:tl2br w:val="nil"/>
                    <w:tr2bl w:val="nil"/>
                  </w:tcBorders>
                  <w:noWrap w:val="0"/>
                  <w:vAlign w:val="center"/>
                </w:tcPr>
                <w:p w14:paraId="185DBC1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204</w:t>
                  </w:r>
                </w:p>
              </w:tc>
            </w:tr>
            <w:tr w14:paraId="1CBF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3B4245C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2460</w:t>
                  </w:r>
                </w:p>
              </w:tc>
              <w:tc>
                <w:tcPr>
                  <w:tcW w:w="2500" w:type="pct"/>
                  <w:tcBorders>
                    <w:tl2br w:val="nil"/>
                    <w:tr2bl w:val="nil"/>
                  </w:tcBorders>
                  <w:noWrap w:val="0"/>
                  <w:vAlign w:val="center"/>
                </w:tcPr>
                <w:p w14:paraId="22B1F49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219</w:t>
                  </w:r>
                </w:p>
              </w:tc>
            </w:tr>
            <w:tr w14:paraId="478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41034D1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2650</w:t>
                  </w:r>
                </w:p>
              </w:tc>
              <w:tc>
                <w:tcPr>
                  <w:tcW w:w="2500" w:type="pct"/>
                  <w:tcBorders>
                    <w:tl2br w:val="nil"/>
                    <w:tr2bl w:val="nil"/>
                  </w:tcBorders>
                  <w:noWrap w:val="0"/>
                  <w:vAlign w:val="center"/>
                </w:tcPr>
                <w:p w14:paraId="55E7D3C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234</w:t>
                  </w:r>
                </w:p>
              </w:tc>
            </w:tr>
            <w:tr w14:paraId="760C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3981FD0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2839</w:t>
                  </w:r>
                </w:p>
              </w:tc>
              <w:tc>
                <w:tcPr>
                  <w:tcW w:w="2500" w:type="pct"/>
                  <w:tcBorders>
                    <w:tl2br w:val="nil"/>
                    <w:tr2bl w:val="nil"/>
                  </w:tcBorders>
                  <w:noWrap w:val="0"/>
                  <w:vAlign w:val="center"/>
                </w:tcPr>
                <w:p w14:paraId="6E06D40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244</w:t>
                  </w:r>
                </w:p>
              </w:tc>
            </w:tr>
            <w:tr w14:paraId="46DE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00" w:type="pct"/>
                  <w:tcBorders>
                    <w:tl2br w:val="nil"/>
                    <w:tr2bl w:val="nil"/>
                  </w:tcBorders>
                  <w:noWrap w:val="0"/>
                  <w:vAlign w:val="center"/>
                </w:tcPr>
                <w:p w14:paraId="6861FD8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3028</w:t>
                  </w:r>
                </w:p>
              </w:tc>
              <w:tc>
                <w:tcPr>
                  <w:tcW w:w="2500" w:type="pct"/>
                  <w:tcBorders>
                    <w:tl2br w:val="nil"/>
                    <w:tr2bl w:val="nil"/>
                  </w:tcBorders>
                  <w:noWrap w:val="0"/>
                  <w:vAlign w:val="center"/>
                </w:tcPr>
                <w:p w14:paraId="23646A2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257</w:t>
                  </w:r>
                </w:p>
              </w:tc>
            </w:tr>
          </w:tbl>
          <w:p w14:paraId="1E362176">
            <w:pPr>
              <w:pStyle w:val="289"/>
              <w:keepNext w:val="0"/>
              <w:keepLines w:val="0"/>
              <w:widowControl/>
              <w:suppressLineNumbers w:val="0"/>
              <w:bidi w:val="0"/>
              <w:spacing w:before="0" w:beforeAutospacing="0" w:after="0" w:afterAutospacing="0" w:line="360" w:lineRule="auto"/>
              <w:ind w:left="0" w:leftChars="0" w:right="0" w:firstLine="480" w:firstLineChars="200"/>
              <w:jc w:val="lef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b w:val="0"/>
                <w:bCs w:val="0"/>
                <w:color w:val="auto"/>
                <w:kern w:val="0"/>
                <w:sz w:val="24"/>
                <w:szCs w:val="24"/>
                <w:highlight w:val="none"/>
                <w:u w:val="none"/>
                <w:lang w:val="en-US" w:eastAsia="zh-CN"/>
              </w:rPr>
              <w:t>营运期</w:t>
            </w:r>
            <w:r>
              <w:rPr>
                <w:rFonts w:hint="default" w:ascii="Times New Roman" w:hAnsi="Times New Roman" w:eastAsia="宋体" w:cs="Times New Roman"/>
                <w:b w:val="0"/>
                <w:bCs w:val="0"/>
                <w:color w:val="auto"/>
                <w:kern w:val="0"/>
                <w:sz w:val="24"/>
                <w:szCs w:val="24"/>
                <w:highlight w:val="none"/>
                <w:u w:val="none"/>
              </w:rPr>
              <w:t>本项目加油汽油油气回收系统气液比</w:t>
            </w:r>
            <w:r>
              <w:rPr>
                <w:rFonts w:hint="default" w:ascii="Times New Roman" w:hAnsi="Times New Roman" w:eastAsia="宋体" w:cs="Times New Roman"/>
                <w:b w:val="0"/>
                <w:bCs w:val="0"/>
                <w:color w:val="auto"/>
                <w:kern w:val="0"/>
                <w:sz w:val="24"/>
                <w:szCs w:val="24"/>
                <w:highlight w:val="none"/>
                <w:u w:val="none"/>
                <w:lang w:eastAsia="zh-CN"/>
              </w:rPr>
              <w:t>、</w:t>
            </w:r>
            <w:r>
              <w:rPr>
                <w:rFonts w:hint="default" w:ascii="Times New Roman" w:hAnsi="Times New Roman" w:eastAsia="宋体" w:cs="Times New Roman"/>
                <w:b w:val="0"/>
                <w:bCs w:val="0"/>
                <w:color w:val="auto"/>
                <w:kern w:val="0"/>
                <w:sz w:val="24"/>
                <w:szCs w:val="24"/>
                <w:highlight w:val="none"/>
                <w:u w:val="none"/>
                <w:lang w:val="en-US" w:eastAsia="zh-CN"/>
              </w:rPr>
              <w:t>油气回收系统密闭点泄漏检测值</w:t>
            </w:r>
            <w:r>
              <w:rPr>
                <w:rFonts w:hint="default" w:ascii="Times New Roman" w:hAnsi="Times New Roman" w:eastAsia="宋体" w:cs="Times New Roman"/>
                <w:b w:val="0"/>
                <w:bCs w:val="0"/>
                <w:color w:val="auto"/>
                <w:kern w:val="0"/>
                <w:sz w:val="24"/>
                <w:szCs w:val="24"/>
                <w:highlight w:val="none"/>
                <w:u w:val="none"/>
              </w:rPr>
              <w:t>应满足《加油站大气污染物排放标准》（GB20952-2020）中规定的要求限值。</w:t>
            </w:r>
          </w:p>
          <w:p w14:paraId="0796A7B7">
            <w:pPr>
              <w:pStyle w:val="289"/>
              <w:keepNext w:val="0"/>
              <w:keepLines w:val="0"/>
              <w:widowControl/>
              <w:suppressLineNumbers w:val="0"/>
              <w:bidi w:val="0"/>
              <w:spacing w:before="0" w:beforeAutospacing="0" w:after="0" w:afterAutospacing="0" w:line="240" w:lineRule="auto"/>
              <w:ind w:left="0" w:right="0"/>
              <w:rPr>
                <w:rFonts w:hint="eastAsia" w:ascii="宋体" w:hAnsi="宋体" w:eastAsia="宋体" w:cs="宋体"/>
                <w:color w:val="auto"/>
                <w:sz w:val="24"/>
                <w:szCs w:val="24"/>
                <w:highlight w:val="none"/>
                <w:u w:val="none"/>
                <w:lang w:eastAsia="zh-CN"/>
              </w:rPr>
            </w:pPr>
            <w:r>
              <w:rPr>
                <w:rFonts w:hint="eastAsia" w:ascii="宋体" w:hAnsi="宋体" w:eastAsia="宋体" w:cs="宋体"/>
                <w:b/>
                <w:bCs/>
                <w:color w:val="auto"/>
                <w:sz w:val="24"/>
                <w:szCs w:val="24"/>
                <w:highlight w:val="none"/>
                <w:u w:val="none"/>
                <w:lang w:eastAsia="zh-CN"/>
              </w:rPr>
              <w:t>表</w:t>
            </w:r>
            <w:r>
              <w:rPr>
                <w:rFonts w:hint="default" w:ascii="Times New Roman" w:hAnsi="Times New Roman" w:eastAsia="仿宋" w:cs="Times New Roman"/>
                <w:b/>
                <w:bCs/>
                <w:color w:val="auto"/>
                <w:sz w:val="24"/>
                <w:szCs w:val="24"/>
                <w:highlight w:val="none"/>
                <w:u w:val="none"/>
                <w:lang w:val="en-US" w:eastAsia="zh-CN"/>
              </w:rPr>
              <w:t>3-</w:t>
            </w:r>
            <w:r>
              <w:rPr>
                <w:rFonts w:hint="eastAsia" w:eastAsia="仿宋" w:cs="Times New Roman"/>
                <w:b/>
                <w:bCs/>
                <w:color w:val="auto"/>
                <w:sz w:val="24"/>
                <w:szCs w:val="24"/>
                <w:highlight w:val="none"/>
                <w:u w:val="none"/>
                <w:lang w:val="en-US" w:eastAsia="zh-CN"/>
              </w:rPr>
              <w:t>12</w:t>
            </w:r>
            <w:r>
              <w:rPr>
                <w:rFonts w:hint="default" w:ascii="Times New Roman" w:hAnsi="Times New Roman" w:eastAsia="仿宋" w:cs="Times New Roman"/>
                <w:b/>
                <w:bCs/>
                <w:color w:val="auto"/>
                <w:sz w:val="24"/>
                <w:szCs w:val="24"/>
                <w:highlight w:val="none"/>
                <w:u w:val="none"/>
                <w:lang w:val="en-US" w:eastAsia="zh-CN"/>
              </w:rPr>
              <w:t xml:space="preserve"> </w:t>
            </w:r>
            <w:r>
              <w:rPr>
                <w:rFonts w:hint="eastAsia" w:ascii="宋体" w:hAnsi="宋体" w:eastAsia="宋体" w:cs="宋体"/>
                <w:b/>
                <w:bCs/>
                <w:color w:val="auto"/>
                <w:sz w:val="24"/>
                <w:szCs w:val="24"/>
                <w:highlight w:val="none"/>
                <w:u w:val="none"/>
              </w:rPr>
              <w:t>加油汽油油气回收系统气液比</w:t>
            </w:r>
            <w:r>
              <w:rPr>
                <w:rFonts w:hint="eastAsia" w:ascii="宋体" w:hAnsi="宋体" w:eastAsia="宋体" w:cs="宋体"/>
                <w:b/>
                <w:bCs/>
                <w:color w:val="auto"/>
                <w:sz w:val="24"/>
                <w:szCs w:val="24"/>
                <w:highlight w:val="none"/>
                <w:u w:val="none"/>
                <w:lang w:eastAsia="zh-CN"/>
              </w:rPr>
              <w:t>及密闭点泄漏监测值</w:t>
            </w:r>
          </w:p>
          <w:tbl>
            <w:tblPr>
              <w:tblStyle w:val="5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2003"/>
              <w:gridCol w:w="3084"/>
            </w:tblGrid>
            <w:tr w14:paraId="0766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63" w:type="pct"/>
                  <w:tcBorders>
                    <w:tl2br w:val="nil"/>
                    <w:tr2bl w:val="nil"/>
                  </w:tcBorders>
                  <w:noWrap w:val="0"/>
                  <w:vAlign w:val="center"/>
                </w:tcPr>
                <w:p w14:paraId="47C16C0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项目</w:t>
                  </w:r>
                </w:p>
              </w:tc>
              <w:tc>
                <w:tcPr>
                  <w:tcW w:w="1195" w:type="pct"/>
                  <w:tcBorders>
                    <w:tl2br w:val="nil"/>
                    <w:tr2bl w:val="nil"/>
                  </w:tcBorders>
                  <w:noWrap w:val="0"/>
                  <w:vAlign w:val="center"/>
                </w:tcPr>
                <w:p w14:paraId="119513E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单位</w:t>
                  </w:r>
                </w:p>
              </w:tc>
              <w:tc>
                <w:tcPr>
                  <w:tcW w:w="1840" w:type="pct"/>
                  <w:tcBorders>
                    <w:tl2br w:val="nil"/>
                    <w:tr2bl w:val="nil"/>
                  </w:tcBorders>
                  <w:noWrap w:val="0"/>
                  <w:vAlign w:val="center"/>
                </w:tcPr>
                <w:p w14:paraId="69636FF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标准限值</w:t>
                  </w:r>
                </w:p>
              </w:tc>
            </w:tr>
            <w:tr w14:paraId="0ED1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63" w:type="pct"/>
                  <w:tcBorders>
                    <w:tl2br w:val="nil"/>
                    <w:tr2bl w:val="nil"/>
                  </w:tcBorders>
                  <w:noWrap w:val="0"/>
                  <w:vAlign w:val="center"/>
                </w:tcPr>
                <w:p w14:paraId="22EE914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油气回收系统气液比</w:t>
                  </w:r>
                </w:p>
              </w:tc>
              <w:tc>
                <w:tcPr>
                  <w:tcW w:w="1195" w:type="pct"/>
                  <w:tcBorders>
                    <w:tl2br w:val="nil"/>
                    <w:tr2bl w:val="nil"/>
                  </w:tcBorders>
                  <w:noWrap w:val="0"/>
                  <w:vAlign w:val="center"/>
                </w:tcPr>
                <w:p w14:paraId="7EF4A35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无量纲</w:t>
                  </w:r>
                </w:p>
              </w:tc>
              <w:tc>
                <w:tcPr>
                  <w:tcW w:w="1840" w:type="pct"/>
                  <w:tcBorders>
                    <w:tl2br w:val="nil"/>
                    <w:tr2bl w:val="nil"/>
                  </w:tcBorders>
                  <w:noWrap w:val="0"/>
                  <w:vAlign w:val="center"/>
                </w:tcPr>
                <w:p w14:paraId="78A49B8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1.0≤气液比≤1.2</w:t>
                  </w:r>
                </w:p>
              </w:tc>
            </w:tr>
            <w:tr w14:paraId="2B4D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963" w:type="pct"/>
                  <w:tcBorders>
                    <w:tl2br w:val="nil"/>
                    <w:tr2bl w:val="nil"/>
                  </w:tcBorders>
                  <w:noWrap w:val="0"/>
                  <w:vAlign w:val="center"/>
                </w:tcPr>
                <w:p w14:paraId="0A000B9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kern w:val="21"/>
                      <w:sz w:val="21"/>
                      <w:szCs w:val="21"/>
                      <w:highlight w:val="none"/>
                      <w:u w:val="none"/>
                      <w:lang w:val="en-US" w:eastAsia="zh-CN"/>
                    </w:rPr>
                    <w:t>油气回收系统密闭点</w:t>
                  </w:r>
                  <w:r>
                    <w:rPr>
                      <w:rFonts w:hint="default" w:ascii="Times New Roman" w:hAnsi="Times New Roman" w:eastAsia="宋体" w:cs="Times New Roman"/>
                      <w:b w:val="0"/>
                      <w:bCs w:val="0"/>
                      <w:color w:val="auto"/>
                      <w:sz w:val="21"/>
                      <w:szCs w:val="21"/>
                      <w:highlight w:val="none"/>
                      <w:u w:val="none"/>
                      <w:lang w:eastAsia="zh-CN"/>
                    </w:rPr>
                    <w:t>泄漏检测值</w:t>
                  </w:r>
                </w:p>
              </w:tc>
              <w:tc>
                <w:tcPr>
                  <w:tcW w:w="1195" w:type="pct"/>
                  <w:tcBorders>
                    <w:tl2br w:val="nil"/>
                    <w:tr2bl w:val="nil"/>
                  </w:tcBorders>
                  <w:noWrap w:val="0"/>
                  <w:vAlign w:val="center"/>
                </w:tcPr>
                <w:p w14:paraId="2614B94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μmol/mol</w:t>
                  </w:r>
                </w:p>
              </w:tc>
              <w:tc>
                <w:tcPr>
                  <w:tcW w:w="1840" w:type="pct"/>
                  <w:tcBorders>
                    <w:tl2br w:val="nil"/>
                    <w:tr2bl w:val="nil"/>
                  </w:tcBorders>
                  <w:noWrap w:val="0"/>
                  <w:vAlign w:val="center"/>
                </w:tcPr>
                <w:p w14:paraId="3C77CF7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≤500</w:t>
                  </w:r>
                </w:p>
              </w:tc>
            </w:tr>
          </w:tbl>
          <w:p w14:paraId="2618E2E7">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bCs/>
                <w:color w:val="auto"/>
                <w:sz w:val="24"/>
                <w:u w:val="none"/>
                <w:lang w:val="en-US" w:eastAsia="zh-CN"/>
              </w:rPr>
            </w:pPr>
            <w:r>
              <w:rPr>
                <w:rFonts w:hint="eastAsia"/>
                <w:bCs/>
                <w:color w:val="auto"/>
                <w:sz w:val="24"/>
                <w:u w:val="none"/>
                <w:lang w:val="en-US" w:eastAsia="zh-CN"/>
              </w:rPr>
              <w:t>营运期项目边界柴油发电机尾气（SO</w:t>
            </w:r>
            <w:r>
              <w:rPr>
                <w:rFonts w:hint="eastAsia"/>
                <w:bCs/>
                <w:color w:val="auto"/>
                <w:sz w:val="24"/>
                <w:u w:val="none"/>
                <w:vertAlign w:val="subscript"/>
                <w:lang w:val="en-US" w:eastAsia="zh-CN"/>
              </w:rPr>
              <w:t>2</w:t>
            </w:r>
            <w:r>
              <w:rPr>
                <w:rFonts w:hint="eastAsia"/>
                <w:bCs/>
                <w:color w:val="auto"/>
                <w:sz w:val="24"/>
                <w:u w:val="none"/>
                <w:lang w:val="en-US" w:eastAsia="zh-CN"/>
              </w:rPr>
              <w:t>、NO</w:t>
            </w:r>
            <w:r>
              <w:rPr>
                <w:rFonts w:hint="eastAsia"/>
                <w:bCs/>
                <w:color w:val="auto"/>
                <w:sz w:val="24"/>
                <w:u w:val="none"/>
                <w:vertAlign w:val="subscript"/>
                <w:lang w:val="en-US" w:eastAsia="zh-CN"/>
              </w:rPr>
              <w:t>2</w:t>
            </w:r>
            <w:r>
              <w:rPr>
                <w:rFonts w:hint="eastAsia"/>
                <w:bCs/>
                <w:color w:val="auto"/>
                <w:sz w:val="24"/>
                <w:u w:val="none"/>
                <w:lang w:val="en-US" w:eastAsia="zh-CN"/>
              </w:rPr>
              <w:t>、颗粒物）排放执行《大气污染物综合排放标准》（GB16297-1996）无组织排放监控浓度限值。</w:t>
            </w:r>
          </w:p>
          <w:p w14:paraId="7FD33FB4">
            <w:pPr>
              <w:jc w:val="center"/>
              <w:rPr>
                <w:b/>
                <w:bCs/>
                <w:sz w:val="24"/>
                <w:szCs w:val="24"/>
                <w:u w:val="none"/>
              </w:rPr>
            </w:pPr>
            <w:r>
              <w:rPr>
                <w:rFonts w:hint="eastAsia"/>
                <w:b/>
                <w:bCs w:val="0"/>
                <w:color w:val="auto"/>
                <w:sz w:val="24"/>
                <w:u w:val="none"/>
                <w:lang w:val="en-US" w:eastAsia="zh-CN"/>
              </w:rPr>
              <w:t>表3-13 柴油发电机尾气排放标准</w:t>
            </w:r>
            <w:r>
              <w:rPr>
                <w:b/>
                <w:bCs/>
                <w:sz w:val="24"/>
                <w:szCs w:val="24"/>
                <w:u w:val="none"/>
              </w:rPr>
              <w:t>（单位：mg/m</w:t>
            </w:r>
            <w:r>
              <w:rPr>
                <w:b/>
                <w:bCs/>
                <w:sz w:val="24"/>
                <w:szCs w:val="24"/>
                <w:u w:val="none"/>
                <w:vertAlign w:val="superscript"/>
              </w:rPr>
              <w:t>3</w:t>
            </w:r>
            <w:r>
              <w:rPr>
                <w:b/>
                <w:bCs/>
                <w:sz w:val="24"/>
                <w:szCs w:val="24"/>
                <w:u w:val="none"/>
              </w:rPr>
              <w:t>）</w:t>
            </w:r>
          </w:p>
          <w:tbl>
            <w:tblPr>
              <w:tblStyle w:val="52"/>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156"/>
              <w:gridCol w:w="1815"/>
              <w:gridCol w:w="2300"/>
              <w:gridCol w:w="2300"/>
            </w:tblGrid>
            <w:tr w14:paraId="5711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87" w:type="dxa"/>
                  <w:tcBorders>
                    <w:tl2br w:val="nil"/>
                    <w:tr2bl w:val="nil"/>
                  </w:tcBorders>
                  <w:vAlign w:val="center"/>
                </w:tcPr>
                <w:p w14:paraId="690E3CFC">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val="0"/>
                      <w:color w:val="auto"/>
                      <w:sz w:val="21"/>
                      <w:szCs w:val="21"/>
                      <w:u w:val="none"/>
                      <w:vertAlign w:val="baseline"/>
                      <w:lang w:val="en-US" w:eastAsia="zh-CN"/>
                    </w:rPr>
                  </w:pPr>
                  <w:r>
                    <w:rPr>
                      <w:rFonts w:hint="eastAsia"/>
                      <w:b/>
                      <w:bCs w:val="0"/>
                      <w:color w:val="auto"/>
                      <w:sz w:val="21"/>
                      <w:szCs w:val="21"/>
                      <w:u w:val="none"/>
                      <w:vertAlign w:val="baseline"/>
                      <w:lang w:val="en-US" w:eastAsia="zh-CN"/>
                    </w:rPr>
                    <w:t>序号</w:t>
                  </w:r>
                </w:p>
              </w:tc>
              <w:tc>
                <w:tcPr>
                  <w:tcW w:w="1156" w:type="dxa"/>
                  <w:tcBorders>
                    <w:tl2br w:val="nil"/>
                    <w:tr2bl w:val="nil"/>
                  </w:tcBorders>
                  <w:vAlign w:val="center"/>
                </w:tcPr>
                <w:p w14:paraId="642B1739">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val="0"/>
                      <w:color w:val="auto"/>
                      <w:sz w:val="21"/>
                      <w:szCs w:val="21"/>
                      <w:u w:val="none"/>
                      <w:vertAlign w:val="baseline"/>
                      <w:lang w:val="en-US" w:eastAsia="zh-CN"/>
                    </w:rPr>
                  </w:pPr>
                  <w:r>
                    <w:rPr>
                      <w:rFonts w:hint="eastAsia"/>
                      <w:b/>
                      <w:bCs w:val="0"/>
                      <w:color w:val="auto"/>
                      <w:sz w:val="21"/>
                      <w:szCs w:val="21"/>
                      <w:u w:val="none"/>
                      <w:vertAlign w:val="baseline"/>
                      <w:lang w:val="en-US" w:eastAsia="zh-CN"/>
                    </w:rPr>
                    <w:t>监控点</w:t>
                  </w:r>
                </w:p>
              </w:tc>
              <w:tc>
                <w:tcPr>
                  <w:tcW w:w="1815" w:type="dxa"/>
                  <w:tcBorders>
                    <w:tl2br w:val="nil"/>
                    <w:tr2bl w:val="nil"/>
                  </w:tcBorders>
                  <w:vAlign w:val="center"/>
                </w:tcPr>
                <w:p w14:paraId="06ED262C">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val="0"/>
                      <w:color w:val="auto"/>
                      <w:sz w:val="21"/>
                      <w:szCs w:val="21"/>
                      <w:u w:val="none"/>
                      <w:vertAlign w:val="baseline"/>
                      <w:lang w:val="en-US" w:eastAsia="zh-CN"/>
                    </w:rPr>
                  </w:pPr>
                  <w:r>
                    <w:rPr>
                      <w:rFonts w:hint="eastAsia"/>
                      <w:b/>
                      <w:bCs w:val="0"/>
                      <w:color w:val="auto"/>
                      <w:sz w:val="21"/>
                      <w:szCs w:val="21"/>
                      <w:u w:val="none"/>
                      <w:vertAlign w:val="baseline"/>
                      <w:lang w:val="en-US" w:eastAsia="zh-CN"/>
                    </w:rPr>
                    <w:t>污染控制项目</w:t>
                  </w:r>
                </w:p>
              </w:tc>
              <w:tc>
                <w:tcPr>
                  <w:tcW w:w="2300" w:type="dxa"/>
                  <w:tcBorders>
                    <w:tl2br w:val="nil"/>
                    <w:tr2bl w:val="nil"/>
                  </w:tcBorders>
                  <w:vAlign w:val="center"/>
                </w:tcPr>
                <w:p w14:paraId="128E2CED">
                  <w:pPr>
                    <w:keepNext w:val="0"/>
                    <w:keepLines w:val="0"/>
                    <w:widowControl/>
                    <w:suppressLineNumbers w:val="0"/>
                    <w:jc w:val="center"/>
                    <w:rPr>
                      <w:rFonts w:hint="default"/>
                      <w:bCs/>
                      <w:color w:val="auto"/>
                      <w:sz w:val="21"/>
                      <w:szCs w:val="21"/>
                      <w:u w:val="none"/>
                      <w:vertAlign w:val="baseline"/>
                      <w:lang w:val="en-US" w:eastAsia="zh-CN"/>
                    </w:rPr>
                  </w:pPr>
                  <w:r>
                    <w:rPr>
                      <w:rFonts w:hint="eastAsia" w:ascii="宋体" w:hAnsi="宋体" w:eastAsia="宋体" w:cs="宋体"/>
                      <w:b/>
                      <w:bCs/>
                      <w:color w:val="000000"/>
                      <w:kern w:val="0"/>
                      <w:sz w:val="21"/>
                      <w:szCs w:val="21"/>
                      <w:u w:val="none"/>
                      <w:lang w:val="en-US" w:eastAsia="zh-CN" w:bidi="ar"/>
                    </w:rPr>
                    <w:t>无组织排放监控浓度限值</w:t>
                  </w:r>
                </w:p>
              </w:tc>
              <w:tc>
                <w:tcPr>
                  <w:tcW w:w="2300" w:type="dxa"/>
                  <w:tcBorders>
                    <w:tl2br w:val="nil"/>
                    <w:tr2bl w:val="nil"/>
                  </w:tcBorders>
                  <w:vAlign w:val="center"/>
                </w:tcPr>
                <w:p w14:paraId="2C182B85">
                  <w:pPr>
                    <w:keepNext w:val="0"/>
                    <w:keepLines w:val="0"/>
                    <w:widowControl/>
                    <w:suppressLineNumbers w:val="0"/>
                    <w:jc w:val="center"/>
                    <w:rPr>
                      <w:rFonts w:hint="default" w:ascii="宋体" w:hAnsi="宋体" w:eastAsia="宋体" w:cs="宋体"/>
                      <w:b/>
                      <w:bCs/>
                      <w:color w:val="000000"/>
                      <w:kern w:val="0"/>
                      <w:sz w:val="21"/>
                      <w:szCs w:val="21"/>
                      <w:u w:val="none"/>
                      <w:lang w:val="en-US" w:eastAsia="zh-CN" w:bidi="ar"/>
                    </w:rPr>
                  </w:pPr>
                  <w:r>
                    <w:rPr>
                      <w:rFonts w:hint="eastAsia" w:ascii="宋体" w:hAnsi="宋体" w:eastAsia="宋体" w:cs="宋体"/>
                      <w:b/>
                      <w:bCs/>
                      <w:color w:val="000000"/>
                      <w:kern w:val="0"/>
                      <w:sz w:val="21"/>
                      <w:szCs w:val="21"/>
                      <w:u w:val="none"/>
                      <w:lang w:val="en-US" w:eastAsia="zh-CN" w:bidi="ar"/>
                    </w:rPr>
                    <w:t>执行标准</w:t>
                  </w:r>
                </w:p>
              </w:tc>
            </w:tr>
            <w:tr w14:paraId="19C9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7" w:type="dxa"/>
                  <w:tcBorders>
                    <w:tl2br w:val="nil"/>
                    <w:tr2bl w:val="nil"/>
                  </w:tcBorders>
                  <w:vAlign w:val="center"/>
                </w:tcPr>
                <w:p w14:paraId="03891C3C">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1</w:t>
                  </w:r>
                </w:p>
              </w:tc>
              <w:tc>
                <w:tcPr>
                  <w:tcW w:w="1156" w:type="dxa"/>
                  <w:vMerge w:val="restart"/>
                  <w:tcBorders>
                    <w:tl2br w:val="nil"/>
                    <w:tr2bl w:val="nil"/>
                  </w:tcBorders>
                  <w:vAlign w:val="center"/>
                </w:tcPr>
                <w:p w14:paraId="07A4E8CF">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企业边界</w:t>
                  </w:r>
                </w:p>
              </w:tc>
              <w:tc>
                <w:tcPr>
                  <w:tcW w:w="1815" w:type="dxa"/>
                  <w:tcBorders>
                    <w:tl2br w:val="nil"/>
                    <w:tr2bl w:val="nil"/>
                  </w:tcBorders>
                  <w:vAlign w:val="center"/>
                </w:tcPr>
                <w:p w14:paraId="257DC6BE">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lang w:val="en-US" w:eastAsia="zh-CN"/>
                    </w:rPr>
                    <w:t>SO</w:t>
                  </w:r>
                  <w:r>
                    <w:rPr>
                      <w:rFonts w:hint="eastAsia"/>
                      <w:bCs/>
                      <w:color w:val="auto"/>
                      <w:sz w:val="21"/>
                      <w:szCs w:val="21"/>
                      <w:u w:val="none"/>
                      <w:vertAlign w:val="subscript"/>
                      <w:lang w:val="en-US" w:eastAsia="zh-CN"/>
                    </w:rPr>
                    <w:t>2</w:t>
                  </w:r>
                </w:p>
              </w:tc>
              <w:tc>
                <w:tcPr>
                  <w:tcW w:w="2300" w:type="dxa"/>
                  <w:tcBorders>
                    <w:tl2br w:val="nil"/>
                    <w:tr2bl w:val="nil"/>
                  </w:tcBorders>
                  <w:vAlign w:val="center"/>
                </w:tcPr>
                <w:p w14:paraId="32727A76">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0.4</w:t>
                  </w:r>
                </w:p>
              </w:tc>
              <w:tc>
                <w:tcPr>
                  <w:tcW w:w="2300" w:type="dxa"/>
                  <w:vMerge w:val="restart"/>
                  <w:tcBorders>
                    <w:tl2br w:val="nil"/>
                    <w:tr2bl w:val="nil"/>
                  </w:tcBorders>
                  <w:vAlign w:val="center"/>
                </w:tcPr>
                <w:p w14:paraId="3A15B726">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default"/>
                      <w:bCs/>
                      <w:color w:val="auto"/>
                      <w:sz w:val="21"/>
                      <w:szCs w:val="21"/>
                      <w:u w:val="none"/>
                      <w:vertAlign w:val="baseline"/>
                      <w:lang w:val="en-US" w:eastAsia="zh-CN"/>
                    </w:rPr>
                    <w:t>《大气污染物综合排放标准》（GB16297-1996）</w:t>
                  </w:r>
                </w:p>
              </w:tc>
            </w:tr>
            <w:tr w14:paraId="5E52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7" w:type="dxa"/>
                  <w:tcBorders>
                    <w:tl2br w:val="nil"/>
                    <w:tr2bl w:val="nil"/>
                  </w:tcBorders>
                  <w:vAlign w:val="center"/>
                </w:tcPr>
                <w:p w14:paraId="10A51D9A">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2</w:t>
                  </w:r>
                </w:p>
              </w:tc>
              <w:tc>
                <w:tcPr>
                  <w:tcW w:w="1156" w:type="dxa"/>
                  <w:vMerge w:val="continue"/>
                  <w:tcBorders>
                    <w:tl2br w:val="nil"/>
                    <w:tr2bl w:val="nil"/>
                  </w:tcBorders>
                  <w:vAlign w:val="center"/>
                </w:tcPr>
                <w:p w14:paraId="28FCA033">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p>
              </w:tc>
              <w:tc>
                <w:tcPr>
                  <w:tcW w:w="1815" w:type="dxa"/>
                  <w:tcBorders>
                    <w:tl2br w:val="nil"/>
                    <w:tr2bl w:val="nil"/>
                  </w:tcBorders>
                  <w:vAlign w:val="center"/>
                </w:tcPr>
                <w:p w14:paraId="3964B891">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lang w:val="en-US" w:eastAsia="zh-CN"/>
                    </w:rPr>
                    <w:t>NO</w:t>
                  </w:r>
                  <w:r>
                    <w:rPr>
                      <w:rFonts w:hint="eastAsia"/>
                      <w:bCs/>
                      <w:color w:val="auto"/>
                      <w:sz w:val="21"/>
                      <w:szCs w:val="21"/>
                      <w:u w:val="none"/>
                      <w:vertAlign w:val="subscript"/>
                      <w:lang w:val="en-US" w:eastAsia="zh-CN"/>
                    </w:rPr>
                    <w:t>2</w:t>
                  </w:r>
                </w:p>
              </w:tc>
              <w:tc>
                <w:tcPr>
                  <w:tcW w:w="2300" w:type="dxa"/>
                  <w:tcBorders>
                    <w:tl2br w:val="nil"/>
                    <w:tr2bl w:val="nil"/>
                  </w:tcBorders>
                  <w:vAlign w:val="center"/>
                </w:tcPr>
                <w:p w14:paraId="3BE031E6">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0.12</w:t>
                  </w:r>
                </w:p>
              </w:tc>
              <w:tc>
                <w:tcPr>
                  <w:tcW w:w="2300" w:type="dxa"/>
                  <w:vMerge w:val="continue"/>
                  <w:tcBorders>
                    <w:tl2br w:val="nil"/>
                    <w:tr2bl w:val="nil"/>
                  </w:tcBorders>
                  <w:vAlign w:val="center"/>
                </w:tcPr>
                <w:p w14:paraId="02C76030">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p>
              </w:tc>
            </w:tr>
            <w:tr w14:paraId="7785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87" w:type="dxa"/>
                  <w:tcBorders>
                    <w:tl2br w:val="nil"/>
                    <w:tr2bl w:val="nil"/>
                  </w:tcBorders>
                  <w:vAlign w:val="center"/>
                </w:tcPr>
                <w:p w14:paraId="1AE930F5">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2</w:t>
                  </w:r>
                </w:p>
              </w:tc>
              <w:tc>
                <w:tcPr>
                  <w:tcW w:w="1156" w:type="dxa"/>
                  <w:vMerge w:val="continue"/>
                  <w:tcBorders>
                    <w:tl2br w:val="nil"/>
                    <w:tr2bl w:val="nil"/>
                  </w:tcBorders>
                  <w:vAlign w:val="center"/>
                </w:tcPr>
                <w:p w14:paraId="2EEF8899">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p>
              </w:tc>
              <w:tc>
                <w:tcPr>
                  <w:tcW w:w="1815" w:type="dxa"/>
                  <w:tcBorders>
                    <w:tl2br w:val="nil"/>
                    <w:tr2bl w:val="nil"/>
                  </w:tcBorders>
                  <w:vAlign w:val="center"/>
                </w:tcPr>
                <w:p w14:paraId="1D1F511F">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颗粒物</w:t>
                  </w:r>
                </w:p>
              </w:tc>
              <w:tc>
                <w:tcPr>
                  <w:tcW w:w="2300" w:type="dxa"/>
                  <w:tcBorders>
                    <w:tl2br w:val="nil"/>
                    <w:tr2bl w:val="nil"/>
                  </w:tcBorders>
                  <w:vAlign w:val="center"/>
                </w:tcPr>
                <w:p w14:paraId="0C2E7FA6">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r>
                    <w:rPr>
                      <w:rFonts w:hint="eastAsia"/>
                      <w:bCs/>
                      <w:color w:val="auto"/>
                      <w:sz w:val="21"/>
                      <w:szCs w:val="21"/>
                      <w:u w:val="none"/>
                      <w:vertAlign w:val="baseline"/>
                      <w:lang w:val="en-US" w:eastAsia="zh-CN"/>
                    </w:rPr>
                    <w:t>1.0</w:t>
                  </w:r>
                </w:p>
              </w:tc>
              <w:tc>
                <w:tcPr>
                  <w:tcW w:w="2300" w:type="dxa"/>
                  <w:vMerge w:val="continue"/>
                  <w:tcBorders>
                    <w:tl2br w:val="nil"/>
                    <w:tr2bl w:val="nil"/>
                  </w:tcBorders>
                  <w:vAlign w:val="center"/>
                </w:tcPr>
                <w:p w14:paraId="21920664">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Cs/>
                      <w:color w:val="auto"/>
                      <w:sz w:val="21"/>
                      <w:szCs w:val="21"/>
                      <w:u w:val="none"/>
                      <w:vertAlign w:val="baseline"/>
                      <w:lang w:val="en-US" w:eastAsia="zh-CN"/>
                    </w:rPr>
                  </w:pPr>
                </w:p>
              </w:tc>
            </w:tr>
          </w:tbl>
          <w:p w14:paraId="3306567E">
            <w:pPr>
              <w:spacing w:line="360" w:lineRule="auto"/>
              <w:ind w:firstLine="480" w:firstLineChars="200"/>
              <w:jc w:val="left"/>
              <w:rPr>
                <w:rFonts w:hint="default" w:eastAsia="宋体"/>
                <w:b/>
                <w:bCs/>
                <w:szCs w:val="21"/>
                <w:lang w:val="en-US" w:eastAsia="zh-CN"/>
              </w:rPr>
            </w:pPr>
            <w:r>
              <w:rPr>
                <w:rFonts w:hint="default" w:ascii="Times New Roman" w:hAnsi="Times New Roman" w:eastAsia="宋体" w:cs="Times New Roman"/>
                <w:b w:val="0"/>
                <w:bCs w:val="0"/>
                <w:color w:val="auto"/>
                <w:kern w:val="0"/>
                <w:sz w:val="24"/>
                <w:szCs w:val="24"/>
                <w:highlight w:val="none"/>
                <w:u w:val="none"/>
                <w:lang w:val="en-US" w:eastAsia="zh-CN"/>
              </w:rPr>
              <w:t>营运期</w:t>
            </w:r>
            <w:r>
              <w:rPr>
                <w:rFonts w:hint="default" w:ascii="Times New Roman" w:hAnsi="Times New Roman" w:eastAsia="宋体" w:cs="Times New Roman"/>
                <w:b w:val="0"/>
                <w:bCs w:val="0"/>
                <w:color w:val="auto"/>
                <w:kern w:val="0"/>
                <w:sz w:val="24"/>
                <w:szCs w:val="24"/>
                <w:highlight w:val="none"/>
                <w:u w:val="none"/>
              </w:rPr>
              <w:t>本项目</w:t>
            </w:r>
            <w:r>
              <w:rPr>
                <w:rFonts w:hint="eastAsia" w:cs="Times New Roman"/>
                <w:b w:val="0"/>
                <w:bCs w:val="0"/>
                <w:color w:val="auto"/>
                <w:kern w:val="0"/>
                <w:sz w:val="24"/>
                <w:szCs w:val="24"/>
                <w:highlight w:val="none"/>
                <w:u w:val="none"/>
                <w:lang w:val="en-US" w:eastAsia="zh-CN"/>
              </w:rPr>
              <w:t>食堂油烟执行《饮食业油烟排放标准（试行）》（GB18483-2001）中规定的要求限值。</w:t>
            </w:r>
          </w:p>
          <w:p w14:paraId="67352FCE">
            <w:pPr>
              <w:jc w:val="center"/>
              <w:rPr>
                <w:b/>
                <w:bCs/>
                <w:sz w:val="24"/>
                <w:szCs w:val="24"/>
              </w:rPr>
            </w:pPr>
            <w:r>
              <w:rPr>
                <w:b/>
                <w:bCs/>
                <w:sz w:val="24"/>
                <w:szCs w:val="24"/>
              </w:rPr>
              <w:t>表3-1</w:t>
            </w:r>
            <w:r>
              <w:rPr>
                <w:rFonts w:hint="eastAsia"/>
                <w:b/>
                <w:bCs/>
                <w:sz w:val="24"/>
                <w:szCs w:val="24"/>
                <w:lang w:val="en-US" w:eastAsia="zh-CN"/>
              </w:rPr>
              <w:t>4</w:t>
            </w:r>
            <w:r>
              <w:rPr>
                <w:b/>
                <w:bCs/>
                <w:sz w:val="24"/>
                <w:szCs w:val="24"/>
              </w:rPr>
              <w:t xml:space="preserve"> </w:t>
            </w:r>
            <w:r>
              <w:rPr>
                <w:rFonts w:hint="eastAsia"/>
                <w:b/>
                <w:bCs/>
                <w:sz w:val="24"/>
                <w:szCs w:val="24"/>
                <w:lang w:val="en-US" w:eastAsia="zh-CN"/>
              </w:rPr>
              <w:t>食堂油烟</w:t>
            </w:r>
            <w:r>
              <w:rPr>
                <w:b/>
                <w:bCs/>
                <w:sz w:val="24"/>
                <w:szCs w:val="24"/>
              </w:rPr>
              <w:t>排放标准（单位：mg/m</w:t>
            </w:r>
            <w:r>
              <w:rPr>
                <w:b/>
                <w:bCs/>
                <w:sz w:val="24"/>
                <w:szCs w:val="24"/>
                <w:vertAlign w:val="superscript"/>
              </w:rPr>
              <w:t>3</w:t>
            </w:r>
            <w:r>
              <w:rPr>
                <w:b/>
                <w:bCs/>
                <w:sz w:val="24"/>
                <w:szCs w:val="24"/>
              </w:rPr>
              <w:t>）</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652"/>
              <w:gridCol w:w="3026"/>
            </w:tblGrid>
            <w:tr w14:paraId="1981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pct"/>
                  <w:tcBorders>
                    <w:tl2br w:val="nil"/>
                    <w:tr2bl w:val="nil"/>
                  </w:tcBorders>
                  <w:vAlign w:val="center"/>
                </w:tcPr>
                <w:p w14:paraId="36E6275F">
                  <w:pPr>
                    <w:keepNext w:val="0"/>
                    <w:keepLines w:val="0"/>
                    <w:pageBreakBefore w:val="0"/>
                    <w:widowControl w:val="0"/>
                    <w:kinsoku/>
                    <w:wordWrap/>
                    <w:overflowPunct/>
                    <w:topLinePunct w:val="0"/>
                    <w:autoSpaceDE/>
                    <w:autoSpaceDN/>
                    <w:bidi w:val="0"/>
                    <w:adjustRightInd/>
                    <w:snapToGrid w:val="0"/>
                    <w:jc w:val="center"/>
                    <w:textAlignment w:val="auto"/>
                    <w:rPr>
                      <w:b/>
                      <w:bCs/>
                      <w:szCs w:val="21"/>
                    </w:rPr>
                  </w:pPr>
                  <w:r>
                    <w:rPr>
                      <w:b/>
                      <w:bCs/>
                      <w:szCs w:val="21"/>
                    </w:rPr>
                    <w:t>污染物</w:t>
                  </w:r>
                </w:p>
              </w:tc>
              <w:tc>
                <w:tcPr>
                  <w:tcW w:w="2179" w:type="pct"/>
                  <w:tcBorders>
                    <w:tl2br w:val="nil"/>
                    <w:tr2bl w:val="nil"/>
                  </w:tcBorders>
                  <w:vAlign w:val="center"/>
                </w:tcPr>
                <w:p w14:paraId="6AF14E79">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b/>
                      <w:bCs/>
                      <w:szCs w:val="21"/>
                      <w:lang w:val="en-US" w:eastAsia="zh-CN"/>
                    </w:rPr>
                  </w:pPr>
                  <w:r>
                    <w:rPr>
                      <w:rFonts w:hint="eastAsia"/>
                      <w:b/>
                      <w:bCs/>
                      <w:szCs w:val="21"/>
                      <w:lang w:val="en-US" w:eastAsia="zh-CN"/>
                    </w:rPr>
                    <w:t>净化设施最低去除效率</w:t>
                  </w:r>
                </w:p>
              </w:tc>
              <w:tc>
                <w:tcPr>
                  <w:tcW w:w="1805" w:type="pct"/>
                  <w:tcBorders>
                    <w:tl2br w:val="nil"/>
                    <w:tr2bl w:val="nil"/>
                  </w:tcBorders>
                  <w:vAlign w:val="center"/>
                </w:tcPr>
                <w:p w14:paraId="0BA91FF1">
                  <w:pPr>
                    <w:keepNext w:val="0"/>
                    <w:keepLines w:val="0"/>
                    <w:pageBreakBefore w:val="0"/>
                    <w:widowControl w:val="0"/>
                    <w:kinsoku/>
                    <w:wordWrap/>
                    <w:overflowPunct/>
                    <w:topLinePunct w:val="0"/>
                    <w:autoSpaceDE/>
                    <w:autoSpaceDN/>
                    <w:bidi w:val="0"/>
                    <w:adjustRightInd/>
                    <w:snapToGrid w:val="0"/>
                    <w:jc w:val="center"/>
                    <w:textAlignment w:val="auto"/>
                    <w:rPr>
                      <w:b/>
                      <w:bCs/>
                      <w:szCs w:val="21"/>
                    </w:rPr>
                  </w:pPr>
                  <w:r>
                    <w:rPr>
                      <w:b/>
                      <w:bCs/>
                      <w:szCs w:val="21"/>
                    </w:rPr>
                    <w:t>标准限值</w:t>
                  </w:r>
                </w:p>
              </w:tc>
            </w:tr>
            <w:tr w14:paraId="35A6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pct"/>
                  <w:tcBorders>
                    <w:tl2br w:val="nil"/>
                    <w:tr2bl w:val="nil"/>
                  </w:tcBorders>
                  <w:vAlign w:val="center"/>
                </w:tcPr>
                <w:p w14:paraId="7A84F762">
                  <w:pPr>
                    <w:keepNext w:val="0"/>
                    <w:keepLines w:val="0"/>
                    <w:pageBreakBefore w:val="0"/>
                    <w:widowControl w:val="0"/>
                    <w:kinsoku/>
                    <w:wordWrap/>
                    <w:overflowPunct/>
                    <w:topLinePunct w:val="0"/>
                    <w:autoSpaceDE/>
                    <w:autoSpaceDN/>
                    <w:bidi w:val="0"/>
                    <w:adjustRightInd/>
                    <w:snapToGrid w:val="0"/>
                    <w:jc w:val="center"/>
                    <w:textAlignment w:val="auto"/>
                    <w:rPr>
                      <w:szCs w:val="21"/>
                    </w:rPr>
                  </w:pPr>
                  <w:r>
                    <w:rPr>
                      <w:szCs w:val="21"/>
                    </w:rPr>
                    <w:t>食堂油烟</w:t>
                  </w:r>
                </w:p>
              </w:tc>
              <w:tc>
                <w:tcPr>
                  <w:tcW w:w="2179" w:type="pct"/>
                  <w:tcBorders>
                    <w:tl2br w:val="nil"/>
                    <w:tr2bl w:val="nil"/>
                  </w:tcBorders>
                  <w:vAlign w:val="center"/>
                </w:tcPr>
                <w:p w14:paraId="29115BA3">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60%</w:t>
                  </w:r>
                </w:p>
              </w:tc>
              <w:tc>
                <w:tcPr>
                  <w:tcW w:w="1805" w:type="pct"/>
                  <w:tcBorders>
                    <w:tl2br w:val="nil"/>
                    <w:tr2bl w:val="nil"/>
                  </w:tcBorders>
                  <w:vAlign w:val="center"/>
                </w:tcPr>
                <w:p w14:paraId="7F864FE4">
                  <w:pPr>
                    <w:keepNext w:val="0"/>
                    <w:keepLines w:val="0"/>
                    <w:pageBreakBefore w:val="0"/>
                    <w:widowControl w:val="0"/>
                    <w:kinsoku/>
                    <w:wordWrap/>
                    <w:overflowPunct/>
                    <w:topLinePunct w:val="0"/>
                    <w:autoSpaceDE/>
                    <w:autoSpaceDN/>
                    <w:bidi w:val="0"/>
                    <w:adjustRightInd/>
                    <w:snapToGrid w:val="0"/>
                    <w:jc w:val="center"/>
                    <w:textAlignment w:val="auto"/>
                    <w:rPr>
                      <w:szCs w:val="21"/>
                    </w:rPr>
                  </w:pPr>
                  <w:r>
                    <w:rPr>
                      <w:szCs w:val="21"/>
                    </w:rPr>
                    <w:t>2.0</w:t>
                  </w:r>
                </w:p>
              </w:tc>
            </w:tr>
          </w:tbl>
          <w:p w14:paraId="39C3705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3.8 噪声执行标准</w:t>
            </w:r>
          </w:p>
          <w:p w14:paraId="592CBC8A">
            <w:pPr>
              <w:pStyle w:val="118"/>
              <w:numPr>
                <w:ilvl w:val="0"/>
                <w:numId w:val="0"/>
              </w:numPr>
              <w:spacing w:line="360" w:lineRule="auto"/>
              <w:ind w:firstLine="480" w:firstLineChars="200"/>
              <w:jc w:val="both"/>
            </w:pPr>
            <w:r>
              <w:rPr>
                <w:rFonts w:hint="eastAsia"/>
                <w:lang w:val="en-US" w:eastAsia="zh-CN"/>
              </w:rPr>
              <w:t>东、南、北侧</w:t>
            </w:r>
            <w:r>
              <w:t>执行《工业企业厂界环境噪声排放标准》（GB12348-2008）的2类</w:t>
            </w:r>
            <w:r>
              <w:rPr>
                <w:rFonts w:hint="eastAsia"/>
                <w:lang w:val="en-US" w:eastAsia="zh-CN"/>
              </w:rPr>
              <w:t>标准</w:t>
            </w:r>
            <w:r>
              <w:rPr>
                <w:rFonts w:hint="eastAsia"/>
                <w:lang w:eastAsia="zh-CN"/>
              </w:rPr>
              <w:t>，</w:t>
            </w:r>
            <w:r>
              <w:rPr>
                <w:rFonts w:hint="eastAsia"/>
                <w:lang w:val="en-US" w:eastAsia="zh-CN"/>
              </w:rPr>
              <w:t>西侧</w:t>
            </w:r>
            <w:r>
              <w:t>执行4类标准。</w:t>
            </w:r>
          </w:p>
          <w:p w14:paraId="63541385">
            <w:pPr>
              <w:jc w:val="center"/>
              <w:rPr>
                <w:b/>
                <w:bCs/>
                <w:sz w:val="24"/>
                <w:szCs w:val="24"/>
              </w:rPr>
            </w:pPr>
            <w:r>
              <w:rPr>
                <w:b/>
                <w:bCs/>
                <w:sz w:val="24"/>
                <w:szCs w:val="24"/>
              </w:rPr>
              <w:t>表3-1</w:t>
            </w:r>
            <w:r>
              <w:rPr>
                <w:rFonts w:hint="eastAsia"/>
                <w:b/>
                <w:bCs/>
                <w:sz w:val="24"/>
                <w:szCs w:val="24"/>
                <w:lang w:val="en-US" w:eastAsia="zh-CN"/>
              </w:rPr>
              <w:t>4</w:t>
            </w:r>
            <w:r>
              <w:rPr>
                <w:b/>
                <w:bCs/>
                <w:sz w:val="24"/>
                <w:szCs w:val="24"/>
              </w:rPr>
              <w:t xml:space="preserve"> 《工业企业厂界环境噪声排放标准》(摘录) 单位：Leq dB(A)</w:t>
            </w:r>
          </w:p>
          <w:tbl>
            <w:tblPr>
              <w:tblStyle w:val="51"/>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181"/>
              <w:gridCol w:w="2160"/>
              <w:gridCol w:w="2159"/>
            </w:tblGrid>
            <w:tr w14:paraId="2CFB27C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4181" w:type="dxa"/>
                  <w:tcBorders>
                    <w:tl2br w:val="nil"/>
                    <w:tr2bl w:val="nil"/>
                  </w:tcBorders>
                  <w:vAlign w:val="center"/>
                </w:tcPr>
                <w:p w14:paraId="78548326">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声环境功能区类别</w:t>
                  </w:r>
                </w:p>
              </w:tc>
              <w:tc>
                <w:tcPr>
                  <w:tcW w:w="2160" w:type="dxa"/>
                  <w:tcBorders>
                    <w:tl2br w:val="nil"/>
                    <w:tr2bl w:val="nil"/>
                  </w:tcBorders>
                  <w:vAlign w:val="center"/>
                </w:tcPr>
                <w:p w14:paraId="1BDA97CD">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昼间</w:t>
                  </w:r>
                </w:p>
              </w:tc>
              <w:tc>
                <w:tcPr>
                  <w:tcW w:w="2159" w:type="dxa"/>
                  <w:tcBorders>
                    <w:tl2br w:val="nil"/>
                    <w:tr2bl w:val="nil"/>
                  </w:tcBorders>
                  <w:vAlign w:val="center"/>
                </w:tcPr>
                <w:p w14:paraId="52AD2DAA">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夜间</w:t>
                  </w:r>
                </w:p>
              </w:tc>
            </w:tr>
            <w:tr w14:paraId="385A535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4181" w:type="dxa"/>
                  <w:tcBorders>
                    <w:tl2br w:val="nil"/>
                    <w:tr2bl w:val="nil"/>
                  </w:tcBorders>
                  <w:vAlign w:val="center"/>
                </w:tcPr>
                <w:p w14:paraId="5D228DB5">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2类</w:t>
                  </w:r>
                </w:p>
              </w:tc>
              <w:tc>
                <w:tcPr>
                  <w:tcW w:w="2160" w:type="dxa"/>
                  <w:tcBorders>
                    <w:tl2br w:val="nil"/>
                    <w:tr2bl w:val="nil"/>
                  </w:tcBorders>
                  <w:vAlign w:val="center"/>
                </w:tcPr>
                <w:p w14:paraId="7CEB4C0C">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60</w:t>
                  </w:r>
                </w:p>
              </w:tc>
              <w:tc>
                <w:tcPr>
                  <w:tcW w:w="2159" w:type="dxa"/>
                  <w:tcBorders>
                    <w:tl2br w:val="nil"/>
                    <w:tr2bl w:val="nil"/>
                  </w:tcBorders>
                  <w:vAlign w:val="center"/>
                </w:tcPr>
                <w:p w14:paraId="1C7BC350">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t>50</w:t>
                  </w:r>
                </w:p>
              </w:tc>
            </w:tr>
            <w:tr w14:paraId="3BEE55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4181" w:type="dxa"/>
                  <w:tcBorders>
                    <w:tl2br w:val="nil"/>
                    <w:tr2bl w:val="nil"/>
                  </w:tcBorders>
                  <w:vAlign w:val="center"/>
                </w:tcPr>
                <w:p w14:paraId="6CFEBB08">
                  <w:pPr>
                    <w:keepNext w:val="0"/>
                    <w:keepLines w:val="0"/>
                    <w:pageBreakBefore w:val="0"/>
                    <w:widowControl w:val="0"/>
                    <w:kinsoku/>
                    <w:wordWrap/>
                    <w:overflowPunct/>
                    <w:topLinePunct w:val="0"/>
                    <w:autoSpaceDE/>
                    <w:autoSpaceDN/>
                    <w:bidi w:val="0"/>
                    <w:adjustRightInd w:val="0"/>
                    <w:snapToGrid w:val="0"/>
                    <w:jc w:val="center"/>
                    <w:textAlignment w:val="auto"/>
                  </w:pPr>
                  <w:r>
                    <w:t>4类</w:t>
                  </w:r>
                </w:p>
              </w:tc>
              <w:tc>
                <w:tcPr>
                  <w:tcW w:w="2160" w:type="dxa"/>
                  <w:tcBorders>
                    <w:tl2br w:val="nil"/>
                    <w:tr2bl w:val="nil"/>
                  </w:tcBorders>
                  <w:vAlign w:val="center"/>
                </w:tcPr>
                <w:p w14:paraId="2AAD15D0">
                  <w:pPr>
                    <w:keepNext w:val="0"/>
                    <w:keepLines w:val="0"/>
                    <w:pageBreakBefore w:val="0"/>
                    <w:widowControl w:val="0"/>
                    <w:kinsoku/>
                    <w:wordWrap/>
                    <w:overflowPunct/>
                    <w:topLinePunct w:val="0"/>
                    <w:autoSpaceDE/>
                    <w:autoSpaceDN/>
                    <w:bidi w:val="0"/>
                    <w:adjustRightInd w:val="0"/>
                    <w:snapToGrid w:val="0"/>
                    <w:jc w:val="center"/>
                    <w:textAlignment w:val="auto"/>
                  </w:pPr>
                  <w:r>
                    <w:t>70</w:t>
                  </w:r>
                </w:p>
              </w:tc>
              <w:tc>
                <w:tcPr>
                  <w:tcW w:w="2159" w:type="dxa"/>
                  <w:tcBorders>
                    <w:tl2br w:val="nil"/>
                    <w:tr2bl w:val="nil"/>
                  </w:tcBorders>
                  <w:vAlign w:val="center"/>
                </w:tcPr>
                <w:p w14:paraId="1D8E1699">
                  <w:pPr>
                    <w:keepNext w:val="0"/>
                    <w:keepLines w:val="0"/>
                    <w:pageBreakBefore w:val="0"/>
                    <w:widowControl w:val="0"/>
                    <w:kinsoku/>
                    <w:wordWrap/>
                    <w:overflowPunct/>
                    <w:topLinePunct w:val="0"/>
                    <w:autoSpaceDE/>
                    <w:autoSpaceDN/>
                    <w:bidi w:val="0"/>
                    <w:adjustRightInd w:val="0"/>
                    <w:snapToGrid w:val="0"/>
                    <w:jc w:val="center"/>
                    <w:textAlignment w:val="auto"/>
                  </w:pPr>
                  <w:r>
                    <w:t>55</w:t>
                  </w:r>
                </w:p>
              </w:tc>
            </w:tr>
          </w:tbl>
          <w:p w14:paraId="3CA7A6E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3.9 固体废物</w:t>
            </w:r>
          </w:p>
          <w:p w14:paraId="0B786308">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pPr>
            <w:r>
              <w:t>生活垃圾</w:t>
            </w:r>
            <w:r>
              <w:rPr>
                <w:rFonts w:hint="eastAsia"/>
                <w:lang w:val="en-US" w:eastAsia="zh-CN"/>
              </w:rPr>
              <w:t>交环卫部门处理</w:t>
            </w:r>
            <w:r>
              <w:t>。一般固废执行《一般工业固体废物贮存和填埋污染控制标准》(GB18599-2020)。危险废物执行《危险废物贮存污染控制标准》</w:t>
            </w:r>
            <w:r>
              <w:rPr>
                <w:rFonts w:hint="eastAsia"/>
              </w:rPr>
              <w:t>（GB18597—2023）</w:t>
            </w:r>
            <w:r>
              <w:t>）。</w:t>
            </w:r>
          </w:p>
        </w:tc>
      </w:tr>
      <w:tr w14:paraId="003D7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51" w:type="pct"/>
            <w:vAlign w:val="center"/>
          </w:tcPr>
          <w:p w14:paraId="47CBCD29">
            <w:pPr>
              <w:adjustRightInd w:val="0"/>
              <w:snapToGrid w:val="0"/>
              <w:jc w:val="center"/>
              <w:rPr>
                <w:kern w:val="0"/>
                <w:sz w:val="24"/>
              </w:rPr>
            </w:pPr>
            <w:r>
              <w:rPr>
                <w:kern w:val="0"/>
                <w:sz w:val="24"/>
              </w:rPr>
              <w:t>总量</w:t>
            </w:r>
          </w:p>
          <w:p w14:paraId="7BF22B67">
            <w:pPr>
              <w:adjustRightInd w:val="0"/>
              <w:snapToGrid w:val="0"/>
              <w:jc w:val="center"/>
              <w:rPr>
                <w:kern w:val="0"/>
                <w:sz w:val="24"/>
              </w:rPr>
            </w:pPr>
            <w:r>
              <w:rPr>
                <w:kern w:val="0"/>
                <w:sz w:val="24"/>
              </w:rPr>
              <w:t>控制</w:t>
            </w:r>
          </w:p>
          <w:p w14:paraId="41C49901">
            <w:pPr>
              <w:adjustRightInd w:val="0"/>
              <w:snapToGrid w:val="0"/>
              <w:jc w:val="center"/>
              <w:rPr>
                <w:kern w:val="0"/>
                <w:sz w:val="24"/>
              </w:rPr>
            </w:pPr>
            <w:r>
              <w:rPr>
                <w:kern w:val="0"/>
                <w:sz w:val="24"/>
              </w:rPr>
              <w:t>指标</w:t>
            </w:r>
          </w:p>
        </w:tc>
        <w:tc>
          <w:tcPr>
            <w:tcW w:w="4748" w:type="pct"/>
            <w:vAlign w:val="center"/>
          </w:tcPr>
          <w:p w14:paraId="0539A7A4">
            <w:pPr>
              <w:spacing w:line="360" w:lineRule="auto"/>
              <w:ind w:firstLine="480" w:firstLineChars="200"/>
              <w:rPr>
                <w:rFonts w:hint="eastAsia" w:ascii="Times New Roman" w:hAnsi="Times New Roman" w:eastAsia="宋体" w:cs="Times New Roman"/>
                <w:kern w:val="0"/>
                <w:sz w:val="24"/>
                <w:szCs w:val="24"/>
                <w:u w:val="none" w:color="auto"/>
                <w:lang w:val="en-US" w:eastAsia="zh-CN"/>
              </w:rPr>
            </w:pPr>
            <w:r>
              <w:rPr>
                <w:rFonts w:hint="eastAsia" w:ascii="Times New Roman" w:hAnsi="Times New Roman" w:eastAsia="宋体" w:cs="Times New Roman"/>
                <w:kern w:val="0"/>
                <w:sz w:val="24"/>
                <w:szCs w:val="24"/>
                <w:u w:val="none" w:color="auto"/>
                <w:lang w:val="en-US" w:eastAsia="zh-CN"/>
              </w:rPr>
              <w:t>根据《湖南省主要污染物排污权有偿使用和交易管理办法》（湘政办发〔2022〕23号）及《湖南省主要污染物排污权有偿使用和交易实施细则》（湘环发〔2024〕3 号）中提出的对湖南省行政区域内主要污染物实行排污权有偿使用和交易管理等要求，主要污染物是指化学需氧量、氨氮、二氧化硫、氮氧化物、铅、镉、砷、汞、铬、挥发性有机物、总磷等十一类污染物。</w:t>
            </w:r>
          </w:p>
          <w:p w14:paraId="7A7625B1">
            <w:pPr>
              <w:spacing w:line="360" w:lineRule="auto"/>
              <w:ind w:firstLine="504" w:firstLineChars="200"/>
              <w:rPr>
                <w:snapToGrid w:val="0"/>
                <w:color w:val="auto"/>
                <w:kern w:val="0"/>
                <w:sz w:val="24"/>
                <w:u w:val="none"/>
              </w:rPr>
            </w:pPr>
            <w:r>
              <w:rPr>
                <w:color w:val="auto"/>
                <w:spacing w:val="6"/>
                <w:kern w:val="0"/>
                <w:sz w:val="24"/>
                <w:u w:val="none"/>
              </w:rPr>
              <w:t>本项目员工生活污水</w:t>
            </w:r>
            <w:r>
              <w:rPr>
                <w:rFonts w:hint="eastAsia"/>
                <w:color w:val="auto"/>
                <w:spacing w:val="6"/>
                <w:kern w:val="0"/>
                <w:sz w:val="24"/>
                <w:u w:val="none"/>
                <w:lang w:eastAsia="zh-CN"/>
              </w:rPr>
              <w:t>、</w:t>
            </w:r>
            <w:r>
              <w:rPr>
                <w:rFonts w:hint="eastAsia"/>
                <w:color w:val="auto"/>
                <w:spacing w:val="6"/>
                <w:kern w:val="0"/>
                <w:sz w:val="24"/>
                <w:u w:val="none"/>
                <w:lang w:val="en-US" w:eastAsia="zh-CN"/>
              </w:rPr>
              <w:t>公厕污水经化粪池处理后，</w:t>
            </w:r>
            <w:r>
              <w:rPr>
                <w:color w:val="auto"/>
                <w:spacing w:val="6"/>
                <w:kern w:val="0"/>
                <w:sz w:val="24"/>
                <w:u w:val="none"/>
              </w:rPr>
              <w:t>与经隔油沉淀池处理后的</w:t>
            </w:r>
            <w:r>
              <w:rPr>
                <w:rFonts w:hint="eastAsia"/>
                <w:color w:val="auto"/>
                <w:spacing w:val="6"/>
                <w:kern w:val="0"/>
                <w:sz w:val="24"/>
                <w:u w:val="none"/>
                <w:lang w:eastAsia="zh-CN"/>
              </w:rPr>
              <w:t>地面清洁废水、</w:t>
            </w:r>
            <w:r>
              <w:rPr>
                <w:rFonts w:hint="eastAsia"/>
                <w:color w:val="auto"/>
                <w:spacing w:val="6"/>
                <w:kern w:val="0"/>
                <w:sz w:val="24"/>
                <w:u w:val="none"/>
                <w:lang w:val="en-US" w:eastAsia="zh-CN"/>
              </w:rPr>
              <w:t>初期雨水、洗车废水</w:t>
            </w:r>
            <w:r>
              <w:rPr>
                <w:color w:val="auto"/>
                <w:spacing w:val="6"/>
                <w:kern w:val="0"/>
                <w:sz w:val="24"/>
                <w:u w:val="none"/>
              </w:rPr>
              <w:t>达到《污水综合排放标准》（GB8979-1996）三级标准后</w:t>
            </w:r>
            <w:r>
              <w:rPr>
                <w:rFonts w:hint="eastAsia"/>
                <w:color w:val="auto"/>
                <w:sz w:val="24"/>
                <w:szCs w:val="32"/>
                <w:u w:val="none"/>
              </w:rPr>
              <w:t>排入污水管网，</w:t>
            </w:r>
            <w:r>
              <w:rPr>
                <w:color w:val="auto"/>
                <w:sz w:val="24"/>
                <w:szCs w:val="32"/>
                <w:u w:val="none"/>
              </w:rPr>
              <w:t>进入</w:t>
            </w:r>
            <w:r>
              <w:rPr>
                <w:rFonts w:hint="eastAsia"/>
                <w:color w:val="auto"/>
                <w:sz w:val="24"/>
                <w:szCs w:val="32"/>
                <w:u w:val="none"/>
                <w:lang w:eastAsia="zh-CN"/>
              </w:rPr>
              <w:t>祁阳市城北污水处理厂</w:t>
            </w:r>
            <w:r>
              <w:rPr>
                <w:color w:val="auto"/>
                <w:sz w:val="24"/>
                <w:szCs w:val="32"/>
                <w:u w:val="none"/>
              </w:rPr>
              <w:t>处理后</w:t>
            </w:r>
            <w:r>
              <w:rPr>
                <w:rFonts w:hint="eastAsia"/>
                <w:color w:val="auto"/>
                <w:sz w:val="24"/>
                <w:szCs w:val="32"/>
                <w:u w:val="none"/>
              </w:rPr>
              <w:t>COD、NH</w:t>
            </w:r>
            <w:r>
              <w:rPr>
                <w:rFonts w:hint="eastAsia"/>
                <w:color w:val="auto"/>
                <w:sz w:val="24"/>
                <w:szCs w:val="32"/>
                <w:u w:val="none"/>
                <w:vertAlign w:val="subscript"/>
              </w:rPr>
              <w:t>3</w:t>
            </w:r>
            <w:r>
              <w:rPr>
                <w:rFonts w:hint="eastAsia"/>
                <w:color w:val="auto"/>
                <w:sz w:val="24"/>
                <w:szCs w:val="32"/>
                <w:u w:val="none"/>
              </w:rPr>
              <w:t>-N、TN、TP</w:t>
            </w:r>
            <w:r>
              <w:rPr>
                <w:rFonts w:hint="eastAsia"/>
                <w:color w:val="auto"/>
                <w:sz w:val="24"/>
                <w:szCs w:val="32"/>
                <w:u w:val="none"/>
                <w:lang w:val="en-US" w:eastAsia="zh-CN"/>
              </w:rPr>
              <w:t>达到</w:t>
            </w:r>
            <w:r>
              <w:rPr>
                <w:rFonts w:hint="eastAsia"/>
                <w:color w:val="auto"/>
                <w:sz w:val="24"/>
                <w:szCs w:val="32"/>
                <w:u w:val="none"/>
              </w:rPr>
              <w:t>《湖南省城镇污水厂主要污染物排放标准》（DB43/T 1546-2018）二级排放标准</w:t>
            </w:r>
            <w:r>
              <w:rPr>
                <w:rFonts w:hint="eastAsia"/>
                <w:color w:val="auto"/>
                <w:sz w:val="24"/>
                <w:szCs w:val="32"/>
                <w:u w:val="none"/>
                <w:lang w:eastAsia="zh-CN"/>
              </w:rPr>
              <w:t>、</w:t>
            </w:r>
            <w:r>
              <w:rPr>
                <w:rFonts w:hint="eastAsia"/>
                <w:color w:val="auto"/>
                <w:sz w:val="24"/>
                <w:szCs w:val="32"/>
                <w:u w:val="none"/>
              </w:rPr>
              <w:t>其余污染物因子</w:t>
            </w:r>
            <w:r>
              <w:rPr>
                <w:rFonts w:hint="eastAsia"/>
                <w:color w:val="auto"/>
                <w:sz w:val="24"/>
                <w:szCs w:val="32"/>
                <w:u w:val="none"/>
                <w:lang w:val="en-US" w:eastAsia="zh-CN"/>
              </w:rPr>
              <w:t>达到</w:t>
            </w:r>
            <w:r>
              <w:rPr>
                <w:rFonts w:hint="eastAsia"/>
                <w:color w:val="auto"/>
                <w:sz w:val="24"/>
                <w:szCs w:val="32"/>
                <w:u w:val="none"/>
              </w:rPr>
              <w:t>《城镇污水处理厂污染物排放标准》（GB18918-2002）一级A标准</w:t>
            </w:r>
            <w:r>
              <w:rPr>
                <w:color w:val="auto"/>
                <w:sz w:val="24"/>
                <w:szCs w:val="32"/>
                <w:u w:val="none"/>
              </w:rPr>
              <w:t>后</w:t>
            </w:r>
            <w:r>
              <w:rPr>
                <w:rFonts w:hint="eastAsia"/>
                <w:color w:val="auto"/>
                <w:sz w:val="24"/>
                <w:szCs w:val="32"/>
                <w:u w:val="none"/>
                <w:lang w:val="en-US" w:eastAsia="zh-CN"/>
              </w:rPr>
              <w:t>排入祁水</w:t>
            </w:r>
            <w:r>
              <w:rPr>
                <w:color w:val="auto"/>
                <w:sz w:val="24"/>
                <w:u w:val="none"/>
              </w:rPr>
              <w:t>。</w:t>
            </w:r>
            <w:r>
              <w:rPr>
                <w:snapToGrid w:val="0"/>
                <w:color w:val="auto"/>
                <w:kern w:val="0"/>
                <w:sz w:val="24"/>
                <w:u w:val="none"/>
              </w:rPr>
              <w:t>本项目</w:t>
            </w:r>
            <w:r>
              <w:rPr>
                <w:rFonts w:hint="eastAsia"/>
                <w:snapToGrid w:val="0"/>
                <w:color w:val="auto"/>
                <w:kern w:val="0"/>
                <w:sz w:val="24"/>
                <w:u w:val="none"/>
              </w:rPr>
              <w:t>排放的</w:t>
            </w:r>
            <w:r>
              <w:rPr>
                <w:rFonts w:hint="eastAsia"/>
                <w:snapToGrid w:val="0"/>
                <w:color w:val="auto"/>
                <w:kern w:val="0"/>
                <w:sz w:val="24"/>
                <w:u w:val="none"/>
                <w:lang w:val="en-US" w:eastAsia="zh-CN"/>
              </w:rPr>
              <w:t>废水量为</w:t>
            </w:r>
            <w:r>
              <w:rPr>
                <w:rFonts w:hint="eastAsia"/>
                <w:color w:val="auto"/>
                <w:kern w:val="0"/>
                <w:sz w:val="24"/>
                <w:szCs w:val="24"/>
                <w:u w:val="none"/>
                <w:lang w:val="en-US" w:eastAsia="zh-CN"/>
              </w:rPr>
              <w:t>1161.82</w:t>
            </w:r>
            <w:r>
              <w:rPr>
                <w:color w:val="auto"/>
                <w:sz w:val="24"/>
                <w:szCs w:val="24"/>
                <w:u w:val="none"/>
              </w:rPr>
              <w:t>m</w:t>
            </w:r>
            <w:r>
              <w:rPr>
                <w:color w:val="auto"/>
                <w:sz w:val="24"/>
                <w:szCs w:val="24"/>
                <w:u w:val="none"/>
                <w:vertAlign w:val="superscript"/>
              </w:rPr>
              <w:t>3</w:t>
            </w:r>
            <w:r>
              <w:rPr>
                <w:color w:val="auto"/>
                <w:sz w:val="24"/>
                <w:szCs w:val="24"/>
                <w:u w:val="none"/>
              </w:rPr>
              <w:t>/a</w:t>
            </w:r>
            <w:r>
              <w:rPr>
                <w:rFonts w:hint="eastAsia"/>
                <w:color w:val="auto"/>
                <w:sz w:val="24"/>
                <w:szCs w:val="24"/>
                <w:u w:val="none"/>
                <w:lang w:eastAsia="zh-CN"/>
              </w:rPr>
              <w:t>，</w:t>
            </w:r>
            <w:r>
              <w:rPr>
                <w:snapToGrid w:val="0"/>
                <w:color w:val="auto"/>
                <w:kern w:val="0"/>
                <w:sz w:val="24"/>
                <w:u w:val="none"/>
              </w:rPr>
              <w:t>污染物总量控制指标为：</w:t>
            </w:r>
          </w:p>
          <w:p w14:paraId="4F77C3E0">
            <w:pPr>
              <w:spacing w:line="360" w:lineRule="auto"/>
              <w:ind w:firstLine="480" w:firstLineChars="200"/>
              <w:rPr>
                <w:rFonts w:hint="eastAsia"/>
                <w:bCs/>
                <w:color w:val="000000"/>
                <w:sz w:val="24"/>
                <w:u w:val="none"/>
              </w:rPr>
            </w:pPr>
            <w:r>
              <w:rPr>
                <w:snapToGrid w:val="0"/>
                <w:color w:val="auto"/>
                <w:kern w:val="0"/>
                <w:sz w:val="24"/>
                <w:u w:val="none"/>
              </w:rPr>
              <w:t>COD</w:t>
            </w:r>
            <w:r>
              <w:rPr>
                <w:rFonts w:hint="eastAsia"/>
                <w:snapToGrid w:val="0"/>
                <w:color w:val="auto"/>
                <w:kern w:val="0"/>
                <w:sz w:val="24"/>
                <w:u w:val="none"/>
                <w:lang w:eastAsia="zh-CN"/>
              </w:rPr>
              <w:t>：</w:t>
            </w:r>
            <w:r>
              <w:rPr>
                <w:rFonts w:hint="eastAsia"/>
                <w:color w:val="auto"/>
                <w:kern w:val="0"/>
                <w:sz w:val="24"/>
                <w:szCs w:val="24"/>
                <w:u w:val="none"/>
                <w:lang w:val="en-US" w:eastAsia="zh-CN"/>
              </w:rPr>
              <w:t>1161.82</w:t>
            </w:r>
            <w:r>
              <w:rPr>
                <w:rFonts w:hint="eastAsia"/>
                <w:bCs/>
                <w:color w:val="000000"/>
                <w:sz w:val="24"/>
                <w:u w:val="none"/>
              </w:rPr>
              <w:t>m</w:t>
            </w:r>
            <w:r>
              <w:rPr>
                <w:rFonts w:hint="eastAsia"/>
                <w:bCs/>
                <w:color w:val="000000"/>
                <w:sz w:val="24"/>
                <w:u w:val="none"/>
                <w:vertAlign w:val="superscript"/>
              </w:rPr>
              <w:t>3</w:t>
            </w:r>
            <w:r>
              <w:rPr>
                <w:rFonts w:hint="eastAsia"/>
                <w:bCs/>
                <w:color w:val="000000"/>
                <w:sz w:val="24"/>
                <w:u w:val="none"/>
              </w:rPr>
              <w:t>/a×</w:t>
            </w:r>
            <w:r>
              <w:rPr>
                <w:rFonts w:hint="eastAsia"/>
                <w:bCs/>
                <w:color w:val="000000"/>
                <w:sz w:val="24"/>
                <w:u w:val="none"/>
                <w:lang w:val="en-US" w:eastAsia="zh-CN"/>
              </w:rPr>
              <w:t>40</w:t>
            </w:r>
            <w:r>
              <w:rPr>
                <w:rFonts w:hint="eastAsia"/>
                <w:bCs/>
                <w:color w:val="000000"/>
                <w:sz w:val="24"/>
                <w:u w:val="none"/>
              </w:rPr>
              <w:t>mg/L=</w:t>
            </w:r>
            <w:r>
              <w:rPr>
                <w:rFonts w:hint="eastAsia"/>
                <w:bCs/>
                <w:color w:val="000000"/>
                <w:sz w:val="24"/>
                <w:u w:val="none"/>
                <w:lang w:val="en-US" w:eastAsia="zh-CN"/>
              </w:rPr>
              <w:t>0.0465</w:t>
            </w:r>
            <w:r>
              <w:rPr>
                <w:rFonts w:hint="eastAsia"/>
                <w:bCs/>
                <w:color w:val="000000"/>
                <w:sz w:val="24"/>
                <w:u w:val="none"/>
              </w:rPr>
              <w:t>/a；</w:t>
            </w:r>
          </w:p>
          <w:p w14:paraId="1E1EF895">
            <w:pPr>
              <w:spacing w:line="360" w:lineRule="auto"/>
              <w:ind w:firstLine="480" w:firstLineChars="200"/>
              <w:rPr>
                <w:color w:val="auto"/>
                <w:spacing w:val="6"/>
                <w:kern w:val="0"/>
                <w:sz w:val="24"/>
                <w:u w:val="none"/>
                <w:lang w:val="de-DE"/>
              </w:rPr>
            </w:pPr>
            <w:r>
              <w:rPr>
                <w:snapToGrid w:val="0"/>
                <w:color w:val="auto"/>
                <w:kern w:val="0"/>
                <w:sz w:val="24"/>
                <w:u w:val="none"/>
              </w:rPr>
              <w:t>NH</w:t>
            </w:r>
            <w:r>
              <w:rPr>
                <w:snapToGrid w:val="0"/>
                <w:color w:val="auto"/>
                <w:kern w:val="0"/>
                <w:sz w:val="24"/>
                <w:u w:val="none"/>
                <w:vertAlign w:val="subscript"/>
              </w:rPr>
              <w:t>3</w:t>
            </w:r>
            <w:r>
              <w:rPr>
                <w:snapToGrid w:val="0"/>
                <w:color w:val="auto"/>
                <w:kern w:val="0"/>
                <w:sz w:val="24"/>
                <w:u w:val="none"/>
              </w:rPr>
              <w:t>-N</w:t>
            </w:r>
            <w:r>
              <w:rPr>
                <w:rFonts w:hint="eastAsia"/>
                <w:snapToGrid w:val="0"/>
                <w:color w:val="auto"/>
                <w:kern w:val="0"/>
                <w:sz w:val="24"/>
                <w:u w:val="none"/>
                <w:lang w:eastAsia="zh-CN"/>
              </w:rPr>
              <w:t>：</w:t>
            </w:r>
            <w:r>
              <w:rPr>
                <w:rFonts w:hint="eastAsia"/>
                <w:color w:val="auto"/>
                <w:kern w:val="0"/>
                <w:sz w:val="24"/>
                <w:szCs w:val="24"/>
                <w:u w:val="none"/>
                <w:lang w:val="en-US" w:eastAsia="zh-CN"/>
              </w:rPr>
              <w:t>1161.82</w:t>
            </w:r>
            <w:r>
              <w:rPr>
                <w:rFonts w:hint="eastAsia"/>
                <w:bCs/>
                <w:color w:val="000000"/>
                <w:sz w:val="24"/>
                <w:u w:val="none"/>
              </w:rPr>
              <w:t>m</w:t>
            </w:r>
            <w:r>
              <w:rPr>
                <w:rFonts w:hint="eastAsia"/>
                <w:bCs/>
                <w:color w:val="000000"/>
                <w:sz w:val="24"/>
                <w:u w:val="none"/>
                <w:vertAlign w:val="superscript"/>
              </w:rPr>
              <w:t>3</w:t>
            </w:r>
            <w:r>
              <w:rPr>
                <w:rFonts w:hint="eastAsia"/>
                <w:bCs/>
                <w:color w:val="000000"/>
                <w:sz w:val="24"/>
                <w:u w:val="none"/>
              </w:rPr>
              <w:t>/a×</w:t>
            </w:r>
            <w:r>
              <w:rPr>
                <w:rFonts w:hint="eastAsia"/>
                <w:bCs/>
                <w:color w:val="000000"/>
                <w:sz w:val="24"/>
                <w:u w:val="none"/>
                <w:lang w:val="en-US" w:eastAsia="zh-CN"/>
              </w:rPr>
              <w:t>5</w:t>
            </w:r>
            <w:r>
              <w:rPr>
                <w:rFonts w:hint="eastAsia"/>
                <w:bCs/>
                <w:color w:val="000000"/>
                <w:sz w:val="24"/>
                <w:u w:val="none"/>
              </w:rPr>
              <w:t>mg/L=</w:t>
            </w:r>
            <w:r>
              <w:rPr>
                <w:rFonts w:hint="eastAsia"/>
                <w:bCs/>
                <w:color w:val="000000"/>
                <w:sz w:val="24"/>
                <w:u w:val="none"/>
                <w:lang w:val="en-US" w:eastAsia="zh-CN"/>
              </w:rPr>
              <w:t>0.0058</w:t>
            </w:r>
            <w:r>
              <w:rPr>
                <w:rFonts w:hint="eastAsia"/>
                <w:bCs/>
                <w:color w:val="000000"/>
                <w:sz w:val="24"/>
                <w:u w:val="none"/>
              </w:rPr>
              <w:t>t/a</w:t>
            </w:r>
            <w:r>
              <w:rPr>
                <w:snapToGrid w:val="0"/>
                <w:color w:val="auto"/>
                <w:kern w:val="0"/>
                <w:sz w:val="24"/>
                <w:u w:val="none"/>
              </w:rPr>
              <w:t>。</w:t>
            </w:r>
          </w:p>
          <w:p w14:paraId="37278966">
            <w:pPr>
              <w:spacing w:line="360" w:lineRule="auto"/>
              <w:ind w:firstLine="480" w:firstLineChars="200"/>
              <w:rPr>
                <w:rFonts w:hint="eastAsia"/>
                <w:color w:val="auto"/>
                <w:sz w:val="24"/>
                <w:szCs w:val="32"/>
                <w:u w:val="none"/>
                <w:lang w:val="de-DE"/>
              </w:rPr>
            </w:pPr>
            <w:r>
              <w:rPr>
                <w:rFonts w:hint="eastAsia"/>
                <w:color w:val="auto"/>
                <w:sz w:val="24"/>
                <w:szCs w:val="32"/>
                <w:u w:val="none"/>
                <w:lang w:val="en-US" w:eastAsia="zh-CN"/>
              </w:rPr>
              <w:t>根据中华人民共和国生态环境部发布的关于印发《生态环境部门进一步促进民营经济发展的若干措施》的通知（环综合</w:t>
            </w:r>
            <w:r>
              <w:rPr>
                <w:rFonts w:hint="default"/>
                <w:color w:val="auto"/>
                <w:sz w:val="24"/>
                <w:szCs w:val="32"/>
                <w:u w:val="none"/>
                <w:lang w:val="en-US" w:eastAsia="zh-CN"/>
              </w:rPr>
              <w:t xml:space="preserve">[2024]62 </w:t>
            </w:r>
            <w:r>
              <w:rPr>
                <w:rFonts w:hint="eastAsia"/>
                <w:color w:val="auto"/>
                <w:sz w:val="24"/>
                <w:szCs w:val="32"/>
                <w:u w:val="none"/>
                <w:lang w:val="en-US" w:eastAsia="zh-CN"/>
              </w:rPr>
              <w:t>号），对氮氧化物、化学需氧量、挥发性有机污染物的单项新增年排放量小于</w:t>
            </w:r>
            <w:r>
              <w:rPr>
                <w:rFonts w:hint="default"/>
                <w:color w:val="auto"/>
                <w:sz w:val="24"/>
                <w:szCs w:val="32"/>
                <w:u w:val="none"/>
                <w:lang w:val="en-US" w:eastAsia="zh-CN"/>
              </w:rPr>
              <w:t>0.1</w:t>
            </w:r>
            <w:r>
              <w:rPr>
                <w:rFonts w:hint="eastAsia"/>
                <w:color w:val="auto"/>
                <w:sz w:val="24"/>
                <w:szCs w:val="32"/>
                <w:u w:val="none"/>
                <w:lang w:val="en-US" w:eastAsia="zh-CN"/>
              </w:rPr>
              <w:t>吨，氨氮小于</w:t>
            </w:r>
            <w:r>
              <w:rPr>
                <w:rFonts w:hint="default"/>
                <w:color w:val="auto"/>
                <w:sz w:val="24"/>
                <w:szCs w:val="32"/>
                <w:u w:val="none"/>
                <w:lang w:val="en-US" w:eastAsia="zh-CN"/>
              </w:rPr>
              <w:t>0.01</w:t>
            </w:r>
            <w:r>
              <w:rPr>
                <w:rFonts w:hint="eastAsia"/>
                <w:color w:val="auto"/>
                <w:sz w:val="24"/>
                <w:szCs w:val="32"/>
                <w:u w:val="none"/>
                <w:lang w:val="en-US" w:eastAsia="zh-CN"/>
              </w:rPr>
              <w:t>吨的建设项目，免予提交总量指标来源说明，由地方生态环境部门统筹总量指标替代来源</w:t>
            </w:r>
            <w:r>
              <w:rPr>
                <w:rFonts w:hint="default"/>
                <w:color w:val="auto"/>
                <w:sz w:val="24"/>
                <w:szCs w:val="32"/>
                <w:u w:val="none"/>
                <w:lang w:val="en-US" w:eastAsia="zh-CN"/>
              </w:rPr>
              <w:t>,</w:t>
            </w:r>
            <w:r>
              <w:rPr>
                <w:rFonts w:hint="eastAsia"/>
                <w:color w:val="auto"/>
                <w:sz w:val="24"/>
                <w:szCs w:val="32"/>
                <w:u w:val="none"/>
                <w:lang w:val="en-US" w:eastAsia="zh-CN"/>
              </w:rPr>
              <w:t>并纳入台账管理。因此本项目无需设置废水总量指标。</w:t>
            </w:r>
          </w:p>
          <w:p w14:paraId="358D5ECF">
            <w:pPr>
              <w:adjustRightInd w:val="0"/>
              <w:snapToGrid w:val="0"/>
              <w:spacing w:line="360" w:lineRule="auto"/>
              <w:ind w:firstLine="504" w:firstLineChars="200"/>
              <w:rPr>
                <w:rFonts w:hint="eastAsia"/>
                <w:color w:val="auto"/>
                <w:spacing w:val="6"/>
                <w:kern w:val="0"/>
                <w:sz w:val="24"/>
                <w:u w:val="none"/>
              </w:rPr>
            </w:pPr>
            <w:r>
              <w:rPr>
                <w:rFonts w:hint="eastAsia"/>
                <w:color w:val="auto"/>
                <w:spacing w:val="6"/>
                <w:kern w:val="0"/>
                <w:sz w:val="24"/>
                <w:u w:val="none"/>
              </w:rPr>
              <w:t>本项目运营期废气主要为油气废气、汽车尾气、柴油发电机废气、餐厅油烟，本项目不涉及SO</w:t>
            </w:r>
            <w:r>
              <w:rPr>
                <w:rFonts w:hint="eastAsia"/>
                <w:color w:val="auto"/>
                <w:spacing w:val="6"/>
                <w:kern w:val="0"/>
                <w:sz w:val="24"/>
                <w:u w:val="none"/>
                <w:vertAlign w:val="subscript"/>
              </w:rPr>
              <w:t>2</w:t>
            </w:r>
            <w:r>
              <w:rPr>
                <w:rFonts w:hint="eastAsia"/>
                <w:color w:val="auto"/>
                <w:spacing w:val="6"/>
                <w:kern w:val="0"/>
                <w:sz w:val="24"/>
                <w:u w:val="none"/>
              </w:rPr>
              <w:t>和NOx的主要污染物的废气排放，无需设置废气总量指标。本项目VOCS（以非甲烷总烃计）排放量为0.14716t/a。</w:t>
            </w:r>
          </w:p>
          <w:p w14:paraId="19787B20">
            <w:pPr>
              <w:adjustRightInd w:val="0"/>
              <w:snapToGrid w:val="0"/>
              <w:spacing w:line="360" w:lineRule="auto"/>
              <w:ind w:firstLine="504" w:firstLineChars="200"/>
              <w:rPr>
                <w:rFonts w:hint="eastAsia"/>
                <w:color w:val="auto"/>
                <w:spacing w:val="6"/>
                <w:kern w:val="0"/>
                <w:sz w:val="24"/>
                <w:u w:val="none"/>
              </w:rPr>
            </w:pPr>
            <w:r>
              <w:rPr>
                <w:rFonts w:hint="eastAsia"/>
                <w:color w:val="auto"/>
                <w:spacing w:val="6"/>
                <w:kern w:val="0"/>
                <w:sz w:val="24"/>
                <w:u w:val="none"/>
                <w:lang w:val="en-US" w:eastAsia="zh-CN"/>
              </w:rPr>
              <w:t>因本</w:t>
            </w:r>
            <w:r>
              <w:rPr>
                <w:rFonts w:hint="eastAsia"/>
                <w:color w:val="auto"/>
                <w:spacing w:val="6"/>
                <w:kern w:val="0"/>
                <w:sz w:val="24"/>
                <w:u w:val="none"/>
              </w:rPr>
              <w:t>项目属于社会服务性项目，</w:t>
            </w:r>
            <w:r>
              <w:rPr>
                <w:rFonts w:hint="eastAsia"/>
                <w:color w:val="auto"/>
                <w:spacing w:val="6"/>
                <w:kern w:val="0"/>
                <w:sz w:val="24"/>
                <w:u w:val="none"/>
                <w:lang w:val="en-US" w:eastAsia="zh-CN"/>
              </w:rPr>
              <w:t>故无需</w:t>
            </w:r>
            <w:r>
              <w:rPr>
                <w:rFonts w:hint="eastAsia"/>
                <w:color w:val="auto"/>
                <w:spacing w:val="6"/>
                <w:kern w:val="0"/>
                <w:sz w:val="24"/>
                <w:u w:val="none"/>
              </w:rPr>
              <w:t>购买总量。</w:t>
            </w:r>
          </w:p>
          <w:p w14:paraId="1AA036F9">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2D526864">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73B1CAB5">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6F4C8558">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60F8FEFA">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32E7B066">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4855670B">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163ABA6E">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49E8780F">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5D34E9AE">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1B991B1E">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06D8A2D8">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0C17CB29">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3FD7543E">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71F9AAE7">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7E94AEE5">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763BC21A">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35A11AFC">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6FF0FDD6">
            <w:pPr>
              <w:pStyle w:val="16"/>
              <w:rPr>
                <w:rFonts w:hint="eastAsia"/>
              </w:rPr>
            </w:pPr>
          </w:p>
          <w:p w14:paraId="247B58BB">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0D42EF88">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744BF3EB">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4C62A1BB">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47B5952F">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2483719E">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0344262A">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49511072">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4D57A683">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472EBAED">
            <w:pPr>
              <w:pStyle w:val="16"/>
              <w:rPr>
                <w:rFonts w:hint="eastAsia"/>
              </w:rPr>
            </w:pPr>
          </w:p>
          <w:p w14:paraId="147600E3">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755C1965">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41794F94">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279BFE59">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67C7CC68">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1E42D8CB">
            <w:pPr>
              <w:pStyle w:val="16"/>
              <w:keepNext w:val="0"/>
              <w:keepLines w:val="0"/>
              <w:pageBreakBefore w:val="0"/>
              <w:kinsoku/>
              <w:wordWrap/>
              <w:overflowPunct/>
              <w:topLinePunct w:val="0"/>
              <w:autoSpaceDE/>
              <w:autoSpaceDN/>
              <w:bidi w:val="0"/>
              <w:adjustRightInd/>
              <w:snapToGrid w:val="0"/>
              <w:spacing w:before="0" w:after="0" w:line="240" w:lineRule="auto"/>
              <w:ind w:right="0"/>
              <w:textAlignment w:val="auto"/>
              <w:rPr>
                <w:rFonts w:hint="eastAsia"/>
              </w:rPr>
            </w:pPr>
          </w:p>
          <w:p w14:paraId="3C4C29F2">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3449BA07">
            <w:pPr>
              <w:keepNext w:val="0"/>
              <w:keepLines w:val="0"/>
              <w:pageBreakBefore w:val="0"/>
              <w:kinsoku/>
              <w:wordWrap/>
              <w:overflowPunct/>
              <w:topLinePunct w:val="0"/>
              <w:autoSpaceDE/>
              <w:autoSpaceDN/>
              <w:bidi w:val="0"/>
              <w:adjustRightInd/>
              <w:snapToGrid w:val="0"/>
              <w:spacing w:line="240" w:lineRule="auto"/>
              <w:ind w:right="0"/>
              <w:textAlignment w:val="auto"/>
              <w:rPr>
                <w:rFonts w:hint="eastAsia"/>
              </w:rPr>
            </w:pPr>
          </w:p>
          <w:p w14:paraId="0C5ABE6B">
            <w:pPr>
              <w:pStyle w:val="16"/>
            </w:pPr>
          </w:p>
        </w:tc>
      </w:tr>
    </w:tbl>
    <w:p w14:paraId="425E996E">
      <w:pPr>
        <w:pStyle w:val="47"/>
        <w:jc w:val="center"/>
        <w:outlineLvl w:val="0"/>
        <w:rPr>
          <w:rFonts w:ascii="黑体" w:hAnsi="黑体" w:eastAsia="黑体"/>
          <w:snapToGrid w:val="0"/>
          <w:sz w:val="30"/>
          <w:szCs w:val="30"/>
        </w:rPr>
      </w:pPr>
      <w:r>
        <w:rPr>
          <w:rFonts w:ascii="Times New Roman" w:hAnsi="Times New Roman"/>
          <w:snapToGrid w:val="0"/>
          <w:sz w:val="36"/>
          <w:szCs w:val="36"/>
        </w:rPr>
        <w:br w:type="page"/>
      </w:r>
      <w:bookmarkStart w:id="34" w:name="_Toc21692"/>
      <w:r>
        <w:rPr>
          <w:rFonts w:ascii="黑体" w:hAnsi="黑体" w:eastAsia="黑体"/>
          <w:snapToGrid w:val="0"/>
          <w:sz w:val="30"/>
          <w:szCs w:val="30"/>
        </w:rPr>
        <w:t>四、主要环境影响和保护措施</w:t>
      </w:r>
      <w:bookmarkEnd w:id="34"/>
    </w:p>
    <w:tbl>
      <w:tblPr>
        <w:tblStyle w:val="5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8"/>
        <w:gridCol w:w="8721"/>
      </w:tblGrid>
      <w:tr w14:paraId="19C0F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4" w:type="pct"/>
            <w:tcMar>
              <w:left w:w="28" w:type="dxa"/>
              <w:right w:w="28" w:type="dxa"/>
            </w:tcMar>
            <w:vAlign w:val="center"/>
          </w:tcPr>
          <w:p w14:paraId="79FF61DC">
            <w:pPr>
              <w:pStyle w:val="4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0D5A0B8A">
            <w:pPr>
              <w:pStyle w:val="4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699629EA">
            <w:pPr>
              <w:pStyle w:val="4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6608EE6B">
            <w:pPr>
              <w:pStyle w:val="47"/>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4F3BB22E">
            <w:pPr>
              <w:pStyle w:val="47"/>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4855" w:type="pct"/>
            <w:vAlign w:val="center"/>
          </w:tcPr>
          <w:p w14:paraId="6FC7AA19">
            <w:pPr>
              <w:spacing w:line="360" w:lineRule="auto"/>
              <w:rPr>
                <w:rStyle w:val="203"/>
                <w:rFonts w:hint="default" w:ascii="Times New Roman" w:hAnsi="Times New Roman"/>
                <w:b/>
                <w:color w:val="auto"/>
              </w:rPr>
            </w:pPr>
            <w:r>
              <w:rPr>
                <w:rFonts w:hint="eastAsia" w:ascii="Times New Roman" w:hAnsi="Times New Roman" w:eastAsia="宋体" w:cs="Times New Roman"/>
                <w:b/>
                <w:bCs/>
                <w:kern w:val="2"/>
                <w:sz w:val="24"/>
                <w:szCs w:val="24"/>
                <w:lang w:val="en-US" w:eastAsia="zh-CN" w:bidi="ar-SA"/>
              </w:rPr>
              <w:t xml:space="preserve">4.1 </w:t>
            </w:r>
            <w:r>
              <w:rPr>
                <w:rStyle w:val="203"/>
                <w:rFonts w:hint="default" w:ascii="Times New Roman" w:hAnsi="Times New Roman"/>
                <w:b/>
                <w:color w:val="auto"/>
              </w:rPr>
              <w:t>施工废气环境保护措施</w:t>
            </w:r>
          </w:p>
          <w:p w14:paraId="2F7CF0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1）施工扬尘</w:t>
            </w:r>
          </w:p>
          <w:p w14:paraId="417D130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针对本项目实际情况，本环评建议采取以下防尘措施：</w:t>
            </w:r>
          </w:p>
          <w:p w14:paraId="3C48BA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（1）</w:t>
            </w:r>
            <w:r>
              <w:rPr>
                <w:rFonts w:hint="eastAsia"/>
                <w:kern w:val="0"/>
                <w:sz w:val="24"/>
              </w:rPr>
              <w:t>施工围挡100%设置，</w:t>
            </w:r>
            <w:r>
              <w:rPr>
                <w:kern w:val="0"/>
                <w:sz w:val="24"/>
              </w:rPr>
              <w:t>施工工地周围按照规范要求设置硬质围挡；</w:t>
            </w:r>
          </w:p>
          <w:p w14:paraId="497C6B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（2）</w:t>
            </w:r>
            <w:r>
              <w:rPr>
                <w:rFonts w:hint="eastAsia"/>
                <w:kern w:val="0"/>
                <w:sz w:val="24"/>
              </w:rPr>
              <w:t>冲洗平台及设备100%设置</w:t>
            </w:r>
            <w:r>
              <w:rPr>
                <w:kern w:val="0"/>
                <w:sz w:val="24"/>
              </w:rPr>
              <w:t>；</w:t>
            </w:r>
          </w:p>
          <w:p w14:paraId="0E33FB4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（3）</w:t>
            </w:r>
            <w:r>
              <w:rPr>
                <w:rFonts w:hint="eastAsia"/>
                <w:kern w:val="0"/>
                <w:sz w:val="24"/>
              </w:rPr>
              <w:t>施工道路应100%硬化</w:t>
            </w:r>
            <w:r>
              <w:rPr>
                <w:kern w:val="0"/>
                <w:sz w:val="24"/>
              </w:rPr>
              <w:t>；</w:t>
            </w:r>
          </w:p>
          <w:p w14:paraId="7E4FCE7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（4）</w:t>
            </w:r>
            <w:r>
              <w:rPr>
                <w:rFonts w:hint="eastAsia"/>
                <w:kern w:val="0"/>
                <w:sz w:val="24"/>
              </w:rPr>
              <w:t>施工场地内裸土、建筑垃圾、散装颗粒材料100%覆盖，</w:t>
            </w:r>
            <w:r>
              <w:rPr>
                <w:kern w:val="0"/>
                <w:sz w:val="24"/>
              </w:rPr>
              <w:t>施工工地内的裸露地面绿化或者覆盖密闭式防尘网（布）；</w:t>
            </w:r>
          </w:p>
          <w:p w14:paraId="6598439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（5）</w:t>
            </w:r>
            <w:r>
              <w:rPr>
                <w:rFonts w:hint="eastAsia"/>
                <w:kern w:val="0"/>
                <w:sz w:val="24"/>
              </w:rPr>
              <w:t>100%配备湿法降尘设备，</w:t>
            </w:r>
            <w:r>
              <w:rPr>
                <w:kern w:val="0"/>
                <w:sz w:val="24"/>
              </w:rPr>
              <w:t>施工过程中易产生扬尘环节实行湿法作业，但是按照规范要求不宜采取湿法作业的除外；</w:t>
            </w:r>
          </w:p>
          <w:p w14:paraId="10E7AD7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（6）</w:t>
            </w:r>
            <w:r>
              <w:rPr>
                <w:rFonts w:hint="eastAsia"/>
                <w:kern w:val="0"/>
                <w:sz w:val="24"/>
              </w:rPr>
              <w:t>运输车辆100%进行封闭覆盖；</w:t>
            </w:r>
          </w:p>
          <w:p w14:paraId="4AA1D6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w:t>
            </w:r>
            <w:r>
              <w:rPr>
                <w:rFonts w:hint="eastAsia"/>
                <w:kern w:val="0"/>
                <w:sz w:val="24"/>
              </w:rPr>
              <w:t>7</w:t>
            </w:r>
            <w:r>
              <w:rPr>
                <w:kern w:val="0"/>
                <w:sz w:val="24"/>
              </w:rPr>
              <w:t>）</w:t>
            </w:r>
            <w:r>
              <w:rPr>
                <w:rFonts w:hint="eastAsia"/>
                <w:kern w:val="0"/>
                <w:sz w:val="24"/>
              </w:rPr>
              <w:t>施工工地应安装扬尘监测仪；</w:t>
            </w:r>
          </w:p>
          <w:p w14:paraId="40D4CC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pPr>
            <w:r>
              <w:rPr>
                <w:kern w:val="0"/>
                <w:sz w:val="24"/>
              </w:rPr>
              <w:t>（</w:t>
            </w:r>
            <w:r>
              <w:rPr>
                <w:rFonts w:hint="eastAsia"/>
                <w:kern w:val="0"/>
                <w:sz w:val="24"/>
              </w:rPr>
              <w:t>8</w:t>
            </w:r>
            <w:r>
              <w:rPr>
                <w:kern w:val="0"/>
                <w:sz w:val="24"/>
              </w:rPr>
              <w:t>）</w:t>
            </w:r>
            <w:r>
              <w:rPr>
                <w:rFonts w:hint="eastAsia"/>
                <w:kern w:val="0"/>
                <w:sz w:val="24"/>
              </w:rPr>
              <w:t>施工工地应安装视频监控。</w:t>
            </w:r>
          </w:p>
          <w:p w14:paraId="2628FFC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通过以上措施，可以很大程度上削减扬尘的产生量，扬尘对大气环境的影响不大，且只在施工期产生，不会造成长期影响。所以，施工扬尘对大气环境的影响是可以接受的，废气污染防治措施可行。</w:t>
            </w:r>
          </w:p>
          <w:p w14:paraId="4CF1F3F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kern w:val="0"/>
                <w:sz w:val="24"/>
              </w:rPr>
              <w:t>2）施工机械及装修废气</w:t>
            </w:r>
          </w:p>
          <w:p w14:paraId="55BFE4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kern w:val="0"/>
                <w:sz w:val="24"/>
              </w:rPr>
            </w:pPr>
            <w:r>
              <w:rPr>
                <w:rFonts w:hint="eastAsia"/>
                <w:kern w:val="0"/>
                <w:sz w:val="24"/>
              </w:rPr>
              <w:t>非道路移动施工机械须悬挂环保标牌，且尾气检测必须合格。禁止使用国III以下柴油货车施工。</w:t>
            </w:r>
            <w:r>
              <w:rPr>
                <w:kern w:val="0"/>
                <w:sz w:val="24"/>
              </w:rPr>
              <w:t>采用源头控制，使用环保型涂料，减少有害气体的挥发，并且，在装修完成后，建筑物需每天进行通风换气，一至二个月后才正式投入使用。施工是短期行为，随着施工期的结束，针对施工废气项目采取了源头防治，措施有效可行。</w:t>
            </w:r>
          </w:p>
          <w:p w14:paraId="4145ED51">
            <w:pPr>
              <w:spacing w:line="360" w:lineRule="auto"/>
              <w:rPr>
                <w:rStyle w:val="203"/>
                <w:rFonts w:hint="default" w:ascii="Times New Roman" w:hAnsi="Times New Roman"/>
                <w:b/>
                <w:color w:val="auto"/>
              </w:rPr>
            </w:pPr>
            <w:r>
              <w:rPr>
                <w:rFonts w:hint="eastAsia" w:ascii="Times New Roman" w:hAnsi="Times New Roman" w:eastAsia="宋体" w:cs="Times New Roman"/>
                <w:b/>
                <w:bCs/>
                <w:kern w:val="2"/>
                <w:sz w:val="24"/>
                <w:szCs w:val="24"/>
                <w:lang w:val="en-US" w:eastAsia="zh-CN" w:bidi="ar-SA"/>
              </w:rPr>
              <w:t xml:space="preserve">4.2 </w:t>
            </w:r>
            <w:r>
              <w:rPr>
                <w:rStyle w:val="203"/>
                <w:rFonts w:hint="default" w:ascii="Times New Roman" w:hAnsi="Times New Roman"/>
                <w:b/>
                <w:color w:val="auto"/>
              </w:rPr>
              <w:t>施工废水环境保护措施</w:t>
            </w:r>
          </w:p>
          <w:p w14:paraId="266B5CE1">
            <w:pPr>
              <w:spacing w:line="360" w:lineRule="auto"/>
              <w:ind w:firstLine="480"/>
              <w:rPr>
                <w:sz w:val="24"/>
              </w:rPr>
            </w:pPr>
            <w:r>
              <w:rPr>
                <w:sz w:val="24"/>
              </w:rPr>
              <w:t>1）施工废水</w:t>
            </w:r>
          </w:p>
          <w:p w14:paraId="428199DE">
            <w:pPr>
              <w:pStyle w:val="118"/>
              <w:spacing w:line="360" w:lineRule="auto"/>
            </w:pPr>
            <w:r>
              <w:t>施工废水主要产生于开挖和钻孔、混凝土养护及墙面的冲洗、构件与建筑材料的保湿、材料的拌制等施工工序，废水主要污染物为泥沙、悬浮物等。建设单位在施工场地内设置一个沉淀池，把施工废水导入该池沉淀后回用于混凝土拌浆及养护使用，禁止排入外环境。</w:t>
            </w:r>
          </w:p>
          <w:p w14:paraId="164BFB02">
            <w:pPr>
              <w:spacing w:line="360" w:lineRule="auto"/>
              <w:ind w:firstLine="480"/>
              <w:rPr>
                <w:sz w:val="24"/>
              </w:rPr>
            </w:pPr>
            <w:r>
              <w:rPr>
                <w:sz w:val="24"/>
              </w:rPr>
              <w:t>2）生活污水</w:t>
            </w:r>
          </w:p>
          <w:p w14:paraId="028C0652">
            <w:pPr>
              <w:spacing w:line="360" w:lineRule="auto"/>
              <w:ind w:firstLine="480"/>
              <w:rPr>
                <w:rStyle w:val="203"/>
                <w:rFonts w:hint="default" w:ascii="Times New Roman" w:hAnsi="Times New Roman"/>
                <w:color w:val="auto"/>
              </w:rPr>
            </w:pPr>
            <w:r>
              <w:rPr>
                <w:sz w:val="24"/>
              </w:rPr>
              <w:t>本项目不设施工营地，施工人员主要为周边村民，依托居民家中生活设施，施工期无集中产生的生活污水。</w:t>
            </w:r>
          </w:p>
          <w:p w14:paraId="65295AD9">
            <w:pPr>
              <w:spacing w:line="360" w:lineRule="auto"/>
              <w:rPr>
                <w:rStyle w:val="203"/>
                <w:rFonts w:hint="default" w:ascii="Times New Roman" w:hAnsi="Times New Roman"/>
                <w:b/>
                <w:color w:val="auto"/>
              </w:rPr>
            </w:pPr>
            <w:r>
              <w:rPr>
                <w:rFonts w:hint="eastAsia" w:ascii="Times New Roman" w:hAnsi="Times New Roman" w:eastAsia="宋体" w:cs="Times New Roman"/>
                <w:b/>
                <w:bCs/>
                <w:kern w:val="2"/>
                <w:sz w:val="24"/>
                <w:szCs w:val="24"/>
                <w:lang w:val="en-US" w:eastAsia="zh-CN" w:bidi="ar-SA"/>
              </w:rPr>
              <w:t xml:space="preserve">4.3 </w:t>
            </w:r>
            <w:r>
              <w:rPr>
                <w:rStyle w:val="203"/>
                <w:rFonts w:hint="default" w:ascii="Times New Roman" w:hAnsi="Times New Roman"/>
                <w:b/>
                <w:color w:val="auto"/>
              </w:rPr>
              <w:t>施工噪声环境保护措施</w:t>
            </w:r>
          </w:p>
          <w:p w14:paraId="3B2046E7">
            <w:pPr>
              <w:adjustRightInd w:val="0"/>
              <w:snapToGrid w:val="0"/>
              <w:spacing w:line="360" w:lineRule="auto"/>
              <w:ind w:firstLine="480" w:firstLineChars="200"/>
              <w:rPr>
                <w:sz w:val="24"/>
              </w:rPr>
            </w:pPr>
            <w:r>
              <w:rPr>
                <w:sz w:val="24"/>
              </w:rPr>
              <w:t>①选用低噪声机械设备或带隔声、消声的设备，加强对施工设备的维修和保养。</w:t>
            </w:r>
          </w:p>
          <w:p w14:paraId="6FDE49DC">
            <w:pPr>
              <w:adjustRightInd w:val="0"/>
              <w:snapToGrid w:val="0"/>
              <w:spacing w:line="360" w:lineRule="auto"/>
              <w:ind w:firstLine="480" w:firstLineChars="200"/>
              <w:rPr>
                <w:sz w:val="24"/>
              </w:rPr>
            </w:pPr>
            <w:r>
              <w:rPr>
                <w:sz w:val="24"/>
              </w:rPr>
              <w:t>②合理安排施工时间和施工场所，高噪声作业区应远离对声环境质量要求较高的敏感对象，严格按规范操作，场内施工的重声区，需设围屏作业，以阻挡噪声外传，减轻污染。在施工边界设置临时的2～3m高围墙，必要时在靠近敏感点一侧设置吸围墙，减轻噪声影响。</w:t>
            </w:r>
          </w:p>
          <w:p w14:paraId="14D8742F">
            <w:pPr>
              <w:adjustRightInd w:val="0"/>
              <w:snapToGrid w:val="0"/>
              <w:spacing w:line="360" w:lineRule="auto"/>
              <w:ind w:firstLine="480" w:firstLineChars="200"/>
              <w:rPr>
                <w:sz w:val="24"/>
              </w:rPr>
            </w:pPr>
            <w:r>
              <w:rPr>
                <w:sz w:val="24"/>
              </w:rPr>
              <w:t>③合理疏导进入施工区的车辆，减少汽车会车时的鸣笛噪声。</w:t>
            </w:r>
          </w:p>
          <w:p w14:paraId="49990DEB">
            <w:pPr>
              <w:adjustRightInd w:val="0"/>
              <w:snapToGrid w:val="0"/>
              <w:spacing w:line="360" w:lineRule="auto"/>
              <w:ind w:firstLine="480" w:firstLineChars="200"/>
              <w:rPr>
                <w:sz w:val="24"/>
              </w:rPr>
            </w:pPr>
            <w:r>
              <w:rPr>
                <w:sz w:val="24"/>
              </w:rPr>
              <w:t>④优化施工方案，合理安排工期，将建筑施工环境噪声危害降到最低程度，施工单位在工程承包时，应把施工噪声控制列入承包内容，并确保各项控制措施的实施。对违反国家规定造成严重后果的，施工单位要承担相应责任。</w:t>
            </w:r>
          </w:p>
          <w:p w14:paraId="66497832">
            <w:pPr>
              <w:spacing w:line="360" w:lineRule="auto"/>
              <w:ind w:firstLine="480" w:firstLineChars="200"/>
              <w:rPr>
                <w:rStyle w:val="203"/>
                <w:rFonts w:hint="default" w:ascii="Times New Roman" w:hAnsi="Times New Roman"/>
                <w:color w:val="auto"/>
              </w:rPr>
            </w:pPr>
            <w:r>
              <w:rPr>
                <w:sz w:val="24"/>
              </w:rPr>
              <w:t>⑤施工单位在需在规定时间内施工，晚上十点到早上六点期间不允许施工，施工期间应采取必要的临时降噪措施，减缓可能对周围敏感点造成的环境影响。</w:t>
            </w:r>
          </w:p>
          <w:p w14:paraId="6A88BA8E">
            <w:pPr>
              <w:spacing w:line="360" w:lineRule="auto"/>
              <w:rPr>
                <w:rStyle w:val="203"/>
                <w:rFonts w:hint="default" w:ascii="Times New Roman" w:hAnsi="Times New Roman"/>
                <w:b/>
                <w:color w:val="auto"/>
              </w:rPr>
            </w:pPr>
            <w:r>
              <w:rPr>
                <w:rFonts w:hint="eastAsia" w:ascii="Times New Roman" w:hAnsi="Times New Roman" w:eastAsia="宋体" w:cs="Times New Roman"/>
                <w:b/>
                <w:bCs/>
                <w:kern w:val="2"/>
                <w:sz w:val="24"/>
                <w:szCs w:val="24"/>
                <w:lang w:val="en-US" w:eastAsia="zh-CN" w:bidi="ar-SA"/>
              </w:rPr>
              <w:t xml:space="preserve">4.4 </w:t>
            </w:r>
            <w:r>
              <w:rPr>
                <w:rStyle w:val="203"/>
                <w:rFonts w:hint="default" w:ascii="Times New Roman" w:hAnsi="Times New Roman"/>
                <w:b/>
                <w:color w:val="auto"/>
              </w:rPr>
              <w:t>施工固废环境保护措施</w:t>
            </w:r>
          </w:p>
          <w:p w14:paraId="0C114720">
            <w:pPr>
              <w:spacing w:line="360" w:lineRule="auto"/>
              <w:ind w:firstLine="48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生活垃圾应及时清运出场，不得长期堆放，以免腐烂发酵、污染环境，影响公共卫生；</w:t>
            </w:r>
          </w:p>
          <w:p w14:paraId="24793DDA">
            <w:pPr>
              <w:spacing w:line="360" w:lineRule="auto"/>
              <w:ind w:firstLine="48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建筑垃圾可在施工现场定点堆放，定期外运至指定地点填埋，不得随意抛弃；</w:t>
            </w:r>
          </w:p>
          <w:p w14:paraId="4295FCB1">
            <w:pPr>
              <w:pStyle w:val="71"/>
              <w:spacing w:line="360" w:lineRule="auto"/>
              <w:ind w:firstLine="480" w:firstLineChars="200"/>
              <w:rPr>
                <w:rFonts w:ascii="Times New Roman" w:hAnsi="Times New Roman" w:cs="Times New Roman"/>
                <w:color w:val="auto"/>
                <w:kern w:val="0"/>
              </w:rPr>
            </w:pPr>
            <w:r>
              <w:rPr>
                <w:rFonts w:ascii="Times New Roman" w:hAnsi="Times New Roman" w:cs="Times New Roman"/>
                <w:color w:val="auto"/>
              </w:rPr>
              <w:t>③</w:t>
            </w:r>
            <w:r>
              <w:rPr>
                <w:rFonts w:ascii="Times New Roman" w:hAnsi="Times New Roman" w:cs="Times New Roman"/>
                <w:color w:val="auto"/>
                <w:kern w:val="0"/>
                <w:u w:val="none"/>
              </w:rPr>
              <w:t>项目施工</w:t>
            </w:r>
            <w:r>
              <w:rPr>
                <w:rFonts w:ascii="Times New Roman" w:hAnsi="Times New Roman" w:cs="Times New Roman"/>
                <w:color w:val="auto"/>
                <w:kern w:val="0"/>
                <w:u w:val="none"/>
                <w:lang w:val="zh-CN"/>
              </w:rPr>
              <w:t>过程中挖地基</w:t>
            </w:r>
            <w:r>
              <w:rPr>
                <w:rFonts w:ascii="Times New Roman" w:hAnsi="Times New Roman" w:cs="Times New Roman"/>
                <w:color w:val="auto"/>
                <w:kern w:val="0"/>
                <w:u w:val="none"/>
              </w:rPr>
              <w:t>会产生约1000m</w:t>
            </w:r>
            <w:r>
              <w:rPr>
                <w:rFonts w:ascii="Times New Roman" w:hAnsi="Times New Roman" w:cs="Times New Roman"/>
                <w:color w:val="auto"/>
                <w:kern w:val="0"/>
                <w:u w:val="none"/>
                <w:vertAlign w:val="superscript"/>
              </w:rPr>
              <w:t>3</w:t>
            </w:r>
            <w:r>
              <w:rPr>
                <w:rFonts w:ascii="Times New Roman" w:hAnsi="Times New Roman" w:cs="Times New Roman"/>
                <w:color w:val="auto"/>
                <w:u w:val="none"/>
              </w:rPr>
              <w:t>废弃土石方，由建设单位委托专业渣土公司运输至</w:t>
            </w:r>
            <w:r>
              <w:rPr>
                <w:rFonts w:hint="eastAsia" w:cs="Times New Roman"/>
                <w:color w:val="auto"/>
                <w:u w:val="none"/>
                <w:lang w:val="en-US" w:eastAsia="zh-CN"/>
              </w:rPr>
              <w:t>城管部门指定堆放场</w:t>
            </w:r>
            <w:r>
              <w:rPr>
                <w:rFonts w:ascii="Times New Roman" w:hAnsi="Times New Roman" w:cs="Times New Roman"/>
                <w:color w:val="auto"/>
                <w:u w:val="none"/>
              </w:rPr>
              <w:t>；</w:t>
            </w:r>
            <w:r>
              <w:rPr>
                <w:rFonts w:ascii="Times New Roman" w:hAnsi="Times New Roman" w:cs="Times New Roman"/>
                <w:color w:val="auto"/>
              </w:rPr>
              <w:t>生活垃圾应统一收集，由管理人员运至村垃圾堆放点。垃圾运输应按规定的时间、线路清运，倾倒到指定的地点；运输车辆必须完好，避免垃圾等废物洒落，污染环境</w:t>
            </w:r>
            <w:r>
              <w:rPr>
                <w:rFonts w:ascii="Times New Roman" w:hAnsi="Times New Roman" w:cs="Times New Roman"/>
                <w:color w:val="auto"/>
                <w:kern w:val="0"/>
              </w:rPr>
              <w:t>；</w:t>
            </w:r>
          </w:p>
          <w:p w14:paraId="64E9D5D9">
            <w:pPr>
              <w:pStyle w:val="118"/>
              <w:spacing w:line="360" w:lineRule="auto"/>
            </w:pPr>
            <w:r>
              <w:t>④施工结束后，要及时清理施工现场，拆除临时工棚等临时建筑物，废气的建筑材料必须送到指定地点处置。</w:t>
            </w:r>
          </w:p>
        </w:tc>
      </w:tr>
      <w:tr w14:paraId="68386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8" w:hRule="atLeast"/>
          <w:jc w:val="center"/>
        </w:trPr>
        <w:tc>
          <w:tcPr>
            <w:tcW w:w="144" w:type="pct"/>
            <w:tcMar>
              <w:left w:w="28" w:type="dxa"/>
              <w:right w:w="28" w:type="dxa"/>
            </w:tcMar>
            <w:vAlign w:val="center"/>
          </w:tcPr>
          <w:p w14:paraId="61B01A4A">
            <w:pPr>
              <w:adjustRightInd w:val="0"/>
              <w:snapToGrid w:val="0"/>
              <w:jc w:val="center"/>
              <w:outlineLvl w:val="1"/>
              <w:rPr>
                <w:bCs/>
                <w:sz w:val="24"/>
              </w:rPr>
            </w:pPr>
            <w:bookmarkStart w:id="35" w:name="_Toc32409"/>
            <w:bookmarkStart w:id="36" w:name="_Toc11598"/>
            <w:bookmarkStart w:id="37" w:name="_Toc67408760"/>
            <w:bookmarkStart w:id="38" w:name="_Toc27254"/>
            <w:bookmarkStart w:id="39" w:name="_Toc22151"/>
            <w:bookmarkStart w:id="40" w:name="_Toc23763"/>
            <w:bookmarkStart w:id="41" w:name="_Toc7075"/>
            <w:bookmarkStart w:id="42" w:name="_Toc129615031"/>
            <w:r>
              <w:rPr>
                <w:bCs/>
                <w:sz w:val="24"/>
              </w:rPr>
              <w:t>运营期环境影响和保护措施</w:t>
            </w:r>
            <w:bookmarkEnd w:id="35"/>
            <w:bookmarkEnd w:id="36"/>
            <w:bookmarkEnd w:id="37"/>
            <w:bookmarkEnd w:id="38"/>
            <w:bookmarkEnd w:id="39"/>
            <w:bookmarkEnd w:id="40"/>
            <w:bookmarkEnd w:id="41"/>
            <w:bookmarkEnd w:id="42"/>
          </w:p>
        </w:tc>
        <w:tc>
          <w:tcPr>
            <w:tcW w:w="4855" w:type="pct"/>
            <w:vAlign w:val="center"/>
          </w:tcPr>
          <w:p w14:paraId="46979905">
            <w:pPr>
              <w:adjustRightInd w:val="0"/>
              <w:snapToGrid w:val="0"/>
              <w:spacing w:line="360" w:lineRule="auto"/>
              <w:rPr>
                <w:sz w:val="24"/>
              </w:rPr>
            </w:pPr>
            <w:r>
              <w:rPr>
                <w:rFonts w:hint="eastAsia" w:ascii="Times New Roman" w:hAnsi="Times New Roman" w:eastAsia="宋体" w:cs="Times New Roman"/>
                <w:b/>
                <w:bCs/>
                <w:kern w:val="2"/>
                <w:sz w:val="24"/>
                <w:szCs w:val="24"/>
                <w:lang w:val="en-US" w:eastAsia="zh-CN" w:bidi="ar-SA"/>
              </w:rPr>
              <w:t xml:space="preserve">4.5 </w:t>
            </w:r>
            <w:r>
              <w:rPr>
                <w:b/>
                <w:bCs/>
                <w:sz w:val="24"/>
              </w:rPr>
              <w:t>废气</w:t>
            </w:r>
          </w:p>
          <w:p w14:paraId="36C690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项目运营过程中产生的废气主要为油料装卸、油品储存、加油作业过程中产生的石油烃类挥发性有机废气（本环评以非甲烷总烃计）</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备用柴油发电机尾气</w:t>
            </w:r>
            <w:r>
              <w:rPr>
                <w:rFonts w:hint="eastAsia" w:cs="Times New Roman"/>
                <w:color w:val="auto"/>
                <w:sz w:val="24"/>
                <w:highlight w:val="none"/>
                <w:u w:val="none" w:color="auto"/>
                <w:lang w:eastAsia="zh-CN"/>
              </w:rPr>
              <w:t>、</w:t>
            </w:r>
            <w:r>
              <w:rPr>
                <w:rFonts w:hint="eastAsia" w:cs="Times New Roman"/>
                <w:color w:val="auto"/>
                <w:sz w:val="24"/>
                <w:highlight w:val="none"/>
                <w:u w:val="none" w:color="auto"/>
                <w:lang w:val="en-US" w:eastAsia="zh-CN"/>
              </w:rPr>
              <w:t>食堂油烟、汽车尾气</w:t>
            </w:r>
            <w:r>
              <w:rPr>
                <w:rFonts w:hint="default" w:ascii="Times New Roman" w:hAnsi="Times New Roman" w:eastAsia="宋体" w:cs="Times New Roman"/>
                <w:color w:val="auto"/>
                <w:sz w:val="24"/>
                <w:highlight w:val="none"/>
                <w:u w:val="none" w:color="auto"/>
              </w:rPr>
              <w:t>。根据建设单位提供资料，本项目</w:t>
            </w:r>
            <w:r>
              <w:rPr>
                <w:rFonts w:ascii="Times New Roman" w:hAnsi="Times New Roman"/>
                <w:color w:val="auto"/>
                <w:sz w:val="24"/>
                <w:highlight w:val="none"/>
              </w:rPr>
              <w:t>预计年销售</w:t>
            </w:r>
            <w:r>
              <w:rPr>
                <w:rFonts w:hint="eastAsia" w:ascii="Times New Roman" w:hAnsi="Times New Roman"/>
                <w:color w:val="auto"/>
                <w:sz w:val="24"/>
                <w:highlight w:val="none"/>
              </w:rPr>
              <w:t>92#</w:t>
            </w:r>
            <w:r>
              <w:rPr>
                <w:rFonts w:hint="eastAsia" w:ascii="Times New Roman" w:hAnsi="Times New Roman"/>
                <w:color w:val="auto"/>
                <w:sz w:val="24"/>
                <w:highlight w:val="none"/>
                <w:lang w:val="en-US" w:eastAsia="zh-CN"/>
              </w:rPr>
              <w:t>汽油</w:t>
            </w:r>
            <w:r>
              <w:rPr>
                <w:rFonts w:hint="eastAsia" w:ascii="Times New Roman" w:hAnsi="Times New Roman"/>
                <w:color w:val="auto"/>
                <w:sz w:val="24"/>
                <w:highlight w:val="none"/>
              </w:rPr>
              <w:t>500吨，95#</w:t>
            </w:r>
            <w:r>
              <w:rPr>
                <w:rFonts w:hint="eastAsia" w:ascii="Times New Roman" w:hAnsi="Times New Roman"/>
                <w:color w:val="auto"/>
                <w:sz w:val="24"/>
                <w:highlight w:val="none"/>
                <w:lang w:val="en-US" w:eastAsia="zh-CN"/>
              </w:rPr>
              <w:t>汽油</w:t>
            </w:r>
            <w:r>
              <w:rPr>
                <w:rFonts w:hint="eastAsia" w:ascii="Times New Roman" w:hAnsi="Times New Roman"/>
                <w:color w:val="auto"/>
                <w:sz w:val="24"/>
                <w:highlight w:val="none"/>
              </w:rPr>
              <w:t>220吨，0#柴油360吨</w:t>
            </w:r>
            <w:r>
              <w:rPr>
                <w:rFonts w:hint="default" w:ascii="Times New Roman" w:hAnsi="Times New Roman" w:eastAsia="宋体" w:cs="Times New Roman"/>
                <w:color w:val="auto"/>
                <w:sz w:val="24"/>
                <w:highlight w:val="none"/>
                <w:u w:val="none" w:color="auto"/>
              </w:rPr>
              <w:t>。</w:t>
            </w:r>
          </w:p>
          <w:p w14:paraId="139157B0">
            <w:pPr>
              <w:adjustRightInd w:val="0"/>
              <w:snapToGrid w:val="0"/>
              <w:spacing w:line="360" w:lineRule="auto"/>
              <w:rPr>
                <w:b/>
                <w:bCs/>
                <w:color w:val="auto"/>
                <w:kern w:val="24"/>
                <w:u w:val="none"/>
              </w:rPr>
            </w:pPr>
            <w:r>
              <w:rPr>
                <w:rFonts w:hint="eastAsia" w:ascii="Times New Roman" w:hAnsi="Times New Roman" w:eastAsia="宋体" w:cs="Times New Roman"/>
                <w:b/>
                <w:bCs/>
                <w:kern w:val="2"/>
                <w:sz w:val="24"/>
                <w:szCs w:val="24"/>
                <w:lang w:val="en-US" w:eastAsia="zh-CN" w:bidi="ar-SA"/>
              </w:rPr>
              <w:t xml:space="preserve">4.5.1 </w:t>
            </w:r>
            <w:r>
              <w:rPr>
                <w:b/>
                <w:bCs/>
                <w:color w:val="auto"/>
                <w:kern w:val="24"/>
                <w:sz w:val="24"/>
                <w:szCs w:val="32"/>
                <w:u w:val="none"/>
              </w:rPr>
              <w:t>废气污染物产排分析及环保措施</w:t>
            </w:r>
          </w:p>
          <w:p w14:paraId="53702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u w:val="single"/>
                <w:lang w:val="en-US" w:eastAsia="zh-CN"/>
              </w:rPr>
              <w:t>①汽油油罐大小呼吸、加油机作业等排放的废气</w:t>
            </w:r>
          </w:p>
          <w:p w14:paraId="7C520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szCs w:val="24"/>
                <w:u w:val="single"/>
              </w:rPr>
            </w:pPr>
            <w:r>
              <w:rPr>
                <w:rFonts w:hint="default"/>
                <w:sz w:val="24"/>
                <w:szCs w:val="24"/>
                <w:u w:val="single"/>
              </w:rPr>
              <w:t>储油罐大呼吸损失是指油罐进发油时所呼出的油气（主要为非甲烷总烃）而造成的油品蒸发损失。油罐进油时，由于油面逐渐升高，气体空间逐渐减小，罐内压力增大，当压力超过呼吸阀控制压力时，一定浓度的油气开始从呼吸阀呼出，直到油罐停止收油。参考《成品油销售业汽油油气排放控制标准》，储油罐大呼吸时烃类气体平均排放率约0.88kg/m</w:t>
            </w:r>
            <w:r>
              <w:rPr>
                <w:rFonts w:hint="default"/>
                <w:sz w:val="24"/>
                <w:szCs w:val="24"/>
                <w:u w:val="single"/>
                <w:vertAlign w:val="superscript"/>
              </w:rPr>
              <w:t>3</w:t>
            </w:r>
            <w:r>
              <w:rPr>
                <w:rFonts w:hint="default"/>
                <w:sz w:val="24"/>
                <w:szCs w:val="24"/>
                <w:u w:val="single"/>
              </w:rPr>
              <w:t>通过量。</w:t>
            </w:r>
          </w:p>
          <w:p w14:paraId="31A22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szCs w:val="24"/>
                <w:u w:val="single"/>
              </w:rPr>
            </w:pPr>
            <w:r>
              <w:rPr>
                <w:rFonts w:hint="default"/>
                <w:sz w:val="24"/>
                <w:szCs w:val="24"/>
                <w:u w:val="single"/>
              </w:rPr>
              <w:t>油罐小呼吸损失是指在没有收发油的情况下，随着外界气温、压力在一天内的升降周期变化，罐内气体空间温度、油品蒸发速度、油气浓度和蒸汽压力也随之变化，此时油罐会排出油气和吸入空气，从而造成油气损失。参考《环评工程师职业资格登记培训材料</w:t>
            </w:r>
            <w:r>
              <w:rPr>
                <w:rFonts w:hint="eastAsia"/>
                <w:sz w:val="24"/>
                <w:szCs w:val="24"/>
                <w:u w:val="single"/>
              </w:rPr>
              <w:t>-</w:t>
            </w:r>
            <w:r>
              <w:rPr>
                <w:rFonts w:hint="default"/>
                <w:sz w:val="24"/>
                <w:szCs w:val="24"/>
                <w:u w:val="single"/>
              </w:rPr>
              <w:t>社会区域类》P179-180，储油罐小呼吸造成的烃类气体平均排放率约0.12kg/m</w:t>
            </w:r>
            <w:r>
              <w:rPr>
                <w:rFonts w:hint="eastAsia"/>
                <w:sz w:val="24"/>
                <w:szCs w:val="24"/>
                <w:u w:val="single"/>
                <w:vertAlign w:val="superscript"/>
              </w:rPr>
              <w:t>3</w:t>
            </w:r>
            <w:r>
              <w:rPr>
                <w:rFonts w:hint="default"/>
                <w:sz w:val="24"/>
                <w:szCs w:val="24"/>
                <w:u w:val="single"/>
              </w:rPr>
              <w:t>通过量。</w:t>
            </w:r>
          </w:p>
          <w:p w14:paraId="61D7AF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szCs w:val="24"/>
                <w:u w:val="single"/>
              </w:rPr>
            </w:pPr>
            <w:r>
              <w:rPr>
                <w:rFonts w:hint="default" w:ascii="Times New Roman" w:hAnsi="Times New Roman"/>
                <w:sz w:val="24"/>
                <w:szCs w:val="24"/>
                <w:u w:val="single"/>
              </w:rPr>
              <w:t>加油作业损失主要指为车辆加油时，油品进入汽车油箱，油箱内的烃类气体被油品置换排入大气。车辆加油时造成的烃类气体排放速率约0.11kg/m</w:t>
            </w:r>
            <w:r>
              <w:rPr>
                <w:rFonts w:hint="eastAsia" w:ascii="Times New Roman" w:hAnsi="Times New Roman"/>
                <w:sz w:val="24"/>
                <w:szCs w:val="24"/>
                <w:u w:val="single"/>
                <w:vertAlign w:val="superscript"/>
              </w:rPr>
              <w:t>3</w:t>
            </w:r>
            <w:r>
              <w:rPr>
                <w:rFonts w:hint="default" w:ascii="Times New Roman" w:hAnsi="Times New Roman"/>
                <w:sz w:val="24"/>
                <w:szCs w:val="24"/>
                <w:u w:val="single"/>
              </w:rPr>
              <w:t>通过量。在加油机作业过程中，不可避免地有一些成品油跑、冒、滴、漏现象的发生。跑冒滴漏量与加油站的管理、加油工人的操作水平等诸多因素有关，成品油的跑、冒、滴、漏烃类气体平均损失量约0.036kg/m</w:t>
            </w:r>
            <w:r>
              <w:rPr>
                <w:rFonts w:hint="eastAsia" w:ascii="Times New Roman" w:hAnsi="Times New Roman"/>
                <w:sz w:val="24"/>
                <w:szCs w:val="24"/>
                <w:u w:val="single"/>
                <w:vertAlign w:val="superscript"/>
              </w:rPr>
              <w:t>3</w:t>
            </w:r>
            <w:r>
              <w:rPr>
                <w:rFonts w:hint="default" w:ascii="Times New Roman" w:hAnsi="Times New Roman"/>
                <w:sz w:val="24"/>
                <w:szCs w:val="24"/>
                <w:u w:val="single"/>
              </w:rPr>
              <w:t>通过量。</w:t>
            </w:r>
          </w:p>
          <w:p w14:paraId="39AECD90">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single"/>
                <w:lang w:val="en-US" w:eastAsia="zh-CN"/>
              </w:rPr>
            </w:pPr>
            <w:r>
              <w:rPr>
                <w:rFonts w:hint="eastAsia" w:cs="Times New Roman"/>
                <w:color w:val="auto"/>
                <w:sz w:val="24"/>
                <w:szCs w:val="24"/>
                <w:highlight w:val="none"/>
                <w:u w:val="single"/>
                <w:lang w:val="en-US" w:eastAsia="zh-CN"/>
              </w:rPr>
              <w:t>②柴油油罐大小呼吸、加油机作业等排放的废气</w:t>
            </w:r>
          </w:p>
          <w:p w14:paraId="2F6053FB">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24"/>
                <w:u w:val="single"/>
              </w:rPr>
            </w:pPr>
            <w:r>
              <w:rPr>
                <w:rFonts w:hint="default"/>
                <w:sz w:val="24"/>
                <w:szCs w:val="24"/>
                <w:u w:val="single"/>
              </w:rPr>
              <w:t>根据《中国加油站VOC 排放污染现状及控制》（环境科学·第27卷第8期2006年8月），未安装油气回收系统的柴油储罐大呼吸产生的烃类气体排放因子为0.027kg/m</w:t>
            </w:r>
            <w:r>
              <w:rPr>
                <w:rFonts w:hint="eastAsia"/>
                <w:sz w:val="24"/>
                <w:szCs w:val="24"/>
                <w:u w:val="single"/>
                <w:vertAlign w:val="superscript"/>
              </w:rPr>
              <w:t>3</w:t>
            </w:r>
            <w:r>
              <w:rPr>
                <w:rFonts w:hint="default"/>
                <w:sz w:val="24"/>
                <w:szCs w:val="24"/>
                <w:u w:val="single"/>
              </w:rPr>
              <w:t>； 柴油储罐小呼吸损失极小，因此忽略不计。根据《中国加油站VOC排放污染现状及控制》（环境科学·第27卷第8期2006年8月），未安装油气回收系统的柴油加油机在进行加油时，产生的烃类气体排放因子为0.048kg/m</w:t>
            </w:r>
            <w:r>
              <w:rPr>
                <w:rFonts w:hint="eastAsia"/>
                <w:sz w:val="24"/>
                <w:szCs w:val="24"/>
                <w:u w:val="single"/>
                <w:vertAlign w:val="superscript"/>
              </w:rPr>
              <w:t>3</w:t>
            </w:r>
            <w:r>
              <w:rPr>
                <w:rFonts w:hint="default"/>
                <w:sz w:val="24"/>
                <w:szCs w:val="24"/>
                <w:u w:val="single"/>
              </w:rPr>
              <w:t>。</w:t>
            </w:r>
          </w:p>
          <w:p w14:paraId="30F7B042">
            <w:pPr>
              <w:keepNext w:val="0"/>
              <w:keepLines w:val="0"/>
              <w:suppressLineNumbers w:val="0"/>
              <w:adjustRightInd w:val="0"/>
              <w:snapToGrid w:val="0"/>
              <w:spacing w:before="0" w:beforeAutospacing="0" w:after="0" w:afterAutospacing="0" w:line="360" w:lineRule="auto"/>
              <w:ind w:left="0" w:right="0" w:firstLine="480" w:firstLineChars="200"/>
              <w:rPr>
                <w:rFonts w:hint="eastAsia"/>
                <w:sz w:val="24"/>
                <w:szCs w:val="24"/>
                <w:u w:val="single"/>
                <w:lang w:eastAsia="zh-CN"/>
              </w:rPr>
            </w:pPr>
            <w:r>
              <w:rPr>
                <w:rFonts w:hint="default"/>
                <w:sz w:val="24"/>
                <w:szCs w:val="24"/>
                <w:u w:val="single"/>
              </w:rPr>
              <w:t>本项目</w:t>
            </w:r>
            <w:r>
              <w:rPr>
                <w:rFonts w:hint="eastAsia"/>
                <w:sz w:val="24"/>
                <w:szCs w:val="24"/>
                <w:u w:val="single"/>
                <w:lang w:val="en-US" w:eastAsia="zh-CN"/>
              </w:rPr>
              <w:t>柴油销售量360吨/年（柴油密度 0.86g/ml），</w:t>
            </w:r>
            <w:r>
              <w:rPr>
                <w:rFonts w:hint="eastAsia"/>
                <w:sz w:val="24"/>
                <w:szCs w:val="24"/>
                <w:u w:val="single"/>
              </w:rPr>
              <w:t>柴油油品年通过量=</w:t>
            </w:r>
            <w:r>
              <w:rPr>
                <w:rFonts w:hint="eastAsia"/>
                <w:sz w:val="24"/>
                <w:szCs w:val="24"/>
                <w:u w:val="single"/>
                <w:lang w:val="en-US" w:eastAsia="zh-CN"/>
              </w:rPr>
              <w:t>360000</w:t>
            </w:r>
            <w:r>
              <w:rPr>
                <w:rFonts w:hint="eastAsia"/>
                <w:sz w:val="24"/>
                <w:szCs w:val="24"/>
                <w:u w:val="single"/>
              </w:rPr>
              <w:t>kg÷</w:t>
            </w:r>
            <w:r>
              <w:rPr>
                <w:rFonts w:hint="eastAsia"/>
                <w:sz w:val="24"/>
                <w:szCs w:val="24"/>
                <w:u w:val="single"/>
                <w:lang w:val="en-US" w:eastAsia="zh-CN"/>
              </w:rPr>
              <w:t>860</w:t>
            </w:r>
            <w:r>
              <w:rPr>
                <w:rFonts w:hint="eastAsia"/>
                <w:sz w:val="24"/>
                <w:szCs w:val="24"/>
                <w:u w:val="single"/>
              </w:rPr>
              <w:t>kg/m</w:t>
            </w:r>
            <w:r>
              <w:rPr>
                <w:rFonts w:hint="eastAsia"/>
                <w:sz w:val="24"/>
                <w:szCs w:val="24"/>
                <w:u w:val="single"/>
                <w:vertAlign w:val="superscript"/>
              </w:rPr>
              <w:t>3</w:t>
            </w:r>
            <w:r>
              <w:rPr>
                <w:rFonts w:hint="eastAsia"/>
                <w:sz w:val="24"/>
                <w:szCs w:val="24"/>
                <w:u w:val="single"/>
              </w:rPr>
              <w:t>=</w:t>
            </w:r>
            <w:r>
              <w:rPr>
                <w:rFonts w:hint="eastAsia"/>
                <w:sz w:val="24"/>
                <w:szCs w:val="24"/>
                <w:u w:val="single"/>
                <w:lang w:val="en-US" w:eastAsia="zh-CN"/>
              </w:rPr>
              <w:t>418.6</w:t>
            </w:r>
            <w:r>
              <w:rPr>
                <w:rFonts w:hint="eastAsia"/>
                <w:sz w:val="24"/>
                <w:szCs w:val="24"/>
                <w:u w:val="single"/>
              </w:rPr>
              <w:t>m</w:t>
            </w:r>
            <w:r>
              <w:rPr>
                <w:rFonts w:hint="eastAsia"/>
                <w:sz w:val="24"/>
                <w:szCs w:val="24"/>
                <w:u w:val="single"/>
                <w:vertAlign w:val="superscript"/>
              </w:rPr>
              <w:t>3</w:t>
            </w:r>
            <w:r>
              <w:rPr>
                <w:rFonts w:hint="eastAsia"/>
                <w:sz w:val="24"/>
                <w:szCs w:val="24"/>
                <w:u w:val="single"/>
              </w:rPr>
              <w:t>/a。</w:t>
            </w:r>
            <w:r>
              <w:rPr>
                <w:rFonts w:hint="eastAsia"/>
                <w:sz w:val="24"/>
                <w:szCs w:val="24"/>
                <w:u w:val="single"/>
                <w:lang w:eastAsia="zh-CN"/>
              </w:rPr>
              <w:t>汽油销售量</w:t>
            </w:r>
            <w:r>
              <w:rPr>
                <w:rFonts w:hint="eastAsia"/>
                <w:sz w:val="24"/>
                <w:szCs w:val="24"/>
                <w:u w:val="single"/>
                <w:lang w:val="en-US" w:eastAsia="zh-CN"/>
              </w:rPr>
              <w:t>720吨/年</w:t>
            </w:r>
            <w:r>
              <w:rPr>
                <w:rFonts w:hint="default"/>
                <w:sz w:val="24"/>
                <w:szCs w:val="24"/>
                <w:u w:val="single"/>
              </w:rPr>
              <w:t>（</w:t>
            </w:r>
            <w:r>
              <w:rPr>
                <w:rFonts w:hint="eastAsia"/>
                <w:sz w:val="24"/>
                <w:szCs w:val="24"/>
                <w:u w:val="single"/>
                <w:lang w:eastAsia="zh-CN"/>
              </w:rPr>
              <w:t>汽油</w:t>
            </w:r>
            <w:r>
              <w:rPr>
                <w:rFonts w:hint="default"/>
                <w:sz w:val="24"/>
                <w:szCs w:val="24"/>
                <w:u w:val="single"/>
              </w:rPr>
              <w:t>密度0.75g/ml）</w:t>
            </w:r>
            <w:r>
              <w:rPr>
                <w:rFonts w:hint="eastAsia"/>
                <w:sz w:val="24"/>
                <w:szCs w:val="24"/>
                <w:u w:val="single"/>
                <w:lang w:eastAsia="zh-CN"/>
              </w:rPr>
              <w:t>，汽油油品通过量</w:t>
            </w:r>
            <w:r>
              <w:rPr>
                <w:rFonts w:hint="eastAsia"/>
                <w:sz w:val="24"/>
                <w:szCs w:val="24"/>
                <w:u w:val="single"/>
                <w:lang w:val="en-US" w:eastAsia="zh-CN"/>
              </w:rPr>
              <w:t>=720000</w:t>
            </w:r>
            <w:r>
              <w:rPr>
                <w:rFonts w:hint="eastAsia"/>
                <w:sz w:val="24"/>
                <w:szCs w:val="24"/>
                <w:u w:val="single"/>
              </w:rPr>
              <w:t>kg÷</w:t>
            </w:r>
            <w:r>
              <w:rPr>
                <w:rFonts w:hint="eastAsia"/>
                <w:sz w:val="24"/>
                <w:szCs w:val="24"/>
                <w:u w:val="single"/>
                <w:lang w:val="en-US" w:eastAsia="zh-CN"/>
              </w:rPr>
              <w:t>750</w:t>
            </w:r>
            <w:r>
              <w:rPr>
                <w:rFonts w:hint="eastAsia"/>
                <w:sz w:val="24"/>
                <w:szCs w:val="24"/>
                <w:u w:val="single"/>
              </w:rPr>
              <w:t>kg/m</w:t>
            </w:r>
            <w:r>
              <w:rPr>
                <w:rFonts w:hint="eastAsia"/>
                <w:sz w:val="24"/>
                <w:szCs w:val="24"/>
                <w:u w:val="single"/>
                <w:vertAlign w:val="superscript"/>
              </w:rPr>
              <w:t>3</w:t>
            </w:r>
            <w:r>
              <w:rPr>
                <w:rFonts w:hint="eastAsia"/>
                <w:sz w:val="24"/>
                <w:szCs w:val="24"/>
                <w:u w:val="single"/>
              </w:rPr>
              <w:t>=</w:t>
            </w:r>
            <w:r>
              <w:rPr>
                <w:rFonts w:hint="eastAsia"/>
                <w:sz w:val="24"/>
                <w:szCs w:val="24"/>
                <w:u w:val="single"/>
                <w:lang w:val="en-US" w:eastAsia="zh-CN"/>
              </w:rPr>
              <w:t>960</w:t>
            </w:r>
            <w:r>
              <w:rPr>
                <w:rFonts w:hint="eastAsia"/>
                <w:sz w:val="24"/>
                <w:szCs w:val="24"/>
                <w:u w:val="single"/>
              </w:rPr>
              <w:t>m</w:t>
            </w:r>
            <w:r>
              <w:rPr>
                <w:rFonts w:hint="eastAsia"/>
                <w:sz w:val="24"/>
                <w:szCs w:val="24"/>
                <w:u w:val="single"/>
                <w:vertAlign w:val="superscript"/>
              </w:rPr>
              <w:t>3</w:t>
            </w:r>
            <w:r>
              <w:rPr>
                <w:rFonts w:hint="eastAsia"/>
                <w:sz w:val="24"/>
                <w:szCs w:val="24"/>
                <w:u w:val="single"/>
              </w:rPr>
              <w:t>/a</w:t>
            </w:r>
            <w:r>
              <w:rPr>
                <w:rFonts w:hint="eastAsia"/>
                <w:sz w:val="24"/>
                <w:szCs w:val="24"/>
                <w:u w:val="single"/>
                <w:lang w:eastAsia="zh-CN"/>
              </w:rPr>
              <w:t>。</w:t>
            </w:r>
          </w:p>
          <w:p w14:paraId="3C15AAE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rPr>
              <w:t>本项目在汽油加油和卸油口均安装了油气回收系统，油罐车在加油站装卸油料时，可将油气重新输送回油罐车里，完成油气循环卸油过程，此过程为一次油气回收。回收到油罐车的油气，可由油罐车带回油库后再经冷凝、吸附或燃烧等方式处理，这一系统实施后其回收率可达</w:t>
            </w:r>
            <w:r>
              <w:rPr>
                <w:rFonts w:hint="eastAsia" w:ascii="Times New Roman" w:hAnsi="Times New Roman" w:eastAsia="宋体" w:cs="Times New Roman"/>
                <w:sz w:val="24"/>
                <w:szCs w:val="24"/>
                <w:u w:val="single"/>
                <w:lang w:val="en-US" w:eastAsia="zh-CN"/>
              </w:rPr>
              <w:t>95</w:t>
            </w:r>
            <w:r>
              <w:rPr>
                <w:rFonts w:hint="default" w:ascii="Times New Roman" w:hAnsi="Times New Roman" w:eastAsia="宋体" w:cs="Times New Roman"/>
                <w:sz w:val="24"/>
                <w:szCs w:val="24"/>
                <w:u w:val="single"/>
              </w:rPr>
              <w:t>%。在汽车加油时，利用油枪上的特殊装置，将原本会由汽车油箱逸散于空气中的油气，经加油枪、抽气马达汇入油罐内，此过程为二次油气回收，其回收的效率为（85%~95%），本项目取9</w:t>
            </w:r>
            <w:r>
              <w:rPr>
                <w:rFonts w:hint="eastAsia" w:ascii="Times New Roman" w:hAnsi="Times New Roman" w:eastAsia="宋体" w:cs="Times New Roman"/>
                <w:sz w:val="24"/>
                <w:szCs w:val="24"/>
                <w:u w:val="single"/>
                <w:lang w:val="en-US" w:eastAsia="zh-CN"/>
              </w:rPr>
              <w:t>0</w:t>
            </w:r>
            <w:r>
              <w:rPr>
                <w:rFonts w:hint="default" w:ascii="Times New Roman" w:hAnsi="Times New Roman" w:eastAsia="宋体" w:cs="Times New Roman"/>
                <w:sz w:val="24"/>
                <w:szCs w:val="24"/>
                <w:u w:val="single"/>
              </w:rPr>
              <w:t>%，经过油气回收系统处理后可降低非甲烷总烃的排放量。</w:t>
            </w:r>
            <w:r>
              <w:rPr>
                <w:rFonts w:hint="eastAsia" w:ascii="Times New Roman" w:hAnsi="Times New Roman" w:eastAsia="宋体" w:cs="Times New Roman"/>
                <w:sz w:val="24"/>
                <w:szCs w:val="24"/>
                <w:u w:val="single"/>
                <w:lang w:eastAsia="zh-CN"/>
              </w:rPr>
              <w:t>三次油气回收是</w:t>
            </w:r>
            <w:r>
              <w:rPr>
                <w:rFonts w:hint="eastAsia" w:ascii="Times New Roman" w:hAnsi="Times New Roman" w:eastAsia="宋体" w:cs="Times New Roman"/>
                <w:sz w:val="24"/>
                <w:szCs w:val="24"/>
                <w:u w:val="single"/>
              </w:rPr>
              <w:t>针对油气回收系统收集的油气，通过采用冷凝</w:t>
            </w:r>
            <w:r>
              <w:rPr>
                <w:rFonts w:hint="eastAsia" w:ascii="Times New Roman" w:hAnsi="Times New Roman" w:eastAsia="宋体" w:cs="Times New Roman"/>
                <w:sz w:val="24"/>
                <w:szCs w:val="24"/>
                <w:u w:val="single"/>
                <w:lang w:val="en-US" w:eastAsia="zh-CN"/>
              </w:rPr>
              <w:t>+活性炭吸附的</w:t>
            </w:r>
            <w:r>
              <w:rPr>
                <w:rFonts w:hint="eastAsia" w:ascii="Times New Roman" w:hAnsi="Times New Roman" w:eastAsia="宋体" w:cs="Times New Roman"/>
                <w:sz w:val="24"/>
                <w:szCs w:val="24"/>
                <w:u w:val="single"/>
              </w:rPr>
              <w:t>方法对油气进行处理回收的装置</w:t>
            </w:r>
            <w:r>
              <w:rPr>
                <w:rFonts w:hint="eastAsia" w:ascii="Times New Roman" w:hAnsi="Times New Roman" w:eastAsia="宋体" w:cs="Times New Roman"/>
                <w:sz w:val="24"/>
                <w:szCs w:val="24"/>
                <w:u w:val="single"/>
                <w:lang w:val="en-US" w:eastAsia="zh-CN"/>
              </w:rPr>
              <w:t>，处理效率为</w:t>
            </w:r>
            <w:r>
              <w:rPr>
                <w:rFonts w:hint="eastAsia" w:ascii="Times New Roman" w:hAnsi="Times New Roman" w:eastAsia="宋体" w:cs="Times New Roman"/>
                <w:sz w:val="24"/>
                <w:szCs w:val="24"/>
                <w:u w:val="single"/>
              </w:rPr>
              <w:t>95%</w:t>
            </w:r>
            <w:r>
              <w:rPr>
                <w:rFonts w:hint="eastAsia" w:ascii="Times New Roman" w:hAnsi="Times New Roman" w:eastAsia="宋体" w:cs="Times New Roman"/>
                <w:sz w:val="24"/>
                <w:szCs w:val="24"/>
                <w:u w:val="single"/>
                <w:lang w:eastAsia="zh-CN"/>
              </w:rPr>
              <w:t>。</w:t>
            </w:r>
          </w:p>
          <w:p w14:paraId="6645434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对照《汽车加油加气站设计与施工规范》（GB50156-2012）（2014 年局部修订版）中“加油油气回收系统”定义，柴油无油气回收要求。本项目非甲烷总烃</w:t>
            </w:r>
            <w:r>
              <w:rPr>
                <w:rFonts w:hint="eastAsia" w:ascii="Times New Roman" w:hAnsi="Times New Roman" w:eastAsia="宋体" w:cs="Times New Roman"/>
                <w:sz w:val="24"/>
                <w:szCs w:val="24"/>
                <w:u w:val="single"/>
                <w:lang w:val="en-US" w:eastAsia="zh-CN"/>
              </w:rPr>
              <w:t>产生及</w:t>
            </w:r>
            <w:r>
              <w:rPr>
                <w:rFonts w:hint="default" w:ascii="Times New Roman" w:hAnsi="Times New Roman" w:eastAsia="宋体" w:cs="Times New Roman"/>
                <w:sz w:val="24"/>
                <w:szCs w:val="24"/>
                <w:u w:val="single"/>
              </w:rPr>
              <w:t>排放量见表4-</w:t>
            </w:r>
            <w:r>
              <w:rPr>
                <w:rFonts w:hint="eastAsia" w:ascii="Times New Roman" w:hAnsi="Times New Roman" w:eastAsia="宋体" w:cs="Times New Roman"/>
                <w:sz w:val="24"/>
                <w:szCs w:val="24"/>
                <w:u w:val="single"/>
                <w:lang w:val="en-US" w:eastAsia="zh-CN"/>
              </w:rPr>
              <w:t>1</w:t>
            </w:r>
            <w:r>
              <w:rPr>
                <w:rFonts w:hint="default" w:ascii="Times New Roman" w:hAnsi="Times New Roman" w:eastAsia="宋体" w:cs="Times New Roman"/>
                <w:sz w:val="24"/>
                <w:szCs w:val="24"/>
                <w:u w:val="single"/>
              </w:rPr>
              <w:t>。</w:t>
            </w:r>
          </w:p>
          <w:p w14:paraId="3A2FDB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0"/>
                <w:sz w:val="24"/>
                <w:szCs w:val="24"/>
                <w:highlight w:val="none"/>
                <w:u w:val="single"/>
                <w:lang w:val="en-US" w:eastAsia="zh-CN" w:bidi="ar-SA"/>
              </w:rPr>
            </w:pPr>
            <w:r>
              <w:rPr>
                <w:rFonts w:hint="default" w:ascii="Times New Roman" w:hAnsi="Times New Roman" w:eastAsia="宋体" w:cs="Times New Roman"/>
                <w:b/>
                <w:bCs/>
                <w:snapToGrid w:val="0"/>
                <w:color w:val="auto"/>
                <w:kern w:val="0"/>
                <w:sz w:val="24"/>
                <w:szCs w:val="24"/>
                <w:highlight w:val="none"/>
                <w:u w:val="single"/>
                <w:lang w:val="en-US" w:eastAsia="zh-CN" w:bidi="ar-SA"/>
              </w:rPr>
              <w:t>表4-</w:t>
            </w:r>
            <w:r>
              <w:rPr>
                <w:rFonts w:hint="eastAsia" w:ascii="Times New Roman" w:hAnsi="Times New Roman" w:eastAsia="宋体" w:cs="Times New Roman"/>
                <w:b/>
                <w:bCs/>
                <w:snapToGrid w:val="0"/>
                <w:color w:val="auto"/>
                <w:kern w:val="0"/>
                <w:sz w:val="24"/>
                <w:szCs w:val="24"/>
                <w:highlight w:val="none"/>
                <w:u w:val="single"/>
                <w:lang w:val="en-US" w:eastAsia="zh-CN" w:bidi="ar-SA"/>
              </w:rPr>
              <w:t xml:space="preserve">1 </w:t>
            </w:r>
            <w:r>
              <w:rPr>
                <w:rFonts w:hint="default" w:ascii="Times New Roman" w:hAnsi="Times New Roman" w:eastAsia="宋体" w:cs="Times New Roman"/>
                <w:b/>
                <w:bCs/>
                <w:snapToGrid w:val="0"/>
                <w:color w:val="auto"/>
                <w:kern w:val="0"/>
                <w:sz w:val="24"/>
                <w:szCs w:val="24"/>
                <w:highlight w:val="none"/>
                <w:u w:val="single"/>
                <w:lang w:val="en-US" w:eastAsia="zh-CN" w:bidi="ar-SA"/>
              </w:rPr>
              <w:t>非甲烷总烃产生</w:t>
            </w:r>
            <w:r>
              <w:rPr>
                <w:rFonts w:hint="eastAsia" w:cs="Times New Roman"/>
                <w:b/>
                <w:bCs/>
                <w:snapToGrid w:val="0"/>
                <w:color w:val="auto"/>
                <w:kern w:val="0"/>
                <w:sz w:val="24"/>
                <w:szCs w:val="24"/>
                <w:highlight w:val="none"/>
                <w:u w:val="single"/>
                <w:lang w:val="en-US" w:eastAsia="zh-CN" w:bidi="ar-SA"/>
              </w:rPr>
              <w:t>和排放情况</w:t>
            </w:r>
            <w:r>
              <w:rPr>
                <w:rFonts w:hint="default" w:ascii="Times New Roman" w:hAnsi="Times New Roman" w:eastAsia="宋体" w:cs="Times New Roman"/>
                <w:b/>
                <w:bCs/>
                <w:snapToGrid w:val="0"/>
                <w:color w:val="auto"/>
                <w:kern w:val="0"/>
                <w:sz w:val="24"/>
                <w:szCs w:val="24"/>
                <w:highlight w:val="none"/>
                <w:u w:val="single"/>
                <w:lang w:val="en-US" w:eastAsia="zh-CN" w:bidi="ar-SA"/>
              </w:rPr>
              <w:t>一览表</w:t>
            </w:r>
          </w:p>
          <w:tbl>
            <w:tblPr>
              <w:tblStyle w:val="52"/>
              <w:tblW w:w="4998"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035"/>
              <w:gridCol w:w="1444"/>
              <w:gridCol w:w="997"/>
              <w:gridCol w:w="1405"/>
              <w:gridCol w:w="1405"/>
              <w:gridCol w:w="1406"/>
            </w:tblGrid>
            <w:tr w14:paraId="42E2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7990394D">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b/>
                      <w:bCs/>
                      <w:sz w:val="21"/>
                      <w:szCs w:val="21"/>
                      <w:u w:val="single"/>
                    </w:rPr>
                  </w:pPr>
                  <w:r>
                    <w:rPr>
                      <w:rFonts w:hint="eastAsia" w:ascii="Times New Roman" w:hAnsi="Times New Roman"/>
                      <w:b/>
                      <w:bCs/>
                      <w:sz w:val="21"/>
                      <w:szCs w:val="21"/>
                      <w:u w:val="single"/>
                    </w:rPr>
                    <w:t>项目</w:t>
                  </w:r>
                </w:p>
              </w:tc>
              <w:tc>
                <w:tcPr>
                  <w:tcW w:w="850" w:type="pct"/>
                  <w:vAlign w:val="center"/>
                </w:tcPr>
                <w:p w14:paraId="18504F70">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b/>
                      <w:bCs/>
                      <w:sz w:val="21"/>
                      <w:szCs w:val="21"/>
                      <w:u w:val="single"/>
                    </w:rPr>
                  </w:pPr>
                  <w:r>
                    <w:rPr>
                      <w:rFonts w:hint="default" w:ascii="Times New Roman" w:hAnsi="Times New Roman"/>
                      <w:b/>
                      <w:bCs/>
                      <w:sz w:val="21"/>
                      <w:szCs w:val="21"/>
                      <w:u w:val="single"/>
                    </w:rPr>
                    <w:t>排放系数</w:t>
                  </w:r>
                </w:p>
                <w:p w14:paraId="4013426A">
                  <w:pPr>
                    <w:keepNext w:val="0"/>
                    <w:keepLines w:val="0"/>
                    <w:suppressLineNumbers w:val="0"/>
                    <w:spacing w:before="0" w:beforeAutospacing="0" w:after="0" w:afterAutospacing="0"/>
                    <w:ind w:left="0" w:right="0"/>
                    <w:jc w:val="center"/>
                    <w:rPr>
                      <w:rFonts w:hint="default"/>
                      <w:sz w:val="21"/>
                      <w:szCs w:val="21"/>
                      <w:u w:val="single"/>
                    </w:rPr>
                  </w:pPr>
                  <w:r>
                    <w:rPr>
                      <w:rFonts w:hint="default" w:ascii="Times New Roman" w:hAnsi="Times New Roman"/>
                      <w:b/>
                      <w:bCs/>
                      <w:sz w:val="21"/>
                      <w:szCs w:val="21"/>
                      <w:u w:val="single"/>
                    </w:rPr>
                    <w:t>kg/m</w:t>
                  </w:r>
                  <w:r>
                    <w:rPr>
                      <w:rFonts w:hint="eastAsia" w:ascii="Times New Roman" w:hAnsi="Times New Roman"/>
                      <w:b/>
                      <w:bCs/>
                      <w:sz w:val="21"/>
                      <w:szCs w:val="21"/>
                      <w:u w:val="single"/>
                      <w:vertAlign w:val="superscript"/>
                    </w:rPr>
                    <w:t>3</w:t>
                  </w:r>
                  <w:r>
                    <w:rPr>
                      <w:rFonts w:hint="default" w:ascii="Times New Roman" w:hAnsi="Times New Roman"/>
                      <w:b/>
                      <w:bCs/>
                      <w:sz w:val="21"/>
                      <w:szCs w:val="21"/>
                      <w:u w:val="single"/>
                    </w:rPr>
                    <w:t>·通过量</w:t>
                  </w:r>
                </w:p>
              </w:tc>
              <w:tc>
                <w:tcPr>
                  <w:tcW w:w="587" w:type="pct"/>
                  <w:vAlign w:val="center"/>
                </w:tcPr>
                <w:p w14:paraId="2405E0FC">
                  <w:pPr>
                    <w:pStyle w:val="355"/>
                    <w:keepNext w:val="0"/>
                    <w:keepLines w:val="0"/>
                    <w:suppressLineNumbers w:val="0"/>
                    <w:spacing w:before="0" w:beforeAutospacing="0" w:after="0" w:afterAutospacing="0"/>
                    <w:ind w:left="0" w:right="0" w:firstLine="0" w:firstLineChars="0"/>
                    <w:jc w:val="center"/>
                    <w:rPr>
                      <w:rFonts w:hint="default" w:ascii="宋体" w:hAnsi="宋体" w:cs="宋体"/>
                      <w:b/>
                      <w:bCs/>
                      <w:sz w:val="21"/>
                      <w:szCs w:val="21"/>
                      <w:u w:val="single"/>
                    </w:rPr>
                  </w:pPr>
                  <w:r>
                    <w:rPr>
                      <w:rFonts w:hint="default" w:ascii="宋体" w:hAnsi="宋体" w:cs="宋体"/>
                      <w:b/>
                      <w:bCs/>
                      <w:sz w:val="21"/>
                      <w:szCs w:val="21"/>
                      <w:u w:val="single"/>
                    </w:rPr>
                    <w:t>通过量</w:t>
                  </w:r>
                </w:p>
                <w:p w14:paraId="44E28F2B">
                  <w:pPr>
                    <w:keepNext w:val="0"/>
                    <w:keepLines w:val="0"/>
                    <w:suppressLineNumbers w:val="0"/>
                    <w:spacing w:before="0" w:beforeAutospacing="0" w:after="0" w:afterAutospacing="0"/>
                    <w:ind w:left="0" w:right="0"/>
                    <w:jc w:val="center"/>
                    <w:rPr>
                      <w:rFonts w:hint="eastAsia" w:eastAsia="宋体"/>
                      <w:sz w:val="21"/>
                      <w:szCs w:val="21"/>
                      <w:u w:val="single"/>
                      <w:lang w:eastAsia="zh-CN"/>
                    </w:rPr>
                  </w:pPr>
                  <w:r>
                    <w:rPr>
                      <w:rFonts w:hint="default" w:ascii="Times New Roman" w:hAnsi="Times New Roman"/>
                      <w:b/>
                      <w:bCs/>
                      <w:sz w:val="21"/>
                      <w:szCs w:val="21"/>
                      <w:u w:val="single"/>
                    </w:rPr>
                    <w:t>m</w:t>
                  </w:r>
                  <w:r>
                    <w:rPr>
                      <w:rFonts w:hint="default" w:ascii="Times New Roman" w:hAnsi="Times New Roman"/>
                      <w:b/>
                      <w:bCs/>
                      <w:sz w:val="21"/>
                      <w:szCs w:val="21"/>
                      <w:u w:val="single"/>
                      <w:vertAlign w:val="superscript"/>
                    </w:rPr>
                    <w:t>3</w:t>
                  </w:r>
                  <w:r>
                    <w:rPr>
                      <w:rFonts w:hint="default" w:ascii="Times New Roman" w:hAnsi="Times New Roman"/>
                      <w:b/>
                      <w:bCs/>
                      <w:sz w:val="21"/>
                      <w:szCs w:val="21"/>
                      <w:u w:val="single"/>
                    </w:rPr>
                    <w:t>/a</w:t>
                  </w:r>
                </w:p>
              </w:tc>
              <w:tc>
                <w:tcPr>
                  <w:tcW w:w="827" w:type="pct"/>
                  <w:vAlign w:val="center"/>
                </w:tcPr>
                <w:p w14:paraId="772F89F1">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b/>
                      <w:bCs/>
                      <w:sz w:val="21"/>
                      <w:szCs w:val="21"/>
                      <w:u w:val="single"/>
                    </w:rPr>
                  </w:pPr>
                  <w:r>
                    <w:rPr>
                      <w:rFonts w:hint="default" w:ascii="Times New Roman" w:hAnsi="Times New Roman"/>
                      <w:b/>
                      <w:bCs/>
                      <w:sz w:val="21"/>
                      <w:szCs w:val="21"/>
                      <w:u w:val="single"/>
                    </w:rPr>
                    <w:t>非甲烷总烃产生量kg/a</w:t>
                  </w:r>
                </w:p>
              </w:tc>
              <w:tc>
                <w:tcPr>
                  <w:tcW w:w="827" w:type="pct"/>
                  <w:vAlign w:val="center"/>
                </w:tcPr>
                <w:p w14:paraId="1DC5BF2C">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eastAsia="宋体"/>
                      <w:b/>
                      <w:bCs/>
                      <w:sz w:val="21"/>
                      <w:szCs w:val="21"/>
                      <w:u w:val="single"/>
                      <w:lang w:val="en-US" w:eastAsia="zh-CN"/>
                    </w:rPr>
                  </w:pPr>
                  <w:r>
                    <w:rPr>
                      <w:rFonts w:hint="eastAsia" w:ascii="Times New Roman" w:hAnsi="Times New Roman"/>
                      <w:b/>
                      <w:bCs/>
                      <w:sz w:val="21"/>
                      <w:szCs w:val="21"/>
                      <w:u w:val="single"/>
                      <w:lang w:val="en-US" w:eastAsia="zh-CN"/>
                    </w:rPr>
                    <w:t>回收效率</w:t>
                  </w:r>
                </w:p>
              </w:tc>
              <w:tc>
                <w:tcPr>
                  <w:tcW w:w="827" w:type="pct"/>
                  <w:vAlign w:val="center"/>
                </w:tcPr>
                <w:p w14:paraId="092052F2">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b/>
                      <w:bCs/>
                      <w:sz w:val="21"/>
                      <w:szCs w:val="21"/>
                      <w:u w:val="single"/>
                      <w:lang w:val="en-US" w:eastAsia="zh-CN"/>
                    </w:rPr>
                  </w:pPr>
                  <w:r>
                    <w:rPr>
                      <w:rFonts w:hint="eastAsia" w:ascii="Times New Roman" w:hAnsi="Times New Roman"/>
                      <w:b/>
                      <w:bCs/>
                      <w:sz w:val="21"/>
                      <w:szCs w:val="21"/>
                      <w:u w:val="single"/>
                      <w:lang w:val="en-US" w:eastAsia="zh-CN"/>
                    </w:rPr>
                    <w:t>排放量kg/a</w:t>
                  </w:r>
                </w:p>
              </w:tc>
            </w:tr>
            <w:tr w14:paraId="26C7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1" w:type="pct"/>
                  <w:vMerge w:val="restart"/>
                  <w:vAlign w:val="center"/>
                </w:tcPr>
                <w:p w14:paraId="263EAF8C">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汽油储罐</w:t>
                  </w:r>
                </w:p>
              </w:tc>
              <w:tc>
                <w:tcPr>
                  <w:tcW w:w="609" w:type="pct"/>
                  <w:vAlign w:val="center"/>
                </w:tcPr>
                <w:p w14:paraId="3A630E15">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大呼吸损失</w:t>
                  </w:r>
                </w:p>
              </w:tc>
              <w:tc>
                <w:tcPr>
                  <w:tcW w:w="850" w:type="pct"/>
                  <w:vAlign w:val="center"/>
                </w:tcPr>
                <w:p w14:paraId="5CA5A2F0">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0.88</w:t>
                  </w:r>
                </w:p>
              </w:tc>
              <w:tc>
                <w:tcPr>
                  <w:tcW w:w="587" w:type="pct"/>
                  <w:vAlign w:val="center"/>
                </w:tcPr>
                <w:p w14:paraId="1A318690">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418.6</w:t>
                  </w:r>
                </w:p>
              </w:tc>
              <w:tc>
                <w:tcPr>
                  <w:tcW w:w="827" w:type="pct"/>
                  <w:shd w:val="clear" w:color="auto" w:fill="auto"/>
                  <w:vAlign w:val="center"/>
                </w:tcPr>
                <w:p w14:paraId="29D82CC6">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368.368</w:t>
                  </w:r>
                </w:p>
              </w:tc>
              <w:tc>
                <w:tcPr>
                  <w:tcW w:w="827" w:type="pct"/>
                  <w:shd w:val="clear" w:color="auto" w:fill="auto"/>
                  <w:vAlign w:val="center"/>
                </w:tcPr>
                <w:p w14:paraId="4D3C4C66">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95%</w:t>
                  </w:r>
                </w:p>
              </w:tc>
              <w:tc>
                <w:tcPr>
                  <w:tcW w:w="827" w:type="pct"/>
                  <w:shd w:val="clear" w:color="auto" w:fill="auto"/>
                  <w:vAlign w:val="center"/>
                </w:tcPr>
                <w:p w14:paraId="2481A62F">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18.4184</w:t>
                  </w:r>
                </w:p>
              </w:tc>
            </w:tr>
            <w:tr w14:paraId="0F45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192EB9EA">
                  <w:pPr>
                    <w:pStyle w:val="355"/>
                    <w:keepNext w:val="0"/>
                    <w:keepLines w:val="0"/>
                    <w:suppressLineNumbers w:val="0"/>
                    <w:spacing w:before="0" w:beforeAutospacing="0" w:after="0" w:afterAutospacing="0"/>
                    <w:ind w:left="0" w:right="0"/>
                    <w:jc w:val="center"/>
                    <w:rPr>
                      <w:rFonts w:hint="default" w:ascii="Times New Roman" w:hAnsi="Times New Roman"/>
                      <w:sz w:val="21"/>
                      <w:szCs w:val="21"/>
                      <w:u w:val="single"/>
                    </w:rPr>
                  </w:pPr>
                </w:p>
              </w:tc>
              <w:tc>
                <w:tcPr>
                  <w:tcW w:w="609" w:type="pct"/>
                  <w:vAlign w:val="center"/>
                </w:tcPr>
                <w:p w14:paraId="7674D7B3">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小呼吸损失</w:t>
                  </w:r>
                </w:p>
              </w:tc>
              <w:tc>
                <w:tcPr>
                  <w:tcW w:w="850" w:type="pct"/>
                  <w:vAlign w:val="center"/>
                </w:tcPr>
                <w:p w14:paraId="55491EC2">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0.12</w:t>
                  </w:r>
                </w:p>
              </w:tc>
              <w:tc>
                <w:tcPr>
                  <w:tcW w:w="587" w:type="pct"/>
                  <w:vAlign w:val="center"/>
                </w:tcPr>
                <w:p w14:paraId="0E6C1359">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418.6</w:t>
                  </w:r>
                </w:p>
              </w:tc>
              <w:tc>
                <w:tcPr>
                  <w:tcW w:w="827" w:type="pct"/>
                  <w:shd w:val="clear" w:color="auto" w:fill="auto"/>
                  <w:vAlign w:val="center"/>
                </w:tcPr>
                <w:p w14:paraId="6E72BB05">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50.232</w:t>
                  </w:r>
                </w:p>
              </w:tc>
              <w:tc>
                <w:tcPr>
                  <w:tcW w:w="827" w:type="pct"/>
                  <w:shd w:val="clear" w:color="auto" w:fill="auto"/>
                  <w:vAlign w:val="center"/>
                </w:tcPr>
                <w:p w14:paraId="5D0A4DDB">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95%</w:t>
                  </w:r>
                </w:p>
              </w:tc>
              <w:tc>
                <w:tcPr>
                  <w:tcW w:w="827" w:type="pct"/>
                  <w:shd w:val="clear" w:color="auto" w:fill="auto"/>
                  <w:vAlign w:val="center"/>
                </w:tcPr>
                <w:p w14:paraId="69B12C72">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2.5116</w:t>
                  </w:r>
                </w:p>
              </w:tc>
            </w:tr>
            <w:tr w14:paraId="06C8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4B480E98">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汽油加油机作业损失</w:t>
                  </w:r>
                </w:p>
              </w:tc>
              <w:tc>
                <w:tcPr>
                  <w:tcW w:w="850" w:type="pct"/>
                  <w:vAlign w:val="center"/>
                </w:tcPr>
                <w:p w14:paraId="13DEAB60">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0.11</w:t>
                  </w:r>
                </w:p>
              </w:tc>
              <w:tc>
                <w:tcPr>
                  <w:tcW w:w="587" w:type="pct"/>
                  <w:vAlign w:val="center"/>
                </w:tcPr>
                <w:p w14:paraId="136A2D86">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418.6</w:t>
                  </w:r>
                </w:p>
              </w:tc>
              <w:tc>
                <w:tcPr>
                  <w:tcW w:w="827" w:type="pct"/>
                  <w:shd w:val="clear" w:color="auto" w:fill="auto"/>
                  <w:vAlign w:val="center"/>
                </w:tcPr>
                <w:p w14:paraId="48389BED">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46.046</w:t>
                  </w:r>
                </w:p>
              </w:tc>
              <w:tc>
                <w:tcPr>
                  <w:tcW w:w="827" w:type="pct"/>
                  <w:shd w:val="clear" w:color="auto" w:fill="auto"/>
                  <w:vAlign w:val="center"/>
                </w:tcPr>
                <w:p w14:paraId="2C59FA46">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90%</w:t>
                  </w:r>
                </w:p>
              </w:tc>
              <w:tc>
                <w:tcPr>
                  <w:tcW w:w="827" w:type="pct"/>
                  <w:shd w:val="clear" w:color="auto" w:fill="auto"/>
                  <w:vAlign w:val="center"/>
                </w:tcPr>
                <w:p w14:paraId="1306513A">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4.6046</w:t>
                  </w:r>
                </w:p>
              </w:tc>
            </w:tr>
            <w:tr w14:paraId="3F83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18390DDF">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汽油机作业跑冒滴漏损失</w:t>
                  </w:r>
                </w:p>
              </w:tc>
              <w:tc>
                <w:tcPr>
                  <w:tcW w:w="850" w:type="pct"/>
                  <w:vAlign w:val="center"/>
                </w:tcPr>
                <w:p w14:paraId="406B8A27">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0.036</w:t>
                  </w:r>
                </w:p>
              </w:tc>
              <w:tc>
                <w:tcPr>
                  <w:tcW w:w="587" w:type="pct"/>
                  <w:vAlign w:val="center"/>
                </w:tcPr>
                <w:p w14:paraId="4B3F39DC">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418.6</w:t>
                  </w:r>
                </w:p>
              </w:tc>
              <w:tc>
                <w:tcPr>
                  <w:tcW w:w="827" w:type="pct"/>
                  <w:shd w:val="clear" w:color="auto" w:fill="auto"/>
                  <w:vAlign w:val="center"/>
                </w:tcPr>
                <w:p w14:paraId="23CF5240">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15.0696</w:t>
                  </w:r>
                </w:p>
              </w:tc>
              <w:tc>
                <w:tcPr>
                  <w:tcW w:w="827" w:type="pct"/>
                  <w:shd w:val="clear" w:color="auto" w:fill="auto"/>
                  <w:vAlign w:val="center"/>
                </w:tcPr>
                <w:p w14:paraId="5F769CCA">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27" w:type="pct"/>
                  <w:shd w:val="clear" w:color="auto" w:fill="auto"/>
                  <w:vAlign w:val="center"/>
                </w:tcPr>
                <w:p w14:paraId="044C4190">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15.0696</w:t>
                  </w:r>
                </w:p>
              </w:tc>
            </w:tr>
            <w:tr w14:paraId="4FCF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7117D497">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柴油储油罐大呼吸损失</w:t>
                  </w:r>
                </w:p>
              </w:tc>
              <w:tc>
                <w:tcPr>
                  <w:tcW w:w="850" w:type="pct"/>
                  <w:vAlign w:val="center"/>
                </w:tcPr>
                <w:p w14:paraId="1B4E1AC2">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0.027</w:t>
                  </w:r>
                </w:p>
              </w:tc>
              <w:tc>
                <w:tcPr>
                  <w:tcW w:w="587" w:type="pct"/>
                  <w:vAlign w:val="center"/>
                </w:tcPr>
                <w:p w14:paraId="3ED5DE11">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960</w:t>
                  </w:r>
                </w:p>
              </w:tc>
              <w:tc>
                <w:tcPr>
                  <w:tcW w:w="827" w:type="pct"/>
                  <w:shd w:val="clear" w:color="auto" w:fill="auto"/>
                  <w:vAlign w:val="center"/>
                </w:tcPr>
                <w:p w14:paraId="5E89549D">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25.92</w:t>
                  </w:r>
                </w:p>
              </w:tc>
              <w:tc>
                <w:tcPr>
                  <w:tcW w:w="827" w:type="pct"/>
                  <w:shd w:val="clear" w:color="auto" w:fill="auto"/>
                  <w:vAlign w:val="center"/>
                </w:tcPr>
                <w:p w14:paraId="2B699A48">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27" w:type="pct"/>
                  <w:shd w:val="clear" w:color="auto" w:fill="auto"/>
                  <w:vAlign w:val="center"/>
                </w:tcPr>
                <w:p w14:paraId="6E2F2FFB">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25.92</w:t>
                  </w:r>
                </w:p>
              </w:tc>
            </w:tr>
            <w:tr w14:paraId="1401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4761E47B">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default" w:ascii="Times New Roman" w:hAnsi="Times New Roman"/>
                      <w:sz w:val="21"/>
                      <w:szCs w:val="21"/>
                      <w:u w:val="single"/>
                    </w:rPr>
                    <w:t>柴油加油机作业损失</w:t>
                  </w:r>
                </w:p>
              </w:tc>
              <w:tc>
                <w:tcPr>
                  <w:tcW w:w="850" w:type="pct"/>
                  <w:vAlign w:val="center"/>
                </w:tcPr>
                <w:p w14:paraId="4D35E8A7">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0.048</w:t>
                  </w:r>
                </w:p>
              </w:tc>
              <w:tc>
                <w:tcPr>
                  <w:tcW w:w="587" w:type="pct"/>
                  <w:vAlign w:val="center"/>
                </w:tcPr>
                <w:p w14:paraId="0B4F7827">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960</w:t>
                  </w:r>
                </w:p>
              </w:tc>
              <w:tc>
                <w:tcPr>
                  <w:tcW w:w="827" w:type="pct"/>
                  <w:shd w:val="clear" w:color="auto" w:fill="auto"/>
                  <w:vAlign w:val="center"/>
                </w:tcPr>
                <w:p w14:paraId="57C7A420">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46.08</w:t>
                  </w:r>
                </w:p>
              </w:tc>
              <w:tc>
                <w:tcPr>
                  <w:tcW w:w="827" w:type="pct"/>
                  <w:shd w:val="clear" w:color="auto" w:fill="auto"/>
                  <w:vAlign w:val="center"/>
                </w:tcPr>
                <w:p w14:paraId="5EF482DA">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27" w:type="pct"/>
                  <w:shd w:val="clear" w:color="auto" w:fill="auto"/>
                  <w:vAlign w:val="center"/>
                </w:tcPr>
                <w:p w14:paraId="77C85C39">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46.08</w:t>
                  </w:r>
                </w:p>
              </w:tc>
            </w:tr>
            <w:tr w14:paraId="74F1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607C887E">
                  <w:pPr>
                    <w:pStyle w:val="355"/>
                    <w:keepNext w:val="0"/>
                    <w:keepLines w:val="0"/>
                    <w:suppressLineNumbers w:val="0"/>
                    <w:spacing w:before="0" w:beforeAutospacing="0" w:after="0" w:afterAutospacing="0"/>
                    <w:ind w:left="0" w:right="0" w:firstLine="0" w:firstLineChars="0"/>
                    <w:jc w:val="center"/>
                    <w:rPr>
                      <w:rFonts w:hint="default" w:ascii="Times New Roman" w:hAnsi="Times New Roman"/>
                      <w:sz w:val="21"/>
                      <w:szCs w:val="21"/>
                      <w:u w:val="single"/>
                    </w:rPr>
                  </w:pPr>
                  <w:r>
                    <w:rPr>
                      <w:rFonts w:hint="eastAsia" w:ascii="Times New Roman" w:hAnsi="Times New Roman"/>
                      <w:sz w:val="21"/>
                      <w:szCs w:val="21"/>
                      <w:u w:val="single"/>
                    </w:rPr>
                    <w:t>柴油</w:t>
                  </w:r>
                  <w:r>
                    <w:rPr>
                      <w:rFonts w:hint="default" w:ascii="Times New Roman" w:hAnsi="Times New Roman"/>
                      <w:sz w:val="21"/>
                      <w:szCs w:val="21"/>
                      <w:u w:val="single"/>
                    </w:rPr>
                    <w:t>机作业跑冒滴漏损失</w:t>
                  </w:r>
                </w:p>
              </w:tc>
              <w:tc>
                <w:tcPr>
                  <w:tcW w:w="850" w:type="pct"/>
                  <w:vAlign w:val="center"/>
                </w:tcPr>
                <w:p w14:paraId="050936EB">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default" w:ascii="Times New Roman" w:hAnsi="Times New Roman"/>
                      <w:sz w:val="21"/>
                      <w:szCs w:val="21"/>
                      <w:u w:val="single"/>
                      <w:lang w:val="en-US" w:eastAsia="zh-CN"/>
                    </w:rPr>
                    <w:t>0.036</w:t>
                  </w:r>
                </w:p>
              </w:tc>
              <w:tc>
                <w:tcPr>
                  <w:tcW w:w="587" w:type="pct"/>
                  <w:vAlign w:val="center"/>
                </w:tcPr>
                <w:p w14:paraId="5187D1CC">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960</w:t>
                  </w:r>
                </w:p>
              </w:tc>
              <w:tc>
                <w:tcPr>
                  <w:tcW w:w="827" w:type="pct"/>
                  <w:shd w:val="clear" w:color="auto" w:fill="auto"/>
                  <w:vAlign w:val="center"/>
                </w:tcPr>
                <w:p w14:paraId="7945EAB2">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34.56</w:t>
                  </w:r>
                </w:p>
              </w:tc>
              <w:tc>
                <w:tcPr>
                  <w:tcW w:w="827" w:type="pct"/>
                  <w:shd w:val="clear" w:color="auto" w:fill="auto"/>
                  <w:vAlign w:val="center"/>
                </w:tcPr>
                <w:p w14:paraId="511D2729">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27" w:type="pct"/>
                  <w:shd w:val="clear" w:color="auto" w:fill="auto"/>
                  <w:vAlign w:val="center"/>
                </w:tcPr>
                <w:p w14:paraId="5B3AA25A">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34.56</w:t>
                  </w:r>
                </w:p>
              </w:tc>
            </w:tr>
            <w:tr w14:paraId="325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gridSpan w:val="2"/>
                  <w:vAlign w:val="center"/>
                </w:tcPr>
                <w:p w14:paraId="72353FE2">
                  <w:pPr>
                    <w:pStyle w:val="355"/>
                    <w:keepNext w:val="0"/>
                    <w:keepLines w:val="0"/>
                    <w:suppressLineNumbers w:val="0"/>
                    <w:spacing w:before="0" w:beforeAutospacing="0" w:after="0" w:afterAutospacing="0"/>
                    <w:ind w:left="0" w:right="0" w:firstLine="0" w:firstLineChars="0"/>
                    <w:jc w:val="center"/>
                    <w:rPr>
                      <w:rFonts w:hint="eastAsia" w:ascii="Times New Roman" w:hAnsi="Times New Roman" w:eastAsia="宋体"/>
                      <w:sz w:val="21"/>
                      <w:szCs w:val="21"/>
                      <w:u w:val="single"/>
                      <w:lang w:val="en-US" w:eastAsia="zh-CN"/>
                    </w:rPr>
                  </w:pPr>
                  <w:r>
                    <w:rPr>
                      <w:rFonts w:hint="eastAsia" w:ascii="Times New Roman" w:hAnsi="Times New Roman"/>
                      <w:sz w:val="21"/>
                      <w:szCs w:val="21"/>
                      <w:u w:val="single"/>
                      <w:lang w:val="en-US" w:eastAsia="zh-CN"/>
                    </w:rPr>
                    <w:t>合计</w:t>
                  </w:r>
                </w:p>
              </w:tc>
              <w:tc>
                <w:tcPr>
                  <w:tcW w:w="850" w:type="pct"/>
                  <w:vAlign w:val="center"/>
                </w:tcPr>
                <w:p w14:paraId="69812500">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w:t>
                  </w:r>
                </w:p>
              </w:tc>
              <w:tc>
                <w:tcPr>
                  <w:tcW w:w="587" w:type="pct"/>
                  <w:vAlign w:val="center"/>
                </w:tcPr>
                <w:p w14:paraId="2A3ACD86">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sz w:val="21"/>
                      <w:szCs w:val="21"/>
                      <w:u w:val="single"/>
                      <w:lang w:val="en-US" w:eastAsia="zh-CN"/>
                    </w:rPr>
                  </w:pPr>
                  <w:r>
                    <w:rPr>
                      <w:rFonts w:hint="eastAsia" w:ascii="Times New Roman" w:hAnsi="Times New Roman"/>
                      <w:sz w:val="21"/>
                      <w:szCs w:val="21"/>
                      <w:u w:val="single"/>
                      <w:lang w:val="en-US" w:eastAsia="zh-CN"/>
                    </w:rPr>
                    <w:t>/</w:t>
                  </w:r>
                </w:p>
              </w:tc>
              <w:tc>
                <w:tcPr>
                  <w:tcW w:w="827" w:type="pct"/>
                  <w:shd w:val="clear" w:color="auto" w:fill="auto"/>
                  <w:vAlign w:val="center"/>
                </w:tcPr>
                <w:p w14:paraId="1C33ABFB">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586.2756</w:t>
                  </w:r>
                </w:p>
              </w:tc>
              <w:tc>
                <w:tcPr>
                  <w:tcW w:w="827" w:type="pct"/>
                  <w:shd w:val="clear" w:color="auto" w:fill="auto"/>
                  <w:vAlign w:val="center"/>
                </w:tcPr>
                <w:p w14:paraId="0E29B0BC">
                  <w:pPr>
                    <w:pStyle w:val="355"/>
                    <w:keepNext w:val="0"/>
                    <w:keepLines w:val="0"/>
                    <w:suppressLineNumbers w:val="0"/>
                    <w:tabs>
                      <w:tab w:val="left" w:pos="365"/>
                    </w:tabs>
                    <w:spacing w:before="0" w:beforeAutospacing="0" w:after="0" w:afterAutospacing="0"/>
                    <w:ind w:left="0" w:right="0"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827" w:type="pct"/>
                  <w:shd w:val="clear" w:color="auto" w:fill="auto"/>
                  <w:vAlign w:val="center"/>
                </w:tcPr>
                <w:p w14:paraId="0B0A371C">
                  <w:pPr>
                    <w:pStyle w:val="355"/>
                    <w:keepNext w:val="0"/>
                    <w:keepLines w:val="0"/>
                    <w:suppressLineNumbers w:val="0"/>
                    <w:tabs>
                      <w:tab w:val="left" w:pos="365"/>
                    </w:tabs>
                    <w:spacing w:before="0" w:beforeAutospacing="0" w:after="0" w:afterAutospacing="0"/>
                    <w:ind w:left="0" w:right="0"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147.1642</w:t>
                  </w:r>
                </w:p>
              </w:tc>
            </w:tr>
          </w:tbl>
          <w:p w14:paraId="493BF08E">
            <w:pPr>
              <w:adjustRightInd w:val="0"/>
              <w:snapToGrid w:val="0"/>
              <w:spacing w:line="360" w:lineRule="auto"/>
              <w:ind w:firstLine="480" w:firstLineChars="200"/>
              <w:rPr>
                <w:sz w:val="24"/>
                <w:u w:val="single"/>
              </w:rPr>
            </w:pPr>
            <w:r>
              <w:rPr>
                <w:rFonts w:hint="eastAsia"/>
                <w:sz w:val="24"/>
                <w:u w:val="single"/>
              </w:rPr>
              <w:t>②</w:t>
            </w:r>
            <w:r>
              <w:rPr>
                <w:sz w:val="24"/>
                <w:u w:val="single"/>
              </w:rPr>
              <w:t>汽车尾气</w:t>
            </w:r>
          </w:p>
          <w:p w14:paraId="6B60EDC9">
            <w:pPr>
              <w:autoSpaceDE w:val="0"/>
              <w:autoSpaceDN w:val="0"/>
              <w:adjustRightInd w:val="0"/>
              <w:spacing w:line="360" w:lineRule="auto"/>
              <w:ind w:firstLine="480" w:firstLineChars="200"/>
              <w:jc w:val="left"/>
              <w:rPr>
                <w:kern w:val="0"/>
                <w:sz w:val="24"/>
                <w:u w:val="single"/>
              </w:rPr>
            </w:pPr>
            <w:r>
              <w:rPr>
                <w:kern w:val="0"/>
                <w:sz w:val="24"/>
                <w:u w:val="single"/>
              </w:rPr>
              <w:t>本项目汽车尾气主要由进出站加油车辆产生，由于车辆在站内形行驶路径短、停留时间短，因此，汽车尾气产生量少，这部分尾气无组织排放，通过场地的自然通风稀释、扩散，一般对环境影响不大。</w:t>
            </w:r>
          </w:p>
          <w:p w14:paraId="2E64A67F">
            <w:pPr>
              <w:adjustRightInd w:val="0"/>
              <w:snapToGrid w:val="0"/>
              <w:spacing w:line="360" w:lineRule="auto"/>
              <w:ind w:firstLine="480" w:firstLineChars="200"/>
              <w:rPr>
                <w:sz w:val="24"/>
                <w:u w:val="single"/>
              </w:rPr>
            </w:pPr>
            <w:r>
              <w:rPr>
                <w:rFonts w:hint="eastAsia"/>
                <w:sz w:val="24"/>
                <w:u w:val="single"/>
              </w:rPr>
              <w:t>③</w:t>
            </w:r>
            <w:r>
              <w:rPr>
                <w:sz w:val="24"/>
                <w:u w:val="single"/>
              </w:rPr>
              <w:t>备用柴油发电机废气</w:t>
            </w:r>
          </w:p>
          <w:p w14:paraId="1B1AF3D0">
            <w:pPr>
              <w:autoSpaceDE w:val="0"/>
              <w:autoSpaceDN w:val="0"/>
              <w:adjustRightInd w:val="0"/>
              <w:spacing w:line="360" w:lineRule="auto"/>
              <w:ind w:firstLine="480" w:firstLineChars="200"/>
              <w:jc w:val="left"/>
              <w:rPr>
                <w:kern w:val="0"/>
                <w:sz w:val="24"/>
                <w:u w:val="single"/>
              </w:rPr>
            </w:pPr>
            <w:r>
              <w:rPr>
                <w:rFonts w:hint="eastAsia"/>
                <w:kern w:val="0"/>
                <w:sz w:val="24"/>
                <w:u w:val="single"/>
              </w:rPr>
              <w:t>项目使用一台柴油发电机组做为备用电源。柴油发电机仅在停电时或例检时使用，使用的柴油为0#柴油。根据建设方提供的资料，一年使用次数最多不超过5次，每次使用时间按1h，则年使用时间不超过5h。柴油发电机产生的主要污染物为碳氢化合物、二氧化硫、氮氧化物、烟尘等，项目发电机采用轻质柴油作为燃料，以减少运行时的废气产生，且使用时间较短，废气排放量少，因此对环境影响较小。</w:t>
            </w:r>
          </w:p>
          <w:p w14:paraId="6F9995D9">
            <w:pPr>
              <w:pStyle w:val="43"/>
              <w:tabs>
                <w:tab w:val="right" w:leader="dot" w:pos="8949"/>
              </w:tabs>
              <w:spacing w:after="0" w:line="360" w:lineRule="auto"/>
              <w:ind w:left="480"/>
              <w:rPr>
                <w:rFonts w:ascii="Times New Roman" w:hAnsi="Times New Roman"/>
                <w:sz w:val="24"/>
                <w:szCs w:val="24"/>
              </w:rPr>
            </w:pPr>
            <w:r>
              <w:rPr>
                <w:rFonts w:hint="eastAsia" w:ascii="Times New Roman" w:hAnsi="Times New Roman"/>
                <w:sz w:val="24"/>
                <w:szCs w:val="24"/>
              </w:rPr>
              <w:t>④</w:t>
            </w:r>
            <w:r>
              <w:rPr>
                <w:rFonts w:ascii="Times New Roman" w:hAnsi="Times New Roman"/>
                <w:sz w:val="24"/>
                <w:szCs w:val="24"/>
              </w:rPr>
              <w:t>食堂油烟</w:t>
            </w:r>
          </w:p>
          <w:p w14:paraId="2C1D1E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pacing w:val="-1"/>
                <w:sz w:val="24"/>
                <w:szCs w:val="24"/>
                <w:highlight w:val="none"/>
                <w:u w:val="none"/>
              </w:rPr>
            </w:pPr>
            <w:r>
              <w:rPr>
                <w:kern w:val="0"/>
                <w:sz w:val="24"/>
              </w:rPr>
              <w:t>本项目餐厅使用电能进行烹饪，设置1个灶头，为员工提供三餐，就餐人员约6人。参考居民食用油消耗情况，一般为30g/人·d，油烟的平均挥发量约为消耗量的2.83%，项目单个灶头排风量为450m</w:t>
            </w:r>
            <w:r>
              <w:rPr>
                <w:kern w:val="0"/>
                <w:sz w:val="24"/>
                <w:vertAlign w:val="superscript"/>
              </w:rPr>
              <w:t>3</w:t>
            </w:r>
            <w:r>
              <w:rPr>
                <w:kern w:val="0"/>
                <w:sz w:val="24"/>
              </w:rPr>
              <w:t>/h，则食堂油烟产生量为</w:t>
            </w:r>
            <w:r>
              <w:rPr>
                <w:rFonts w:hint="eastAsia"/>
                <w:kern w:val="0"/>
                <w:sz w:val="24"/>
                <w:lang w:val="en-US" w:eastAsia="zh-CN"/>
              </w:rPr>
              <w:t>3.1</w:t>
            </w:r>
            <w:r>
              <w:rPr>
                <w:kern w:val="0"/>
                <w:sz w:val="24"/>
              </w:rPr>
              <w:t>kg/a，产生速率为</w:t>
            </w:r>
            <w:r>
              <w:rPr>
                <w:rFonts w:hint="eastAsia"/>
                <w:kern w:val="0"/>
                <w:sz w:val="24"/>
                <w:lang w:val="en-US" w:eastAsia="zh-CN"/>
              </w:rPr>
              <w:t>0.0034</w:t>
            </w:r>
            <w:r>
              <w:rPr>
                <w:kern w:val="0"/>
                <w:sz w:val="24"/>
              </w:rPr>
              <w:t>kg/h，产生浓度为</w:t>
            </w:r>
            <w:r>
              <w:rPr>
                <w:rFonts w:hint="eastAsia"/>
                <w:kern w:val="0"/>
                <w:sz w:val="24"/>
                <w:lang w:val="en-US" w:eastAsia="zh-CN"/>
              </w:rPr>
              <w:t>7055</w:t>
            </w:r>
            <w:r>
              <w:rPr>
                <w:kern w:val="0"/>
                <w:sz w:val="24"/>
              </w:rPr>
              <w:t>mg/m</w:t>
            </w:r>
            <w:r>
              <w:rPr>
                <w:kern w:val="0"/>
                <w:sz w:val="24"/>
                <w:vertAlign w:val="superscript"/>
              </w:rPr>
              <w:t>3</w:t>
            </w:r>
            <w:r>
              <w:rPr>
                <w:kern w:val="0"/>
                <w:sz w:val="24"/>
              </w:rPr>
              <w:t>。每天运行约2.5h。油烟废气收集后经油烟净化器处理达标后引至楼顶排放，油烟净化器处理效率不得低于85%（按85%计），则油烟排放量可降低至0.</w:t>
            </w:r>
            <w:r>
              <w:rPr>
                <w:rFonts w:hint="eastAsia"/>
                <w:kern w:val="0"/>
                <w:sz w:val="24"/>
                <w:lang w:val="en-US" w:eastAsia="zh-CN"/>
              </w:rPr>
              <w:t>47</w:t>
            </w:r>
            <w:r>
              <w:rPr>
                <w:kern w:val="0"/>
                <w:sz w:val="24"/>
              </w:rPr>
              <w:t>kg/a，排放浓度</w:t>
            </w:r>
            <w:r>
              <w:rPr>
                <w:rFonts w:hint="eastAsia"/>
                <w:kern w:val="0"/>
                <w:sz w:val="24"/>
                <w:lang w:val="en-US" w:eastAsia="zh-CN"/>
              </w:rPr>
              <w:t>1.13</w:t>
            </w:r>
            <w:r>
              <w:rPr>
                <w:kern w:val="0"/>
                <w:sz w:val="24"/>
              </w:rPr>
              <w:t>mg/m</w:t>
            </w:r>
            <w:r>
              <w:rPr>
                <w:kern w:val="0"/>
                <w:sz w:val="24"/>
                <w:vertAlign w:val="superscript"/>
              </w:rPr>
              <w:t>3</w:t>
            </w:r>
            <w:r>
              <w:rPr>
                <w:kern w:val="0"/>
                <w:sz w:val="24"/>
              </w:rPr>
              <w:t>，排放限值为2mg/m</w:t>
            </w:r>
            <w:r>
              <w:rPr>
                <w:kern w:val="0"/>
                <w:sz w:val="24"/>
                <w:vertAlign w:val="superscript"/>
              </w:rPr>
              <w:t>3</w:t>
            </w:r>
            <w:r>
              <w:rPr>
                <w:kern w:val="0"/>
                <w:sz w:val="24"/>
              </w:rPr>
              <w:t>，达到《饮食业油烟排放标准》（试行）（GB18483-2001）的要求。</w:t>
            </w:r>
          </w:p>
          <w:p w14:paraId="0E49944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76" w:firstLineChars="20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pacing w:val="-1"/>
                <w:sz w:val="24"/>
                <w:szCs w:val="24"/>
                <w:highlight w:val="none"/>
                <w:u w:val="none"/>
              </w:rPr>
              <w:t>本项目废气污染源强核算结果及相关参数见下表：</w:t>
            </w:r>
          </w:p>
          <w:p w14:paraId="59EFFA58">
            <w:pPr>
              <w:pStyle w:val="289"/>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仿宋" w:cs="Times New Roman"/>
                <w:color w:val="auto"/>
                <w:highlight w:val="none"/>
                <w:u w:val="none"/>
                <w:lang w:val="en-US" w:eastAsia="zh-CN"/>
              </w:rPr>
            </w:pPr>
            <w:r>
              <w:rPr>
                <w:rFonts w:hint="default" w:ascii="Times New Roman" w:hAnsi="Times New Roman" w:eastAsia="宋体" w:cs="Times New Roman"/>
                <w:color w:val="auto"/>
                <w:sz w:val="24"/>
                <w:szCs w:val="24"/>
                <w:highlight w:val="none"/>
                <w:u w:val="none"/>
              </w:rPr>
              <w:t>表4-</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rPr>
              <w:t xml:space="preserve"> 废气源强核算及相关参数汇总表</w:t>
            </w:r>
          </w:p>
          <w:tbl>
            <w:tblPr>
              <w:tblStyle w:val="187"/>
              <w:tblW w:w="4994"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6"/>
              <w:gridCol w:w="679"/>
              <w:gridCol w:w="786"/>
              <w:gridCol w:w="806"/>
              <w:gridCol w:w="845"/>
              <w:gridCol w:w="754"/>
              <w:gridCol w:w="660"/>
              <w:gridCol w:w="969"/>
              <w:gridCol w:w="1009"/>
              <w:gridCol w:w="790"/>
              <w:gridCol w:w="751"/>
            </w:tblGrid>
            <w:tr w14:paraId="2643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657" w:type="pct"/>
                  <w:gridSpan w:val="2"/>
                  <w:vMerge w:val="restart"/>
                  <w:tcBorders>
                    <w:tl2br w:val="nil"/>
                    <w:tr2bl w:val="nil"/>
                  </w:tcBorders>
                  <w:noWrap w:val="0"/>
                  <w:vAlign w:val="center"/>
                </w:tcPr>
                <w:p w14:paraId="2B39869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污染源</w:t>
                  </w:r>
                </w:p>
              </w:tc>
              <w:tc>
                <w:tcPr>
                  <w:tcW w:w="463" w:type="pct"/>
                  <w:vMerge w:val="restart"/>
                  <w:tcBorders>
                    <w:tl2br w:val="nil"/>
                    <w:tr2bl w:val="nil"/>
                  </w:tcBorders>
                  <w:noWrap w:val="0"/>
                  <w:vAlign w:val="center"/>
                </w:tcPr>
                <w:p w14:paraId="7742384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污染物</w:t>
                  </w:r>
                </w:p>
              </w:tc>
              <w:tc>
                <w:tcPr>
                  <w:tcW w:w="973" w:type="pct"/>
                  <w:gridSpan w:val="2"/>
                  <w:tcBorders>
                    <w:tl2br w:val="nil"/>
                    <w:tr2bl w:val="nil"/>
                  </w:tcBorders>
                  <w:noWrap w:val="0"/>
                  <w:vAlign w:val="center"/>
                </w:tcPr>
                <w:p w14:paraId="5E0AB74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污染物产生</w:t>
                  </w:r>
                </w:p>
              </w:tc>
              <w:tc>
                <w:tcPr>
                  <w:tcW w:w="833" w:type="pct"/>
                  <w:gridSpan w:val="2"/>
                  <w:tcBorders>
                    <w:tl2br w:val="nil"/>
                    <w:tr2bl w:val="nil"/>
                  </w:tcBorders>
                  <w:noWrap w:val="0"/>
                  <w:vAlign w:val="center"/>
                </w:tcPr>
                <w:p w14:paraId="3D9E6D3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治理措施</w:t>
                  </w:r>
                </w:p>
              </w:tc>
              <w:tc>
                <w:tcPr>
                  <w:tcW w:w="1165" w:type="pct"/>
                  <w:gridSpan w:val="2"/>
                  <w:tcBorders>
                    <w:tl2br w:val="nil"/>
                    <w:tr2bl w:val="nil"/>
                  </w:tcBorders>
                  <w:noWrap w:val="0"/>
                  <w:vAlign w:val="center"/>
                </w:tcPr>
                <w:p w14:paraId="7760AF5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污染物排放</w:t>
                  </w:r>
                </w:p>
              </w:tc>
              <w:tc>
                <w:tcPr>
                  <w:tcW w:w="465" w:type="pct"/>
                  <w:vMerge w:val="restart"/>
                  <w:tcBorders>
                    <w:tl2br w:val="nil"/>
                    <w:tr2bl w:val="nil"/>
                  </w:tcBorders>
                  <w:noWrap w:val="0"/>
                  <w:vAlign w:val="center"/>
                </w:tcPr>
                <w:p w14:paraId="58A1BA0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排放方式</w:t>
                  </w:r>
                </w:p>
              </w:tc>
              <w:tc>
                <w:tcPr>
                  <w:tcW w:w="442" w:type="pct"/>
                  <w:vMerge w:val="restart"/>
                  <w:tcBorders>
                    <w:tl2br w:val="nil"/>
                    <w:tr2bl w:val="nil"/>
                  </w:tcBorders>
                  <w:noWrap w:val="0"/>
                  <w:vAlign w:val="center"/>
                </w:tcPr>
                <w:p w14:paraId="1CDB613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运行时间</w:t>
                  </w:r>
                </w:p>
              </w:tc>
            </w:tr>
            <w:tr w14:paraId="23D3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657" w:type="pct"/>
                  <w:gridSpan w:val="2"/>
                  <w:vMerge w:val="continue"/>
                  <w:tcBorders>
                    <w:tl2br w:val="nil"/>
                    <w:tr2bl w:val="nil"/>
                  </w:tcBorders>
                  <w:noWrap w:val="0"/>
                  <w:vAlign w:val="center"/>
                </w:tcPr>
                <w:p w14:paraId="305346C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463" w:type="pct"/>
                  <w:vMerge w:val="continue"/>
                  <w:tcBorders>
                    <w:tl2br w:val="nil"/>
                    <w:tr2bl w:val="nil"/>
                  </w:tcBorders>
                  <w:noWrap w:val="0"/>
                  <w:vAlign w:val="center"/>
                </w:tcPr>
                <w:p w14:paraId="2FC441C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475" w:type="pct"/>
                  <w:tcBorders>
                    <w:tl2br w:val="nil"/>
                    <w:tr2bl w:val="nil"/>
                  </w:tcBorders>
                  <w:noWrap w:val="0"/>
                  <w:vAlign w:val="center"/>
                </w:tcPr>
                <w:p w14:paraId="1D03EC2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cs="Times New Roman"/>
                      <w:b/>
                      <w:bCs/>
                      <w:color w:val="auto"/>
                      <w:sz w:val="21"/>
                      <w:szCs w:val="21"/>
                      <w:highlight w:val="none"/>
                      <w:u w:val="none"/>
                      <w:lang w:val="en-US" w:eastAsia="zh-CN"/>
                    </w:rPr>
                    <w:t>产生速率kg/h</w:t>
                  </w:r>
                </w:p>
              </w:tc>
              <w:tc>
                <w:tcPr>
                  <w:tcW w:w="497" w:type="pct"/>
                  <w:tcBorders>
                    <w:tl2br w:val="nil"/>
                    <w:tr2bl w:val="nil"/>
                  </w:tcBorders>
                  <w:noWrap w:val="0"/>
                  <w:vAlign w:val="center"/>
                </w:tcPr>
                <w:p w14:paraId="26D459E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产生量t/a</w:t>
                  </w:r>
                </w:p>
              </w:tc>
              <w:tc>
                <w:tcPr>
                  <w:tcW w:w="444" w:type="pct"/>
                  <w:tcBorders>
                    <w:tl2br w:val="nil"/>
                    <w:tr2bl w:val="nil"/>
                  </w:tcBorders>
                  <w:noWrap w:val="0"/>
                  <w:vAlign w:val="center"/>
                </w:tcPr>
                <w:p w14:paraId="0574B10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工艺</w:t>
                  </w:r>
                </w:p>
              </w:tc>
              <w:tc>
                <w:tcPr>
                  <w:tcW w:w="388" w:type="pct"/>
                  <w:tcBorders>
                    <w:tl2br w:val="nil"/>
                    <w:tr2bl w:val="nil"/>
                  </w:tcBorders>
                  <w:noWrap w:val="0"/>
                  <w:vAlign w:val="center"/>
                </w:tcPr>
                <w:p w14:paraId="7B45421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处理</w:t>
                  </w:r>
                </w:p>
                <w:p w14:paraId="7365360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效率</w:t>
                  </w:r>
                </w:p>
              </w:tc>
              <w:tc>
                <w:tcPr>
                  <w:tcW w:w="571" w:type="pct"/>
                  <w:tcBorders>
                    <w:tl2br w:val="nil"/>
                    <w:tr2bl w:val="nil"/>
                  </w:tcBorders>
                  <w:noWrap w:val="0"/>
                  <w:vAlign w:val="center"/>
                </w:tcPr>
                <w:p w14:paraId="454F1E3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u w:val="none"/>
                      <w:lang w:val="en-US"/>
                    </w:rPr>
                  </w:pPr>
                  <w:r>
                    <w:rPr>
                      <w:rFonts w:hint="eastAsia" w:cs="Times New Roman"/>
                      <w:b/>
                      <w:bCs/>
                      <w:color w:val="auto"/>
                      <w:sz w:val="21"/>
                      <w:szCs w:val="21"/>
                      <w:highlight w:val="none"/>
                      <w:u w:val="none"/>
                      <w:lang w:val="en-US" w:eastAsia="zh-CN"/>
                    </w:rPr>
                    <w:t>排放速率kg/h</w:t>
                  </w:r>
                </w:p>
              </w:tc>
              <w:tc>
                <w:tcPr>
                  <w:tcW w:w="593" w:type="pct"/>
                  <w:tcBorders>
                    <w:tl2br w:val="nil"/>
                    <w:tr2bl w:val="nil"/>
                  </w:tcBorders>
                  <w:shd w:val="clear" w:color="auto" w:fill="auto"/>
                  <w:noWrap w:val="0"/>
                  <w:vAlign w:val="center"/>
                </w:tcPr>
                <w:p w14:paraId="22C2421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b/>
                      <w:bCs/>
                      <w:color w:val="auto"/>
                      <w:kern w:val="0"/>
                      <w:sz w:val="21"/>
                      <w:szCs w:val="21"/>
                      <w:highlight w:val="none"/>
                      <w:u w:val="none"/>
                      <w:lang w:val="en-US" w:eastAsia="zh-CN" w:bidi="ar-SA"/>
                    </w:rPr>
                  </w:pPr>
                  <w:r>
                    <w:rPr>
                      <w:rFonts w:hint="default" w:ascii="Times New Roman" w:hAnsi="Times New Roman" w:eastAsia="宋体" w:cs="Times New Roman"/>
                      <w:b/>
                      <w:bCs/>
                      <w:color w:val="auto"/>
                      <w:sz w:val="21"/>
                      <w:szCs w:val="21"/>
                      <w:highlight w:val="none"/>
                      <w:u w:val="none"/>
                    </w:rPr>
                    <w:t>年排放量t/a</w:t>
                  </w:r>
                </w:p>
              </w:tc>
              <w:tc>
                <w:tcPr>
                  <w:tcW w:w="465" w:type="pct"/>
                  <w:vMerge w:val="continue"/>
                  <w:tcBorders>
                    <w:tl2br w:val="nil"/>
                    <w:tr2bl w:val="nil"/>
                  </w:tcBorders>
                  <w:noWrap w:val="0"/>
                  <w:vAlign w:val="center"/>
                </w:tcPr>
                <w:p w14:paraId="5229428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442" w:type="pct"/>
                  <w:vMerge w:val="continue"/>
                  <w:tcBorders>
                    <w:tl2br w:val="nil"/>
                    <w:tr2bl w:val="nil"/>
                  </w:tcBorders>
                  <w:noWrap w:val="0"/>
                  <w:vAlign w:val="center"/>
                </w:tcPr>
                <w:p w14:paraId="0CBE181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r>
            <w:tr w14:paraId="0BEB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257" w:type="pct"/>
                  <w:vMerge w:val="restart"/>
                  <w:tcBorders>
                    <w:tl2br w:val="nil"/>
                    <w:tr2bl w:val="nil"/>
                  </w:tcBorders>
                  <w:noWrap w:val="0"/>
                  <w:vAlign w:val="center"/>
                </w:tcPr>
                <w:p w14:paraId="590BEA3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汽油</w:t>
                  </w:r>
                </w:p>
              </w:tc>
              <w:tc>
                <w:tcPr>
                  <w:tcW w:w="399" w:type="pct"/>
                  <w:tcBorders>
                    <w:tl2br w:val="nil"/>
                    <w:tr2bl w:val="nil"/>
                  </w:tcBorders>
                  <w:noWrap w:val="0"/>
                  <w:vAlign w:val="center"/>
                </w:tcPr>
                <w:p w14:paraId="239CAEA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储存挥发损失</w:t>
                  </w:r>
                </w:p>
              </w:tc>
              <w:tc>
                <w:tcPr>
                  <w:tcW w:w="463" w:type="pct"/>
                  <w:vMerge w:val="restart"/>
                  <w:tcBorders>
                    <w:tl2br w:val="nil"/>
                    <w:tr2bl w:val="nil"/>
                  </w:tcBorders>
                  <w:noWrap w:val="0"/>
                  <w:vAlign w:val="center"/>
                </w:tcPr>
                <w:p w14:paraId="2330F9D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非甲烷总烃</w:t>
                  </w:r>
                </w:p>
              </w:tc>
              <w:tc>
                <w:tcPr>
                  <w:tcW w:w="807" w:type="dxa"/>
                  <w:tcBorders>
                    <w:tl2br w:val="nil"/>
                    <w:tr2bl w:val="nil"/>
                  </w:tcBorders>
                  <w:noWrap w:val="0"/>
                  <w:vAlign w:val="center"/>
                </w:tcPr>
                <w:p w14:paraId="3A36F6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0.0057 </w:t>
                  </w:r>
                </w:p>
              </w:tc>
              <w:tc>
                <w:tcPr>
                  <w:tcW w:w="846" w:type="dxa"/>
                  <w:tcBorders>
                    <w:tl2br w:val="nil"/>
                    <w:tr2bl w:val="nil"/>
                  </w:tcBorders>
                  <w:noWrap w:val="0"/>
                  <w:vAlign w:val="center"/>
                </w:tcPr>
                <w:p w14:paraId="448A5CB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0.050232</w:t>
                  </w:r>
                </w:p>
              </w:tc>
              <w:tc>
                <w:tcPr>
                  <w:tcW w:w="444" w:type="pct"/>
                  <w:tcBorders>
                    <w:tl2br w:val="nil"/>
                    <w:tr2bl w:val="nil"/>
                  </w:tcBorders>
                  <w:noWrap w:val="0"/>
                  <w:vAlign w:val="center"/>
                </w:tcPr>
                <w:p w14:paraId="64B5B1A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三次回收</w:t>
                  </w:r>
                </w:p>
              </w:tc>
              <w:tc>
                <w:tcPr>
                  <w:tcW w:w="388" w:type="pct"/>
                  <w:tcBorders>
                    <w:tl2br w:val="nil"/>
                    <w:tr2bl w:val="nil"/>
                  </w:tcBorders>
                  <w:noWrap w:val="0"/>
                  <w:vAlign w:val="center"/>
                </w:tcPr>
                <w:p w14:paraId="3E8A0FB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95</w:t>
                  </w:r>
                  <w:r>
                    <w:rPr>
                      <w:rFonts w:hint="default" w:ascii="Times New Roman" w:hAnsi="Times New Roman" w:eastAsia="宋体" w:cs="Times New Roman"/>
                      <w:color w:val="auto"/>
                      <w:sz w:val="21"/>
                      <w:szCs w:val="21"/>
                      <w:highlight w:val="none"/>
                      <w:u w:val="none"/>
                    </w:rPr>
                    <w:t>%</w:t>
                  </w:r>
                </w:p>
              </w:tc>
              <w:tc>
                <w:tcPr>
                  <w:tcW w:w="970" w:type="dxa"/>
                  <w:tcBorders>
                    <w:tl2br w:val="nil"/>
                    <w:tr2bl w:val="nil"/>
                  </w:tcBorders>
                  <w:shd w:val="clear" w:color="auto" w:fill="auto"/>
                  <w:noWrap w:val="0"/>
                  <w:vAlign w:val="center"/>
                </w:tcPr>
                <w:p w14:paraId="2540A89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009" w:type="dxa"/>
                  <w:tcBorders>
                    <w:tl2br w:val="nil"/>
                    <w:tr2bl w:val="nil"/>
                  </w:tcBorders>
                  <w:noWrap w:val="0"/>
                  <w:vAlign w:val="center"/>
                </w:tcPr>
                <w:p w14:paraId="794061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0.00251 </w:t>
                  </w:r>
                </w:p>
              </w:tc>
              <w:tc>
                <w:tcPr>
                  <w:tcW w:w="465" w:type="pct"/>
                  <w:tcBorders>
                    <w:tl2br w:val="nil"/>
                    <w:tr2bl w:val="nil"/>
                  </w:tcBorders>
                  <w:noWrap w:val="0"/>
                  <w:vAlign w:val="center"/>
                </w:tcPr>
                <w:p w14:paraId="023311C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无</w:t>
                  </w:r>
                  <w:r>
                    <w:rPr>
                      <w:rFonts w:hint="default" w:ascii="Times New Roman" w:hAnsi="Times New Roman" w:eastAsia="宋体" w:cs="Times New Roman"/>
                      <w:color w:val="auto"/>
                      <w:sz w:val="21"/>
                      <w:szCs w:val="21"/>
                      <w:highlight w:val="none"/>
                      <w:u w:val="none"/>
                    </w:rPr>
                    <w:t>组织</w:t>
                  </w:r>
                </w:p>
              </w:tc>
              <w:tc>
                <w:tcPr>
                  <w:tcW w:w="442" w:type="pct"/>
                  <w:tcBorders>
                    <w:tl2br w:val="nil"/>
                    <w:tr2bl w:val="nil"/>
                  </w:tcBorders>
                  <w:noWrap w:val="0"/>
                  <w:vAlign w:val="center"/>
                </w:tcPr>
                <w:p w14:paraId="158A921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8760</w:t>
                  </w:r>
                </w:p>
              </w:tc>
            </w:tr>
            <w:tr w14:paraId="0DA4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257" w:type="pct"/>
                  <w:vMerge w:val="continue"/>
                  <w:tcBorders>
                    <w:tl2br w:val="nil"/>
                    <w:tr2bl w:val="nil"/>
                  </w:tcBorders>
                  <w:noWrap w:val="0"/>
                  <w:vAlign w:val="center"/>
                </w:tcPr>
                <w:p w14:paraId="10CC9BF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399" w:type="pct"/>
                  <w:tcBorders>
                    <w:tl2br w:val="nil"/>
                    <w:tr2bl w:val="nil"/>
                  </w:tcBorders>
                  <w:noWrap w:val="0"/>
                  <w:vAlign w:val="center"/>
                </w:tcPr>
                <w:p w14:paraId="26BAD2E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卸油</w:t>
                  </w:r>
                  <w:r>
                    <w:rPr>
                      <w:rFonts w:hint="default" w:ascii="Times New Roman" w:hAnsi="Times New Roman" w:eastAsia="宋体" w:cs="Times New Roman"/>
                      <w:color w:val="auto"/>
                      <w:sz w:val="21"/>
                      <w:szCs w:val="21"/>
                      <w:highlight w:val="none"/>
                      <w:u w:val="none"/>
                    </w:rPr>
                    <w:t>挥发损失</w:t>
                  </w:r>
                </w:p>
              </w:tc>
              <w:tc>
                <w:tcPr>
                  <w:tcW w:w="463" w:type="pct"/>
                  <w:vMerge w:val="continue"/>
                  <w:tcBorders>
                    <w:tl2br w:val="nil"/>
                    <w:tr2bl w:val="nil"/>
                  </w:tcBorders>
                  <w:noWrap w:val="0"/>
                  <w:vAlign w:val="center"/>
                </w:tcPr>
                <w:p w14:paraId="76DAD28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807" w:type="dxa"/>
                  <w:tcBorders>
                    <w:tl2br w:val="nil"/>
                    <w:tr2bl w:val="nil"/>
                  </w:tcBorders>
                  <w:noWrap w:val="0"/>
                  <w:vAlign w:val="center"/>
                </w:tcPr>
                <w:p w14:paraId="545745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3.6837 </w:t>
                  </w:r>
                </w:p>
              </w:tc>
              <w:tc>
                <w:tcPr>
                  <w:tcW w:w="846" w:type="dxa"/>
                  <w:tcBorders>
                    <w:tl2br w:val="nil"/>
                    <w:tr2bl w:val="nil"/>
                  </w:tcBorders>
                  <w:noWrap w:val="0"/>
                  <w:vAlign w:val="center"/>
                </w:tcPr>
                <w:p w14:paraId="26C3C50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i w:val="0"/>
                      <w:iCs w:val="0"/>
                      <w:color w:val="000000"/>
                      <w:kern w:val="0"/>
                      <w:sz w:val="21"/>
                      <w:szCs w:val="21"/>
                      <w:u w:val="none"/>
                      <w:lang w:val="en-US" w:eastAsia="zh-CN" w:bidi="ar"/>
                    </w:rPr>
                    <w:t>0.368368</w:t>
                  </w:r>
                </w:p>
              </w:tc>
              <w:tc>
                <w:tcPr>
                  <w:tcW w:w="444" w:type="pct"/>
                  <w:tcBorders>
                    <w:tl2br w:val="nil"/>
                    <w:tr2bl w:val="nil"/>
                  </w:tcBorders>
                  <w:noWrap w:val="0"/>
                  <w:vAlign w:val="center"/>
                </w:tcPr>
                <w:p w14:paraId="1EBCBE2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一次回收</w:t>
                  </w:r>
                </w:p>
              </w:tc>
              <w:tc>
                <w:tcPr>
                  <w:tcW w:w="388" w:type="pct"/>
                  <w:tcBorders>
                    <w:tl2br w:val="nil"/>
                    <w:tr2bl w:val="nil"/>
                  </w:tcBorders>
                  <w:noWrap w:val="0"/>
                  <w:vAlign w:val="center"/>
                </w:tcPr>
                <w:p w14:paraId="556AD98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95%</w:t>
                  </w:r>
                </w:p>
              </w:tc>
              <w:tc>
                <w:tcPr>
                  <w:tcW w:w="970" w:type="dxa"/>
                  <w:tcBorders>
                    <w:tl2br w:val="nil"/>
                    <w:tr2bl w:val="nil"/>
                  </w:tcBorders>
                  <w:shd w:val="clear" w:color="auto" w:fill="auto"/>
                  <w:noWrap w:val="0"/>
                  <w:vAlign w:val="center"/>
                </w:tcPr>
                <w:p w14:paraId="420D5D8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0.1842 </w:t>
                  </w:r>
                </w:p>
              </w:tc>
              <w:tc>
                <w:tcPr>
                  <w:tcW w:w="1009" w:type="dxa"/>
                  <w:tcBorders>
                    <w:tl2br w:val="nil"/>
                    <w:tr2bl w:val="nil"/>
                  </w:tcBorders>
                  <w:noWrap w:val="0"/>
                  <w:vAlign w:val="center"/>
                </w:tcPr>
                <w:p w14:paraId="754E04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0.01842 </w:t>
                  </w:r>
                </w:p>
              </w:tc>
              <w:tc>
                <w:tcPr>
                  <w:tcW w:w="465" w:type="pct"/>
                  <w:tcBorders>
                    <w:tl2br w:val="nil"/>
                    <w:tr2bl w:val="nil"/>
                  </w:tcBorders>
                  <w:noWrap w:val="0"/>
                  <w:vAlign w:val="center"/>
                </w:tcPr>
                <w:p w14:paraId="02C3DE7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无组织</w:t>
                  </w:r>
                </w:p>
              </w:tc>
              <w:tc>
                <w:tcPr>
                  <w:tcW w:w="442" w:type="pct"/>
                  <w:tcBorders>
                    <w:tl2br w:val="nil"/>
                    <w:tr2bl w:val="nil"/>
                  </w:tcBorders>
                  <w:noWrap w:val="0"/>
                  <w:vAlign w:val="center"/>
                </w:tcPr>
                <w:p w14:paraId="3233B40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100</w:t>
                  </w:r>
                </w:p>
              </w:tc>
            </w:tr>
            <w:tr w14:paraId="72DB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257" w:type="pct"/>
                  <w:vMerge w:val="continue"/>
                  <w:tcBorders>
                    <w:tl2br w:val="nil"/>
                    <w:tr2bl w:val="nil"/>
                  </w:tcBorders>
                  <w:noWrap w:val="0"/>
                  <w:vAlign w:val="center"/>
                </w:tcPr>
                <w:p w14:paraId="2A70FE1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399" w:type="pct"/>
                  <w:tcBorders>
                    <w:tl2br w:val="nil"/>
                    <w:tr2bl w:val="nil"/>
                  </w:tcBorders>
                  <w:shd w:val="clear" w:color="auto" w:fill="auto"/>
                  <w:noWrap w:val="0"/>
                  <w:vAlign w:val="center"/>
                </w:tcPr>
                <w:p w14:paraId="784B442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加油作业损失</w:t>
                  </w:r>
                </w:p>
              </w:tc>
              <w:tc>
                <w:tcPr>
                  <w:tcW w:w="463" w:type="pct"/>
                  <w:vMerge w:val="continue"/>
                  <w:tcBorders>
                    <w:tl2br w:val="nil"/>
                    <w:tr2bl w:val="nil"/>
                  </w:tcBorders>
                  <w:shd w:val="clear" w:color="auto" w:fill="auto"/>
                  <w:noWrap w:val="0"/>
                  <w:vAlign w:val="center"/>
                </w:tcPr>
                <w:p w14:paraId="3C88287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p>
              </w:tc>
              <w:tc>
                <w:tcPr>
                  <w:tcW w:w="807" w:type="dxa"/>
                  <w:tcBorders>
                    <w:tl2br w:val="nil"/>
                    <w:tr2bl w:val="nil"/>
                  </w:tcBorders>
                  <w:shd w:val="clear" w:color="auto" w:fill="auto"/>
                  <w:noWrap w:val="0"/>
                  <w:vAlign w:val="center"/>
                </w:tcPr>
                <w:p w14:paraId="4401CDA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0.0053 </w:t>
                  </w:r>
                </w:p>
              </w:tc>
              <w:tc>
                <w:tcPr>
                  <w:tcW w:w="846" w:type="dxa"/>
                  <w:tcBorders>
                    <w:tl2br w:val="nil"/>
                    <w:tr2bl w:val="nil"/>
                  </w:tcBorders>
                  <w:shd w:val="clear" w:color="auto" w:fill="auto"/>
                  <w:noWrap w:val="0"/>
                  <w:vAlign w:val="center"/>
                </w:tcPr>
                <w:p w14:paraId="44BD096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0.046046</w:t>
                  </w:r>
                </w:p>
              </w:tc>
              <w:tc>
                <w:tcPr>
                  <w:tcW w:w="444" w:type="pct"/>
                  <w:tcBorders>
                    <w:tl2br w:val="nil"/>
                    <w:tr2bl w:val="nil"/>
                  </w:tcBorders>
                  <w:shd w:val="clear" w:color="auto" w:fill="auto"/>
                  <w:noWrap w:val="0"/>
                  <w:vAlign w:val="center"/>
                </w:tcPr>
                <w:p w14:paraId="35B89B3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二次回收</w:t>
                  </w:r>
                </w:p>
              </w:tc>
              <w:tc>
                <w:tcPr>
                  <w:tcW w:w="388" w:type="pct"/>
                  <w:tcBorders>
                    <w:tl2br w:val="nil"/>
                    <w:tr2bl w:val="nil"/>
                  </w:tcBorders>
                  <w:shd w:val="clear" w:color="auto" w:fill="auto"/>
                  <w:noWrap w:val="0"/>
                  <w:vAlign w:val="center"/>
                </w:tcPr>
                <w:p w14:paraId="6275277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9</w:t>
                  </w:r>
                  <w:r>
                    <w:rPr>
                      <w:rFonts w:hint="eastAsia"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1ABB07C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0.0005 </w:t>
                  </w:r>
                </w:p>
              </w:tc>
              <w:tc>
                <w:tcPr>
                  <w:tcW w:w="1009" w:type="dxa"/>
                  <w:tcBorders>
                    <w:tl2br w:val="nil"/>
                    <w:tr2bl w:val="nil"/>
                  </w:tcBorders>
                  <w:shd w:val="clear" w:color="auto" w:fill="auto"/>
                  <w:noWrap w:val="0"/>
                  <w:vAlign w:val="center"/>
                </w:tcPr>
                <w:p w14:paraId="763B408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0.00460 </w:t>
                  </w:r>
                </w:p>
              </w:tc>
              <w:tc>
                <w:tcPr>
                  <w:tcW w:w="465" w:type="pct"/>
                  <w:tcBorders>
                    <w:tl2br w:val="nil"/>
                    <w:tr2bl w:val="nil"/>
                  </w:tcBorders>
                  <w:shd w:val="clear" w:color="auto" w:fill="auto"/>
                  <w:noWrap w:val="0"/>
                  <w:vAlign w:val="center"/>
                </w:tcPr>
                <w:p w14:paraId="1EBE6FC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无组织</w:t>
                  </w:r>
                </w:p>
              </w:tc>
              <w:tc>
                <w:tcPr>
                  <w:tcW w:w="442" w:type="pct"/>
                  <w:tcBorders>
                    <w:tl2br w:val="nil"/>
                    <w:tr2bl w:val="nil"/>
                  </w:tcBorders>
                  <w:noWrap w:val="0"/>
                  <w:vAlign w:val="center"/>
                </w:tcPr>
                <w:p w14:paraId="39D7618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8760</w:t>
                  </w:r>
                </w:p>
              </w:tc>
            </w:tr>
            <w:tr w14:paraId="66D7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257" w:type="pct"/>
                  <w:vMerge w:val="continue"/>
                  <w:tcBorders>
                    <w:tl2br w:val="nil"/>
                    <w:tr2bl w:val="nil"/>
                  </w:tcBorders>
                  <w:noWrap w:val="0"/>
                  <w:vAlign w:val="center"/>
                </w:tcPr>
                <w:p w14:paraId="0238207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399" w:type="pct"/>
                  <w:tcBorders>
                    <w:tl2br w:val="nil"/>
                    <w:tr2bl w:val="nil"/>
                  </w:tcBorders>
                  <w:noWrap w:val="0"/>
                  <w:vAlign w:val="center"/>
                </w:tcPr>
                <w:p w14:paraId="0190A2A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加油</w:t>
                  </w:r>
                  <w:r>
                    <w:rPr>
                      <w:rFonts w:hint="eastAsia" w:cs="Times New Roman"/>
                      <w:color w:val="auto"/>
                      <w:sz w:val="21"/>
                      <w:szCs w:val="21"/>
                      <w:highlight w:val="none"/>
                      <w:u w:val="none"/>
                      <w:lang w:val="en-US" w:eastAsia="zh-CN"/>
                    </w:rPr>
                    <w:t>跑冒滴漏</w:t>
                  </w:r>
                </w:p>
              </w:tc>
              <w:tc>
                <w:tcPr>
                  <w:tcW w:w="463" w:type="pct"/>
                  <w:vMerge w:val="continue"/>
                  <w:tcBorders>
                    <w:tl2br w:val="nil"/>
                    <w:tr2bl w:val="nil"/>
                  </w:tcBorders>
                  <w:noWrap w:val="0"/>
                  <w:vAlign w:val="center"/>
                </w:tcPr>
                <w:p w14:paraId="770F4B7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p>
              </w:tc>
              <w:tc>
                <w:tcPr>
                  <w:tcW w:w="807" w:type="dxa"/>
                  <w:tcBorders>
                    <w:tl2br w:val="nil"/>
                    <w:tr2bl w:val="nil"/>
                  </w:tcBorders>
                  <w:noWrap w:val="0"/>
                  <w:vAlign w:val="center"/>
                </w:tcPr>
                <w:p w14:paraId="5E299B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0.0017 </w:t>
                  </w:r>
                </w:p>
              </w:tc>
              <w:tc>
                <w:tcPr>
                  <w:tcW w:w="846" w:type="dxa"/>
                  <w:tcBorders>
                    <w:tl2br w:val="nil"/>
                    <w:tr2bl w:val="nil"/>
                  </w:tcBorders>
                  <w:noWrap w:val="0"/>
                  <w:vAlign w:val="center"/>
                </w:tcPr>
                <w:p w14:paraId="436816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i w:val="0"/>
                      <w:iCs w:val="0"/>
                      <w:color w:val="000000"/>
                      <w:kern w:val="0"/>
                      <w:sz w:val="21"/>
                      <w:szCs w:val="21"/>
                      <w:u w:val="none"/>
                      <w:lang w:val="en-US" w:eastAsia="zh-CN" w:bidi="ar"/>
                    </w:rPr>
                    <w:t>0.0150696</w:t>
                  </w:r>
                </w:p>
              </w:tc>
              <w:tc>
                <w:tcPr>
                  <w:tcW w:w="444" w:type="pct"/>
                  <w:tcBorders>
                    <w:tl2br w:val="nil"/>
                    <w:tr2bl w:val="nil"/>
                  </w:tcBorders>
                  <w:noWrap w:val="0"/>
                  <w:vAlign w:val="center"/>
                </w:tcPr>
                <w:p w14:paraId="3FC6E3B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388" w:type="pct"/>
                  <w:tcBorders>
                    <w:tl2br w:val="nil"/>
                    <w:tr2bl w:val="nil"/>
                  </w:tcBorders>
                  <w:noWrap w:val="0"/>
                  <w:vAlign w:val="center"/>
                </w:tcPr>
                <w:p w14:paraId="57C627A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037762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0.0017 </w:t>
                  </w:r>
                </w:p>
              </w:tc>
              <w:tc>
                <w:tcPr>
                  <w:tcW w:w="1009" w:type="dxa"/>
                  <w:tcBorders>
                    <w:tl2br w:val="nil"/>
                    <w:tr2bl w:val="nil"/>
                  </w:tcBorders>
                  <w:noWrap w:val="0"/>
                  <w:vAlign w:val="center"/>
                </w:tcPr>
                <w:p w14:paraId="5CD74A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0.01507 </w:t>
                  </w:r>
                </w:p>
              </w:tc>
              <w:tc>
                <w:tcPr>
                  <w:tcW w:w="465" w:type="pct"/>
                  <w:tcBorders>
                    <w:tl2br w:val="nil"/>
                    <w:tr2bl w:val="nil"/>
                  </w:tcBorders>
                  <w:noWrap w:val="0"/>
                  <w:vAlign w:val="center"/>
                </w:tcPr>
                <w:p w14:paraId="2E04C9C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无组织</w:t>
                  </w:r>
                </w:p>
              </w:tc>
              <w:tc>
                <w:tcPr>
                  <w:tcW w:w="442" w:type="pct"/>
                  <w:tcBorders>
                    <w:tl2br w:val="nil"/>
                    <w:tr2bl w:val="nil"/>
                  </w:tcBorders>
                  <w:noWrap w:val="0"/>
                  <w:vAlign w:val="center"/>
                </w:tcPr>
                <w:p w14:paraId="6BB0EC2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8760</w:t>
                  </w:r>
                </w:p>
              </w:tc>
            </w:tr>
            <w:tr w14:paraId="21E3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trPr>
              <w:tc>
                <w:tcPr>
                  <w:tcW w:w="257" w:type="pct"/>
                  <w:vMerge w:val="restart"/>
                  <w:tcBorders>
                    <w:tl2br w:val="nil"/>
                    <w:tr2bl w:val="nil"/>
                  </w:tcBorders>
                  <w:noWrap w:val="0"/>
                  <w:vAlign w:val="center"/>
                </w:tcPr>
                <w:p w14:paraId="7319B17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柴油</w:t>
                  </w:r>
                </w:p>
              </w:tc>
              <w:tc>
                <w:tcPr>
                  <w:tcW w:w="399" w:type="pct"/>
                  <w:tcBorders>
                    <w:tl2br w:val="nil"/>
                    <w:tr2bl w:val="nil"/>
                  </w:tcBorders>
                  <w:shd w:val="clear" w:color="auto" w:fill="auto"/>
                  <w:noWrap w:val="0"/>
                  <w:vAlign w:val="center"/>
                </w:tcPr>
                <w:p w14:paraId="7720317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储存挥发损失</w:t>
                  </w:r>
                </w:p>
              </w:tc>
              <w:tc>
                <w:tcPr>
                  <w:tcW w:w="463" w:type="pct"/>
                  <w:vMerge w:val="restart"/>
                  <w:tcBorders>
                    <w:tl2br w:val="nil"/>
                    <w:tr2bl w:val="nil"/>
                  </w:tcBorders>
                  <w:noWrap w:val="0"/>
                  <w:vAlign w:val="center"/>
                </w:tcPr>
                <w:p w14:paraId="6D6018D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非甲烷总烃</w:t>
                  </w:r>
                </w:p>
              </w:tc>
              <w:tc>
                <w:tcPr>
                  <w:tcW w:w="807" w:type="dxa"/>
                  <w:tcBorders>
                    <w:tl2br w:val="nil"/>
                    <w:tr2bl w:val="nil"/>
                  </w:tcBorders>
                  <w:noWrap w:val="0"/>
                  <w:vAlign w:val="center"/>
                </w:tcPr>
                <w:p w14:paraId="0886EE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0.0030 </w:t>
                  </w:r>
                </w:p>
              </w:tc>
              <w:tc>
                <w:tcPr>
                  <w:tcW w:w="846" w:type="dxa"/>
                  <w:tcBorders>
                    <w:tl2br w:val="nil"/>
                    <w:tr2bl w:val="nil"/>
                  </w:tcBorders>
                  <w:noWrap w:val="0"/>
                  <w:vAlign w:val="center"/>
                </w:tcPr>
                <w:p w14:paraId="392E83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0.02592</w:t>
                  </w:r>
                </w:p>
              </w:tc>
              <w:tc>
                <w:tcPr>
                  <w:tcW w:w="444" w:type="pct"/>
                  <w:tcBorders>
                    <w:tl2br w:val="nil"/>
                    <w:tr2bl w:val="nil"/>
                  </w:tcBorders>
                  <w:noWrap w:val="0"/>
                  <w:vAlign w:val="center"/>
                </w:tcPr>
                <w:p w14:paraId="5AE923D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388" w:type="pct"/>
                  <w:tcBorders>
                    <w:tl2br w:val="nil"/>
                    <w:tr2bl w:val="nil"/>
                  </w:tcBorders>
                  <w:noWrap w:val="0"/>
                  <w:vAlign w:val="center"/>
                </w:tcPr>
                <w:p w14:paraId="1EC4ED7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6CEB75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0.0030 </w:t>
                  </w:r>
                </w:p>
              </w:tc>
              <w:tc>
                <w:tcPr>
                  <w:tcW w:w="1009" w:type="dxa"/>
                  <w:tcBorders>
                    <w:tl2br w:val="nil"/>
                    <w:tr2bl w:val="nil"/>
                  </w:tcBorders>
                  <w:noWrap w:val="0"/>
                  <w:vAlign w:val="center"/>
                </w:tcPr>
                <w:p w14:paraId="0424EC24">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0.02592 </w:t>
                  </w:r>
                </w:p>
              </w:tc>
              <w:tc>
                <w:tcPr>
                  <w:tcW w:w="465" w:type="pct"/>
                  <w:vMerge w:val="restart"/>
                  <w:tcBorders>
                    <w:tl2br w:val="nil"/>
                    <w:tr2bl w:val="nil"/>
                  </w:tcBorders>
                  <w:noWrap w:val="0"/>
                  <w:vAlign w:val="center"/>
                </w:tcPr>
                <w:p w14:paraId="6A06E10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无组织</w:t>
                  </w:r>
                </w:p>
              </w:tc>
              <w:tc>
                <w:tcPr>
                  <w:tcW w:w="442" w:type="pct"/>
                  <w:tcBorders>
                    <w:tl2br w:val="nil"/>
                    <w:tr2bl w:val="nil"/>
                  </w:tcBorders>
                  <w:noWrap w:val="0"/>
                  <w:vAlign w:val="center"/>
                </w:tcPr>
                <w:p w14:paraId="122B313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8760</w:t>
                  </w:r>
                </w:p>
              </w:tc>
            </w:tr>
            <w:tr w14:paraId="10E8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trPr>
              <w:tc>
                <w:tcPr>
                  <w:tcW w:w="257" w:type="pct"/>
                  <w:vMerge w:val="continue"/>
                  <w:tcBorders>
                    <w:tl2br w:val="nil"/>
                    <w:tr2bl w:val="nil"/>
                  </w:tcBorders>
                  <w:noWrap w:val="0"/>
                  <w:vAlign w:val="center"/>
                </w:tcPr>
                <w:p w14:paraId="70EB27E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399" w:type="pct"/>
                  <w:tcBorders>
                    <w:tl2br w:val="nil"/>
                    <w:tr2bl w:val="nil"/>
                  </w:tcBorders>
                  <w:shd w:val="clear" w:color="auto" w:fill="auto"/>
                  <w:noWrap w:val="0"/>
                  <w:vAlign w:val="center"/>
                </w:tcPr>
                <w:p w14:paraId="5DB653F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卸油</w:t>
                  </w:r>
                  <w:r>
                    <w:rPr>
                      <w:rFonts w:hint="default" w:ascii="Times New Roman" w:hAnsi="Times New Roman" w:eastAsia="宋体" w:cs="Times New Roman"/>
                      <w:color w:val="auto"/>
                      <w:sz w:val="21"/>
                      <w:szCs w:val="21"/>
                      <w:highlight w:val="none"/>
                      <w:u w:val="none"/>
                    </w:rPr>
                    <w:t>挥发损失</w:t>
                  </w:r>
                </w:p>
              </w:tc>
              <w:tc>
                <w:tcPr>
                  <w:tcW w:w="463" w:type="pct"/>
                  <w:vMerge w:val="continue"/>
                  <w:tcBorders>
                    <w:tl2br w:val="nil"/>
                    <w:tr2bl w:val="nil"/>
                  </w:tcBorders>
                  <w:noWrap w:val="0"/>
                  <w:vAlign w:val="center"/>
                </w:tcPr>
                <w:p w14:paraId="5B3F84E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807" w:type="dxa"/>
                  <w:tcBorders>
                    <w:tl2br w:val="nil"/>
                    <w:tr2bl w:val="nil"/>
                  </w:tcBorders>
                  <w:noWrap w:val="0"/>
                  <w:vAlign w:val="center"/>
                </w:tcPr>
                <w:p w14:paraId="309AA7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46" w:type="dxa"/>
                  <w:tcBorders>
                    <w:tl2br w:val="nil"/>
                    <w:tr2bl w:val="nil"/>
                  </w:tcBorders>
                  <w:noWrap w:val="0"/>
                  <w:vAlign w:val="center"/>
                </w:tcPr>
                <w:p w14:paraId="4918E32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eastAsia" w:ascii="宋体" w:hAnsi="宋体" w:eastAsia="宋体" w:cs="宋体"/>
                      <w:i w:val="0"/>
                      <w:iCs w:val="0"/>
                      <w:color w:val="000000"/>
                      <w:kern w:val="0"/>
                      <w:sz w:val="21"/>
                      <w:szCs w:val="21"/>
                      <w:u w:val="none"/>
                      <w:lang w:val="en-US" w:eastAsia="zh-CN" w:bidi="ar"/>
                    </w:rPr>
                    <w:t>极少量</w:t>
                  </w:r>
                </w:p>
              </w:tc>
              <w:tc>
                <w:tcPr>
                  <w:tcW w:w="444" w:type="pct"/>
                  <w:tcBorders>
                    <w:tl2br w:val="nil"/>
                    <w:tr2bl w:val="nil"/>
                  </w:tcBorders>
                  <w:noWrap w:val="0"/>
                  <w:vAlign w:val="center"/>
                </w:tcPr>
                <w:p w14:paraId="242CE23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388" w:type="pct"/>
                  <w:tcBorders>
                    <w:tl2br w:val="nil"/>
                    <w:tr2bl w:val="nil"/>
                  </w:tcBorders>
                  <w:noWrap w:val="0"/>
                  <w:vAlign w:val="center"/>
                </w:tcPr>
                <w:p w14:paraId="1C8BF0A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746A103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9" w:type="dxa"/>
                  <w:tcBorders>
                    <w:tl2br w:val="nil"/>
                    <w:tr2bl w:val="nil"/>
                  </w:tcBorders>
                  <w:noWrap w:val="0"/>
                  <w:vAlign w:val="center"/>
                </w:tcPr>
                <w:p w14:paraId="5205BE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eastAsia" w:ascii="宋体" w:hAnsi="宋体" w:eastAsia="宋体" w:cs="宋体"/>
                      <w:i w:val="0"/>
                      <w:iCs w:val="0"/>
                      <w:color w:val="000000"/>
                      <w:kern w:val="0"/>
                      <w:sz w:val="21"/>
                      <w:szCs w:val="21"/>
                      <w:u w:val="none"/>
                      <w:lang w:val="en-US" w:eastAsia="zh-CN" w:bidi="ar"/>
                    </w:rPr>
                    <w:t>极少量</w:t>
                  </w:r>
                </w:p>
              </w:tc>
              <w:tc>
                <w:tcPr>
                  <w:tcW w:w="465" w:type="pct"/>
                  <w:vMerge w:val="continue"/>
                  <w:tcBorders>
                    <w:tl2br w:val="nil"/>
                    <w:tr2bl w:val="nil"/>
                  </w:tcBorders>
                  <w:noWrap w:val="0"/>
                  <w:vAlign w:val="center"/>
                </w:tcPr>
                <w:p w14:paraId="7E931CB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442" w:type="pct"/>
                  <w:tcBorders>
                    <w:tl2br w:val="nil"/>
                    <w:tr2bl w:val="nil"/>
                  </w:tcBorders>
                  <w:noWrap w:val="0"/>
                  <w:vAlign w:val="center"/>
                </w:tcPr>
                <w:p w14:paraId="24151A5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100</w:t>
                  </w:r>
                </w:p>
              </w:tc>
            </w:tr>
            <w:tr w14:paraId="65FB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trPr>
              <w:tc>
                <w:tcPr>
                  <w:tcW w:w="257" w:type="pct"/>
                  <w:vMerge w:val="continue"/>
                  <w:tcBorders>
                    <w:tl2br w:val="nil"/>
                    <w:tr2bl w:val="nil"/>
                  </w:tcBorders>
                  <w:noWrap w:val="0"/>
                  <w:vAlign w:val="center"/>
                </w:tcPr>
                <w:p w14:paraId="361D993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399" w:type="pct"/>
                  <w:tcBorders>
                    <w:tl2br w:val="nil"/>
                    <w:tr2bl w:val="nil"/>
                  </w:tcBorders>
                  <w:shd w:val="clear" w:color="auto" w:fill="auto"/>
                  <w:noWrap w:val="0"/>
                  <w:vAlign w:val="center"/>
                </w:tcPr>
                <w:p w14:paraId="4A49BF3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加油作业损失</w:t>
                  </w:r>
                </w:p>
              </w:tc>
              <w:tc>
                <w:tcPr>
                  <w:tcW w:w="463" w:type="pct"/>
                  <w:vMerge w:val="continue"/>
                  <w:tcBorders>
                    <w:tl2br w:val="nil"/>
                    <w:tr2bl w:val="nil"/>
                  </w:tcBorders>
                  <w:noWrap w:val="0"/>
                  <w:vAlign w:val="center"/>
                </w:tcPr>
                <w:p w14:paraId="5875F20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807" w:type="dxa"/>
                  <w:tcBorders>
                    <w:tl2br w:val="nil"/>
                    <w:tr2bl w:val="nil"/>
                  </w:tcBorders>
                  <w:noWrap w:val="0"/>
                  <w:vAlign w:val="center"/>
                </w:tcPr>
                <w:p w14:paraId="04D453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0.0053 </w:t>
                  </w:r>
                </w:p>
              </w:tc>
              <w:tc>
                <w:tcPr>
                  <w:tcW w:w="846" w:type="dxa"/>
                  <w:tcBorders>
                    <w:tl2br w:val="nil"/>
                    <w:tr2bl w:val="nil"/>
                  </w:tcBorders>
                  <w:noWrap w:val="0"/>
                  <w:vAlign w:val="center"/>
                </w:tcPr>
                <w:p w14:paraId="011620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0.04608</w:t>
                  </w:r>
                </w:p>
              </w:tc>
              <w:tc>
                <w:tcPr>
                  <w:tcW w:w="444" w:type="pct"/>
                  <w:tcBorders>
                    <w:tl2br w:val="nil"/>
                    <w:tr2bl w:val="nil"/>
                  </w:tcBorders>
                  <w:noWrap w:val="0"/>
                  <w:vAlign w:val="center"/>
                </w:tcPr>
                <w:p w14:paraId="6C4AB2E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388" w:type="pct"/>
                  <w:tcBorders>
                    <w:tl2br w:val="nil"/>
                    <w:tr2bl w:val="nil"/>
                  </w:tcBorders>
                  <w:noWrap w:val="0"/>
                  <w:vAlign w:val="center"/>
                </w:tcPr>
                <w:p w14:paraId="5B3415A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79701A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0.0053 </w:t>
                  </w:r>
                </w:p>
              </w:tc>
              <w:tc>
                <w:tcPr>
                  <w:tcW w:w="1009" w:type="dxa"/>
                  <w:tcBorders>
                    <w:tl2br w:val="nil"/>
                    <w:tr2bl w:val="nil"/>
                  </w:tcBorders>
                  <w:noWrap w:val="0"/>
                  <w:vAlign w:val="center"/>
                </w:tcPr>
                <w:p w14:paraId="141BC2E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0.04608</w:t>
                  </w:r>
                </w:p>
              </w:tc>
              <w:tc>
                <w:tcPr>
                  <w:tcW w:w="465" w:type="pct"/>
                  <w:vMerge w:val="continue"/>
                  <w:tcBorders>
                    <w:tl2br w:val="nil"/>
                    <w:tr2bl w:val="nil"/>
                  </w:tcBorders>
                  <w:noWrap w:val="0"/>
                  <w:vAlign w:val="center"/>
                </w:tcPr>
                <w:p w14:paraId="45E9499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442" w:type="pct"/>
                  <w:tcBorders>
                    <w:tl2br w:val="nil"/>
                    <w:tr2bl w:val="nil"/>
                  </w:tcBorders>
                  <w:noWrap w:val="0"/>
                  <w:vAlign w:val="center"/>
                </w:tcPr>
                <w:p w14:paraId="4A74BEE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8760</w:t>
                  </w:r>
                </w:p>
              </w:tc>
            </w:tr>
            <w:tr w14:paraId="2CBF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 w:hRule="atLeast"/>
              </w:trPr>
              <w:tc>
                <w:tcPr>
                  <w:tcW w:w="257" w:type="pct"/>
                  <w:vMerge w:val="continue"/>
                  <w:tcBorders>
                    <w:tl2br w:val="nil"/>
                    <w:tr2bl w:val="nil"/>
                  </w:tcBorders>
                  <w:noWrap w:val="0"/>
                  <w:vAlign w:val="center"/>
                </w:tcPr>
                <w:p w14:paraId="3C6D37E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399" w:type="pct"/>
                  <w:tcBorders>
                    <w:tl2br w:val="nil"/>
                    <w:tr2bl w:val="nil"/>
                  </w:tcBorders>
                  <w:shd w:val="clear" w:color="auto" w:fill="auto"/>
                  <w:noWrap w:val="0"/>
                  <w:vAlign w:val="center"/>
                </w:tcPr>
                <w:p w14:paraId="3CEC9F0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加油</w:t>
                  </w:r>
                  <w:r>
                    <w:rPr>
                      <w:rFonts w:hint="eastAsia" w:cs="Times New Roman"/>
                      <w:color w:val="auto"/>
                      <w:sz w:val="21"/>
                      <w:szCs w:val="21"/>
                      <w:highlight w:val="none"/>
                      <w:u w:val="none"/>
                      <w:lang w:val="en-US" w:eastAsia="zh-CN"/>
                    </w:rPr>
                    <w:t>跑冒滴漏</w:t>
                  </w:r>
                </w:p>
              </w:tc>
              <w:tc>
                <w:tcPr>
                  <w:tcW w:w="463" w:type="pct"/>
                  <w:vMerge w:val="continue"/>
                  <w:tcBorders>
                    <w:tl2br w:val="nil"/>
                    <w:tr2bl w:val="nil"/>
                  </w:tcBorders>
                  <w:noWrap w:val="0"/>
                  <w:vAlign w:val="center"/>
                </w:tcPr>
                <w:p w14:paraId="7659BEB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807" w:type="dxa"/>
                  <w:tcBorders>
                    <w:tl2br w:val="nil"/>
                    <w:tr2bl w:val="nil"/>
                  </w:tcBorders>
                  <w:noWrap w:val="0"/>
                  <w:vAlign w:val="center"/>
                </w:tcPr>
                <w:p w14:paraId="014A14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0.0039 </w:t>
                  </w:r>
                </w:p>
              </w:tc>
              <w:tc>
                <w:tcPr>
                  <w:tcW w:w="846" w:type="dxa"/>
                  <w:tcBorders>
                    <w:tl2br w:val="nil"/>
                    <w:tr2bl w:val="nil"/>
                  </w:tcBorders>
                  <w:noWrap w:val="0"/>
                  <w:vAlign w:val="center"/>
                </w:tcPr>
                <w:p w14:paraId="0C2152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0.03456</w:t>
                  </w:r>
                </w:p>
              </w:tc>
              <w:tc>
                <w:tcPr>
                  <w:tcW w:w="444" w:type="pct"/>
                  <w:tcBorders>
                    <w:tl2br w:val="nil"/>
                    <w:tr2bl w:val="nil"/>
                  </w:tcBorders>
                  <w:noWrap w:val="0"/>
                  <w:vAlign w:val="center"/>
                </w:tcPr>
                <w:p w14:paraId="0652962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w:t>
                  </w:r>
                </w:p>
              </w:tc>
              <w:tc>
                <w:tcPr>
                  <w:tcW w:w="388" w:type="pct"/>
                  <w:tcBorders>
                    <w:tl2br w:val="nil"/>
                    <w:tr2bl w:val="nil"/>
                  </w:tcBorders>
                  <w:noWrap w:val="0"/>
                  <w:vAlign w:val="center"/>
                </w:tcPr>
                <w:p w14:paraId="6594FD4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970" w:type="dxa"/>
                  <w:tcBorders>
                    <w:tl2br w:val="nil"/>
                    <w:tr2bl w:val="nil"/>
                  </w:tcBorders>
                  <w:shd w:val="clear" w:color="auto" w:fill="auto"/>
                  <w:noWrap w:val="0"/>
                  <w:vAlign w:val="center"/>
                </w:tcPr>
                <w:p w14:paraId="53FE34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0.0039 </w:t>
                  </w:r>
                </w:p>
              </w:tc>
              <w:tc>
                <w:tcPr>
                  <w:tcW w:w="1009" w:type="dxa"/>
                  <w:tcBorders>
                    <w:tl2br w:val="nil"/>
                    <w:tr2bl w:val="nil"/>
                  </w:tcBorders>
                  <w:noWrap w:val="0"/>
                  <w:vAlign w:val="center"/>
                </w:tcPr>
                <w:p w14:paraId="37C708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0.03456</w:t>
                  </w:r>
                </w:p>
              </w:tc>
              <w:tc>
                <w:tcPr>
                  <w:tcW w:w="465" w:type="pct"/>
                  <w:vMerge w:val="continue"/>
                  <w:tcBorders>
                    <w:tl2br w:val="nil"/>
                    <w:tr2bl w:val="nil"/>
                  </w:tcBorders>
                  <w:noWrap w:val="0"/>
                  <w:vAlign w:val="center"/>
                </w:tcPr>
                <w:p w14:paraId="6B0AA65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442" w:type="pct"/>
                  <w:tcBorders>
                    <w:tl2br w:val="nil"/>
                    <w:tr2bl w:val="nil"/>
                  </w:tcBorders>
                  <w:noWrap w:val="0"/>
                  <w:vAlign w:val="center"/>
                </w:tcPr>
                <w:p w14:paraId="52312CF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8760</w:t>
                  </w:r>
                </w:p>
              </w:tc>
            </w:tr>
            <w:tr w14:paraId="0F0E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57" w:type="pct"/>
                  <w:gridSpan w:val="2"/>
                  <w:tcBorders>
                    <w:tl2br w:val="nil"/>
                    <w:tr2bl w:val="nil"/>
                  </w:tcBorders>
                  <w:noWrap w:val="0"/>
                  <w:vAlign w:val="center"/>
                </w:tcPr>
                <w:p w14:paraId="2840940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汽车尾气</w:t>
                  </w:r>
                </w:p>
              </w:tc>
              <w:tc>
                <w:tcPr>
                  <w:tcW w:w="463" w:type="pct"/>
                  <w:tcBorders>
                    <w:tl2br w:val="nil"/>
                    <w:tr2bl w:val="nil"/>
                  </w:tcBorders>
                  <w:noWrap w:val="0"/>
                  <w:vAlign w:val="center"/>
                </w:tcPr>
                <w:p w14:paraId="1F87A04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CO、</w:t>
                  </w:r>
                  <w:r>
                    <w:rPr>
                      <w:rFonts w:hint="default" w:ascii="Times New Roman" w:hAnsi="Times New Roman" w:eastAsia="宋体" w:cs="Times New Roman"/>
                      <w:color w:val="auto"/>
                      <w:sz w:val="21"/>
                      <w:szCs w:val="21"/>
                      <w:highlight w:val="none"/>
                      <w:u w:val="none"/>
                      <w:lang w:eastAsia="zh-CN"/>
                    </w:rPr>
                    <w:t>NO</w:t>
                  </w:r>
                  <w:r>
                    <w:rPr>
                      <w:rFonts w:hint="default" w:ascii="Times New Roman" w:hAnsi="Times New Roman" w:eastAsia="宋体" w:cs="Times New Roman"/>
                      <w:color w:val="auto"/>
                      <w:sz w:val="21"/>
                      <w:szCs w:val="21"/>
                      <w:highlight w:val="none"/>
                      <w:u w:val="none"/>
                      <w:vertAlign w:val="subscript"/>
                      <w:lang w:eastAsia="zh-CN"/>
                    </w:rPr>
                    <w:t>X</w:t>
                  </w:r>
                </w:p>
              </w:tc>
              <w:tc>
                <w:tcPr>
                  <w:tcW w:w="475" w:type="pct"/>
                  <w:tcBorders>
                    <w:tl2br w:val="nil"/>
                    <w:tr2bl w:val="nil"/>
                  </w:tcBorders>
                  <w:noWrap w:val="0"/>
                  <w:vAlign w:val="center"/>
                </w:tcPr>
                <w:p w14:paraId="54D5146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97" w:type="pct"/>
                  <w:tcBorders>
                    <w:tl2br w:val="nil"/>
                    <w:tr2bl w:val="nil"/>
                  </w:tcBorders>
                  <w:noWrap w:val="0"/>
                  <w:vAlign w:val="center"/>
                </w:tcPr>
                <w:p w14:paraId="7327171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极少量</w:t>
                  </w:r>
                </w:p>
              </w:tc>
              <w:tc>
                <w:tcPr>
                  <w:tcW w:w="444" w:type="pct"/>
                  <w:tcBorders>
                    <w:tl2br w:val="nil"/>
                    <w:tr2bl w:val="nil"/>
                  </w:tcBorders>
                  <w:noWrap w:val="0"/>
                  <w:vAlign w:val="center"/>
                </w:tcPr>
                <w:p w14:paraId="1DC264A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w:t>
                  </w:r>
                </w:p>
              </w:tc>
              <w:tc>
                <w:tcPr>
                  <w:tcW w:w="388" w:type="pct"/>
                  <w:tcBorders>
                    <w:tl2br w:val="nil"/>
                    <w:tr2bl w:val="nil"/>
                  </w:tcBorders>
                  <w:noWrap w:val="0"/>
                  <w:vAlign w:val="center"/>
                </w:tcPr>
                <w:p w14:paraId="2EF7648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w:t>
                  </w:r>
                </w:p>
              </w:tc>
              <w:tc>
                <w:tcPr>
                  <w:tcW w:w="571" w:type="pct"/>
                  <w:tcBorders>
                    <w:tl2br w:val="nil"/>
                    <w:tr2bl w:val="nil"/>
                  </w:tcBorders>
                  <w:noWrap w:val="0"/>
                  <w:vAlign w:val="center"/>
                </w:tcPr>
                <w:p w14:paraId="2C41E88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极少量</w:t>
                  </w:r>
                </w:p>
              </w:tc>
              <w:tc>
                <w:tcPr>
                  <w:tcW w:w="593" w:type="pct"/>
                  <w:tcBorders>
                    <w:tl2br w:val="nil"/>
                    <w:tr2bl w:val="nil"/>
                  </w:tcBorders>
                  <w:shd w:val="clear" w:color="auto" w:fill="auto"/>
                  <w:noWrap w:val="0"/>
                  <w:vAlign w:val="center"/>
                </w:tcPr>
                <w:p w14:paraId="3D75EAF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极少量</w:t>
                  </w:r>
                </w:p>
              </w:tc>
              <w:tc>
                <w:tcPr>
                  <w:tcW w:w="465" w:type="pct"/>
                  <w:tcBorders>
                    <w:tl2br w:val="nil"/>
                    <w:tr2bl w:val="nil"/>
                  </w:tcBorders>
                  <w:noWrap w:val="0"/>
                  <w:vAlign w:val="center"/>
                </w:tcPr>
                <w:p w14:paraId="5B916A1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无组织</w:t>
                  </w:r>
                </w:p>
              </w:tc>
              <w:tc>
                <w:tcPr>
                  <w:tcW w:w="442" w:type="pct"/>
                  <w:tcBorders>
                    <w:tl2br w:val="nil"/>
                    <w:tr2bl w:val="nil"/>
                  </w:tcBorders>
                  <w:noWrap w:val="0"/>
                  <w:vAlign w:val="center"/>
                </w:tcPr>
                <w:p w14:paraId="0611CA9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8760</w:t>
                  </w:r>
                </w:p>
              </w:tc>
            </w:tr>
            <w:tr w14:paraId="2D85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57" w:type="pct"/>
                  <w:gridSpan w:val="2"/>
                  <w:tcBorders>
                    <w:tl2br w:val="nil"/>
                    <w:tr2bl w:val="nil"/>
                  </w:tcBorders>
                  <w:noWrap w:val="0"/>
                  <w:vAlign w:val="center"/>
                </w:tcPr>
                <w:p w14:paraId="6F2CA94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食堂油烟</w:t>
                  </w:r>
                </w:p>
              </w:tc>
              <w:tc>
                <w:tcPr>
                  <w:tcW w:w="463" w:type="pct"/>
                  <w:tcBorders>
                    <w:tl2br w:val="nil"/>
                    <w:tr2bl w:val="nil"/>
                  </w:tcBorders>
                  <w:noWrap w:val="0"/>
                  <w:vAlign w:val="center"/>
                </w:tcPr>
                <w:p w14:paraId="5F619E4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油烟</w:t>
                  </w:r>
                </w:p>
              </w:tc>
              <w:tc>
                <w:tcPr>
                  <w:tcW w:w="475" w:type="pct"/>
                  <w:tcBorders>
                    <w:tl2br w:val="nil"/>
                    <w:tr2bl w:val="nil"/>
                  </w:tcBorders>
                  <w:noWrap w:val="0"/>
                  <w:vAlign w:val="center"/>
                </w:tcPr>
                <w:p w14:paraId="2A7226E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0.00204</w:t>
                  </w:r>
                </w:p>
              </w:tc>
              <w:tc>
                <w:tcPr>
                  <w:tcW w:w="497" w:type="pct"/>
                  <w:tcBorders>
                    <w:tl2br w:val="nil"/>
                    <w:tr2bl w:val="nil"/>
                  </w:tcBorders>
                  <w:noWrap w:val="0"/>
                  <w:vAlign w:val="center"/>
                </w:tcPr>
                <w:p w14:paraId="62B90A0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0.00186</w:t>
                  </w:r>
                </w:p>
              </w:tc>
              <w:tc>
                <w:tcPr>
                  <w:tcW w:w="444" w:type="pct"/>
                  <w:tcBorders>
                    <w:tl2br w:val="nil"/>
                    <w:tr2bl w:val="nil"/>
                  </w:tcBorders>
                  <w:noWrap w:val="0"/>
                  <w:vAlign w:val="center"/>
                </w:tcPr>
                <w:p w14:paraId="6C49237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油烟净化器</w:t>
                  </w:r>
                </w:p>
              </w:tc>
              <w:tc>
                <w:tcPr>
                  <w:tcW w:w="388" w:type="pct"/>
                  <w:tcBorders>
                    <w:tl2br w:val="nil"/>
                    <w:tr2bl w:val="nil"/>
                  </w:tcBorders>
                  <w:noWrap w:val="0"/>
                  <w:vAlign w:val="center"/>
                </w:tcPr>
                <w:p w14:paraId="5D924E8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85%</w:t>
                  </w:r>
                </w:p>
              </w:tc>
              <w:tc>
                <w:tcPr>
                  <w:tcW w:w="571" w:type="pct"/>
                  <w:tcBorders>
                    <w:tl2br w:val="nil"/>
                    <w:tr2bl w:val="nil"/>
                  </w:tcBorders>
                  <w:noWrap w:val="0"/>
                  <w:vAlign w:val="center"/>
                </w:tcPr>
                <w:p w14:paraId="0C506B6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0.00031</w:t>
                  </w:r>
                </w:p>
              </w:tc>
              <w:tc>
                <w:tcPr>
                  <w:tcW w:w="593" w:type="pct"/>
                  <w:tcBorders>
                    <w:tl2br w:val="nil"/>
                    <w:tr2bl w:val="nil"/>
                  </w:tcBorders>
                  <w:shd w:val="clear" w:color="auto" w:fill="auto"/>
                  <w:noWrap w:val="0"/>
                  <w:vAlign w:val="center"/>
                </w:tcPr>
                <w:p w14:paraId="4F37770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0.00028</w:t>
                  </w:r>
                </w:p>
              </w:tc>
              <w:tc>
                <w:tcPr>
                  <w:tcW w:w="465" w:type="pct"/>
                  <w:tcBorders>
                    <w:tl2br w:val="nil"/>
                    <w:tr2bl w:val="nil"/>
                  </w:tcBorders>
                  <w:noWrap w:val="0"/>
                  <w:vAlign w:val="center"/>
                </w:tcPr>
                <w:p w14:paraId="6466ABB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无组织</w:t>
                  </w:r>
                </w:p>
              </w:tc>
              <w:tc>
                <w:tcPr>
                  <w:tcW w:w="442" w:type="pct"/>
                  <w:tcBorders>
                    <w:tl2br w:val="nil"/>
                    <w:tr2bl w:val="nil"/>
                  </w:tcBorders>
                  <w:noWrap w:val="0"/>
                  <w:vAlign w:val="center"/>
                </w:tcPr>
                <w:p w14:paraId="11461DA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912.5</w:t>
                  </w:r>
                </w:p>
              </w:tc>
            </w:tr>
            <w:tr w14:paraId="756E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657" w:type="pct"/>
                  <w:gridSpan w:val="2"/>
                  <w:vMerge w:val="restart"/>
                  <w:tcBorders>
                    <w:tl2br w:val="nil"/>
                    <w:tr2bl w:val="nil"/>
                  </w:tcBorders>
                  <w:noWrap w:val="0"/>
                  <w:vAlign w:val="center"/>
                </w:tcPr>
                <w:p w14:paraId="4798420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备用发电机废气</w:t>
                  </w:r>
                </w:p>
              </w:tc>
              <w:tc>
                <w:tcPr>
                  <w:tcW w:w="463" w:type="pct"/>
                  <w:tcBorders>
                    <w:tl2br w:val="nil"/>
                    <w:tr2bl w:val="nil"/>
                  </w:tcBorders>
                  <w:noWrap w:val="0"/>
                  <w:vAlign w:val="center"/>
                </w:tcPr>
                <w:p w14:paraId="37F5970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SO</w:t>
                  </w:r>
                  <w:r>
                    <w:rPr>
                      <w:rFonts w:hint="default" w:ascii="Times New Roman" w:hAnsi="Times New Roman" w:eastAsia="宋体" w:cs="Times New Roman"/>
                      <w:color w:val="auto"/>
                      <w:sz w:val="21"/>
                      <w:szCs w:val="21"/>
                      <w:highlight w:val="none"/>
                      <w:u w:val="none"/>
                      <w:vertAlign w:val="subscript"/>
                      <w:lang w:eastAsia="zh-CN"/>
                    </w:rPr>
                    <w:t>2</w:t>
                  </w:r>
                </w:p>
              </w:tc>
              <w:tc>
                <w:tcPr>
                  <w:tcW w:w="475" w:type="pct"/>
                  <w:tcBorders>
                    <w:tl2br w:val="nil"/>
                    <w:tr2bl w:val="nil"/>
                  </w:tcBorders>
                  <w:noWrap w:val="0"/>
                  <w:vAlign w:val="center"/>
                </w:tcPr>
                <w:p w14:paraId="7872585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97" w:type="pct"/>
                  <w:tcBorders>
                    <w:tl2br w:val="nil"/>
                    <w:tr2bl w:val="nil"/>
                  </w:tcBorders>
                  <w:noWrap w:val="0"/>
                  <w:vAlign w:val="center"/>
                </w:tcPr>
                <w:p w14:paraId="6D48D83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eastAsia" w:cs="Times New Roman"/>
                      <w:color w:val="auto"/>
                      <w:sz w:val="21"/>
                      <w:szCs w:val="21"/>
                      <w:highlight w:val="none"/>
                      <w:u w:val="none"/>
                      <w:lang w:val="en-US" w:eastAsia="zh-CN"/>
                    </w:rPr>
                    <w:t>/</w:t>
                  </w:r>
                </w:p>
              </w:tc>
              <w:tc>
                <w:tcPr>
                  <w:tcW w:w="444" w:type="pct"/>
                  <w:tcBorders>
                    <w:tl2br w:val="nil"/>
                    <w:tr2bl w:val="nil"/>
                  </w:tcBorders>
                  <w:noWrap w:val="0"/>
                  <w:vAlign w:val="center"/>
                </w:tcPr>
                <w:p w14:paraId="4036355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w:t>
                  </w:r>
                </w:p>
              </w:tc>
              <w:tc>
                <w:tcPr>
                  <w:tcW w:w="388" w:type="pct"/>
                  <w:tcBorders>
                    <w:tl2br w:val="nil"/>
                    <w:tr2bl w:val="nil"/>
                  </w:tcBorders>
                  <w:noWrap w:val="0"/>
                  <w:vAlign w:val="center"/>
                </w:tcPr>
                <w:p w14:paraId="2B96437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w:t>
                  </w:r>
                </w:p>
              </w:tc>
              <w:tc>
                <w:tcPr>
                  <w:tcW w:w="1165" w:type="pct"/>
                  <w:gridSpan w:val="2"/>
                  <w:vMerge w:val="restart"/>
                  <w:tcBorders>
                    <w:tl2br w:val="nil"/>
                    <w:tr2bl w:val="nil"/>
                  </w:tcBorders>
                  <w:noWrap w:val="0"/>
                  <w:vAlign w:val="center"/>
                </w:tcPr>
                <w:p w14:paraId="0C1FA31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极少量</w:t>
                  </w:r>
                </w:p>
              </w:tc>
              <w:tc>
                <w:tcPr>
                  <w:tcW w:w="465" w:type="pct"/>
                  <w:vMerge w:val="restart"/>
                  <w:tcBorders>
                    <w:tl2br w:val="nil"/>
                    <w:tr2bl w:val="nil"/>
                  </w:tcBorders>
                  <w:noWrap w:val="0"/>
                  <w:vAlign w:val="center"/>
                </w:tcPr>
                <w:p w14:paraId="250BC67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无组织</w:t>
                  </w:r>
                </w:p>
              </w:tc>
              <w:tc>
                <w:tcPr>
                  <w:tcW w:w="442" w:type="pct"/>
                  <w:vMerge w:val="restart"/>
                  <w:tcBorders>
                    <w:tl2br w:val="nil"/>
                    <w:tr2bl w:val="nil"/>
                  </w:tcBorders>
                  <w:noWrap w:val="0"/>
                  <w:vAlign w:val="center"/>
                </w:tcPr>
                <w:p w14:paraId="12FC11C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2</w:t>
                  </w:r>
                </w:p>
              </w:tc>
            </w:tr>
            <w:tr w14:paraId="73C9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657" w:type="pct"/>
                  <w:gridSpan w:val="2"/>
                  <w:vMerge w:val="continue"/>
                  <w:tcBorders>
                    <w:tl2br w:val="nil"/>
                    <w:tr2bl w:val="nil"/>
                  </w:tcBorders>
                  <w:noWrap w:val="0"/>
                  <w:vAlign w:val="center"/>
                </w:tcPr>
                <w:p w14:paraId="3241636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u w:val="none"/>
                    </w:rPr>
                  </w:pPr>
                </w:p>
              </w:tc>
              <w:tc>
                <w:tcPr>
                  <w:tcW w:w="463" w:type="pct"/>
                  <w:tcBorders>
                    <w:tl2br w:val="nil"/>
                    <w:tr2bl w:val="nil"/>
                  </w:tcBorders>
                  <w:noWrap w:val="0"/>
                  <w:vAlign w:val="center"/>
                </w:tcPr>
                <w:p w14:paraId="30582C5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NO</w:t>
                  </w:r>
                  <w:r>
                    <w:rPr>
                      <w:rFonts w:hint="default" w:ascii="Times New Roman" w:hAnsi="Times New Roman" w:eastAsia="宋体" w:cs="Times New Roman"/>
                      <w:color w:val="auto"/>
                      <w:sz w:val="21"/>
                      <w:szCs w:val="21"/>
                      <w:highlight w:val="none"/>
                      <w:u w:val="none"/>
                      <w:vertAlign w:val="subscript"/>
                      <w:lang w:eastAsia="zh-CN"/>
                    </w:rPr>
                    <w:t>X</w:t>
                  </w:r>
                </w:p>
              </w:tc>
              <w:tc>
                <w:tcPr>
                  <w:tcW w:w="475" w:type="pct"/>
                  <w:tcBorders>
                    <w:tl2br w:val="nil"/>
                    <w:tr2bl w:val="nil"/>
                  </w:tcBorders>
                  <w:noWrap w:val="0"/>
                  <w:vAlign w:val="center"/>
                </w:tcPr>
                <w:p w14:paraId="1E0DF40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97" w:type="pct"/>
                  <w:tcBorders>
                    <w:tl2br w:val="nil"/>
                    <w:tr2bl w:val="nil"/>
                  </w:tcBorders>
                  <w:noWrap w:val="0"/>
                  <w:vAlign w:val="center"/>
                </w:tcPr>
                <w:p w14:paraId="244C06B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44" w:type="pct"/>
                  <w:tcBorders>
                    <w:tl2br w:val="nil"/>
                    <w:tr2bl w:val="nil"/>
                  </w:tcBorders>
                  <w:noWrap w:val="0"/>
                  <w:vAlign w:val="center"/>
                </w:tcPr>
                <w:p w14:paraId="27D0FB7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388" w:type="pct"/>
                  <w:tcBorders>
                    <w:tl2br w:val="nil"/>
                    <w:tr2bl w:val="nil"/>
                  </w:tcBorders>
                  <w:noWrap w:val="0"/>
                  <w:vAlign w:val="center"/>
                </w:tcPr>
                <w:p w14:paraId="4B9694D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1165" w:type="pct"/>
                  <w:gridSpan w:val="2"/>
                  <w:vMerge w:val="continue"/>
                  <w:tcBorders>
                    <w:tl2br w:val="nil"/>
                    <w:tr2bl w:val="nil"/>
                  </w:tcBorders>
                  <w:noWrap w:val="0"/>
                  <w:vAlign w:val="center"/>
                </w:tcPr>
                <w:p w14:paraId="053F76D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465" w:type="pct"/>
                  <w:vMerge w:val="continue"/>
                  <w:tcBorders>
                    <w:tl2br w:val="nil"/>
                    <w:tr2bl w:val="nil"/>
                  </w:tcBorders>
                  <w:noWrap w:val="0"/>
                  <w:vAlign w:val="center"/>
                </w:tcPr>
                <w:p w14:paraId="66658A0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rPr>
                  </w:pPr>
                </w:p>
              </w:tc>
              <w:tc>
                <w:tcPr>
                  <w:tcW w:w="442" w:type="pct"/>
                  <w:vMerge w:val="continue"/>
                  <w:tcBorders>
                    <w:tl2br w:val="nil"/>
                    <w:tr2bl w:val="nil"/>
                  </w:tcBorders>
                  <w:noWrap w:val="0"/>
                  <w:vAlign w:val="center"/>
                </w:tcPr>
                <w:p w14:paraId="4E2363C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rPr>
                  </w:pPr>
                </w:p>
              </w:tc>
            </w:tr>
            <w:tr w14:paraId="4A0F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657" w:type="pct"/>
                  <w:gridSpan w:val="2"/>
                  <w:vMerge w:val="continue"/>
                  <w:tcBorders>
                    <w:tl2br w:val="nil"/>
                    <w:tr2bl w:val="nil"/>
                  </w:tcBorders>
                  <w:noWrap w:val="0"/>
                  <w:vAlign w:val="center"/>
                </w:tcPr>
                <w:p w14:paraId="7672F78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rPr>
                  </w:pPr>
                </w:p>
              </w:tc>
              <w:tc>
                <w:tcPr>
                  <w:tcW w:w="463" w:type="pct"/>
                  <w:tcBorders>
                    <w:tl2br w:val="nil"/>
                    <w:tr2bl w:val="nil"/>
                  </w:tcBorders>
                  <w:noWrap w:val="0"/>
                  <w:vAlign w:val="center"/>
                </w:tcPr>
                <w:p w14:paraId="132F065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烟尘</w:t>
                  </w:r>
                </w:p>
              </w:tc>
              <w:tc>
                <w:tcPr>
                  <w:tcW w:w="475" w:type="pct"/>
                  <w:tcBorders>
                    <w:tl2br w:val="nil"/>
                    <w:tr2bl w:val="nil"/>
                  </w:tcBorders>
                  <w:noWrap w:val="0"/>
                  <w:vAlign w:val="center"/>
                </w:tcPr>
                <w:p w14:paraId="5031BD1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97" w:type="pct"/>
                  <w:tcBorders>
                    <w:tl2br w:val="nil"/>
                    <w:tr2bl w:val="nil"/>
                  </w:tcBorders>
                  <w:noWrap w:val="0"/>
                  <w:vAlign w:val="center"/>
                </w:tcPr>
                <w:p w14:paraId="73ED9D2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444" w:type="pct"/>
                  <w:tcBorders>
                    <w:tl2br w:val="nil"/>
                    <w:tr2bl w:val="nil"/>
                  </w:tcBorders>
                  <w:noWrap w:val="0"/>
                  <w:vAlign w:val="center"/>
                </w:tcPr>
                <w:p w14:paraId="4193378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388" w:type="pct"/>
                  <w:tcBorders>
                    <w:tl2br w:val="nil"/>
                    <w:tr2bl w:val="nil"/>
                  </w:tcBorders>
                  <w:noWrap w:val="0"/>
                  <w:vAlign w:val="center"/>
                </w:tcPr>
                <w:p w14:paraId="5991EC3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1165" w:type="pct"/>
                  <w:gridSpan w:val="2"/>
                  <w:vMerge w:val="continue"/>
                  <w:tcBorders>
                    <w:tl2br w:val="nil"/>
                    <w:tr2bl w:val="nil"/>
                  </w:tcBorders>
                  <w:noWrap w:val="0"/>
                  <w:vAlign w:val="center"/>
                </w:tcPr>
                <w:p w14:paraId="0E1CFD4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lang w:val="en-US" w:eastAsia="zh-CN"/>
                    </w:rPr>
                  </w:pPr>
                </w:p>
              </w:tc>
              <w:tc>
                <w:tcPr>
                  <w:tcW w:w="465" w:type="pct"/>
                  <w:vMerge w:val="continue"/>
                  <w:tcBorders>
                    <w:tl2br w:val="nil"/>
                    <w:tr2bl w:val="nil"/>
                  </w:tcBorders>
                  <w:noWrap w:val="0"/>
                  <w:vAlign w:val="center"/>
                </w:tcPr>
                <w:p w14:paraId="6FAAF72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rPr>
                  </w:pPr>
                </w:p>
              </w:tc>
              <w:tc>
                <w:tcPr>
                  <w:tcW w:w="442" w:type="pct"/>
                  <w:vMerge w:val="continue"/>
                  <w:tcBorders>
                    <w:tl2br w:val="nil"/>
                    <w:tr2bl w:val="nil"/>
                  </w:tcBorders>
                  <w:noWrap w:val="0"/>
                  <w:vAlign w:val="center"/>
                </w:tcPr>
                <w:p w14:paraId="226F46BB">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u w:val="none"/>
                    </w:rPr>
                  </w:pPr>
                </w:p>
              </w:tc>
            </w:tr>
          </w:tbl>
          <w:p w14:paraId="0F864D1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center"/>
              <w:textAlignment w:val="auto"/>
              <w:outlineLvl w:val="9"/>
              <w:rPr>
                <w:rFonts w:hint="eastAsia" w:cs="Times New Roman"/>
                <w:color w:val="auto"/>
                <w:highlight w:val="none"/>
                <w:u w:val="none" w:color="auto"/>
                <w:lang w:val="en-US" w:eastAsia="zh-CN"/>
              </w:rPr>
            </w:pPr>
            <w:r>
              <w:rPr>
                <w:rFonts w:hint="default" w:ascii="Times New Roman" w:hAnsi="Times New Roman" w:cs="Times New Roman"/>
                <w:b/>
                <w:sz w:val="24"/>
                <w:szCs w:val="24"/>
                <w:u w:val="none"/>
              </w:rPr>
              <w:t>表4-</w:t>
            </w:r>
            <w:r>
              <w:rPr>
                <w:rFonts w:hint="eastAsia" w:cs="Times New Roman"/>
                <w:b/>
                <w:sz w:val="24"/>
                <w:szCs w:val="24"/>
                <w:u w:val="none"/>
                <w:lang w:val="en-US" w:eastAsia="zh-CN"/>
              </w:rPr>
              <w:t>3</w:t>
            </w:r>
            <w:r>
              <w:rPr>
                <w:rFonts w:hint="default" w:ascii="Times New Roman" w:hAnsi="Times New Roman" w:cs="Times New Roman"/>
                <w:b/>
                <w:sz w:val="24"/>
                <w:szCs w:val="24"/>
                <w:u w:val="none"/>
              </w:rPr>
              <w:t xml:space="preserve"> 项目运营期</w:t>
            </w:r>
            <w:r>
              <w:rPr>
                <w:rFonts w:hint="eastAsia" w:cs="Times New Roman"/>
                <w:b/>
                <w:sz w:val="24"/>
                <w:szCs w:val="24"/>
                <w:u w:val="none"/>
                <w:lang w:val="en-US" w:eastAsia="zh-CN"/>
              </w:rPr>
              <w:t>废气污染物排放</w:t>
            </w:r>
            <w:r>
              <w:rPr>
                <w:rFonts w:hint="default" w:ascii="Times New Roman" w:hAnsi="Times New Roman" w:cs="Times New Roman"/>
                <w:b/>
                <w:sz w:val="24"/>
                <w:szCs w:val="24"/>
                <w:u w:val="none"/>
              </w:rPr>
              <w:t>源强一览表</w:t>
            </w:r>
            <w:r>
              <w:rPr>
                <w:rFonts w:hint="eastAsia" w:cs="Times New Roman"/>
                <w:b/>
                <w:sz w:val="24"/>
                <w:szCs w:val="24"/>
                <w:u w:val="none"/>
                <w:lang w:val="en-US" w:eastAsia="zh-CN"/>
              </w:rPr>
              <w:t xml:space="preserve"> 单位：t/a</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6243"/>
            </w:tblGrid>
            <w:tr w14:paraId="53B3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324" w:type="pct"/>
                  <w:vMerge w:val="restart"/>
                  <w:tcBorders>
                    <w:tl2br w:val="nil"/>
                    <w:tr2bl w:val="nil"/>
                  </w:tcBorders>
                  <w:vAlign w:val="center"/>
                </w:tcPr>
                <w:p w14:paraId="0950E68A">
                  <w:pPr>
                    <w:adjustRightInd w:val="0"/>
                    <w:snapToGrid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污染物</w:t>
                  </w:r>
                </w:p>
              </w:tc>
              <w:tc>
                <w:tcPr>
                  <w:tcW w:w="3675" w:type="pct"/>
                  <w:tcBorders>
                    <w:tl2br w:val="nil"/>
                    <w:tr2bl w:val="nil"/>
                  </w:tcBorders>
                  <w:vAlign w:val="center"/>
                </w:tcPr>
                <w:p w14:paraId="64AA72B0">
                  <w:p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年排放量</w:t>
                  </w:r>
                </w:p>
              </w:tc>
            </w:tr>
            <w:tr w14:paraId="4BE8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pct"/>
                  <w:tcBorders>
                    <w:tl2br w:val="nil"/>
                    <w:tr2bl w:val="nil"/>
                  </w:tcBorders>
                  <w:vAlign w:val="center"/>
                </w:tcPr>
                <w:p w14:paraId="48505B58">
                  <w:pPr>
                    <w:adjustRightInd w:val="0"/>
                    <w:snapToGrid w:val="0"/>
                    <w:spacing w:line="240" w:lineRule="auto"/>
                    <w:jc w:val="center"/>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非甲烷总烃</w:t>
                  </w:r>
                </w:p>
              </w:tc>
              <w:tc>
                <w:tcPr>
                  <w:tcW w:w="3675" w:type="pct"/>
                  <w:tcBorders>
                    <w:tl2br w:val="nil"/>
                    <w:tr2bl w:val="nil"/>
                  </w:tcBorders>
                  <w:vAlign w:val="center"/>
                </w:tcPr>
                <w:p w14:paraId="5D0656B0">
                  <w:pPr>
                    <w:adjustRightInd w:val="0"/>
                    <w:snapToGrid w:val="0"/>
                    <w:spacing w:line="240" w:lineRule="auto"/>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0.14716</w:t>
                  </w:r>
                </w:p>
              </w:tc>
            </w:tr>
          </w:tbl>
          <w:p w14:paraId="2A1D2AD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仿宋" w:cs="Times New Roman"/>
                <w:color w:val="auto"/>
                <w:highlight w:val="none"/>
                <w:u w:val="none" w:color="auto"/>
              </w:rPr>
            </w:pPr>
            <w:r>
              <w:rPr>
                <w:rFonts w:hint="default" w:ascii="Times New Roman" w:hAnsi="Times New Roman" w:eastAsia="宋体" w:cs="Times New Roman"/>
                <w:color w:val="auto"/>
                <w:highlight w:val="none"/>
                <w:u w:val="none" w:color="auto"/>
              </w:rPr>
              <w:t>根据《排污许可证申请与核发技术规范储油库、加油站》（HJ1118-2020）中的要求，结合本项目实际情况，废气产排污节点、污染物及污染治理设施详见表4-</w:t>
            </w:r>
            <w:r>
              <w:rPr>
                <w:rFonts w:hint="eastAsia"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rPr>
              <w:t>。</w:t>
            </w:r>
          </w:p>
          <w:p w14:paraId="4E3C1539">
            <w:pPr>
              <w:pStyle w:val="289"/>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本项目废气产排污节点、污染物及污染治理设施表</w:t>
            </w:r>
          </w:p>
          <w:tbl>
            <w:tblPr>
              <w:tblStyle w:val="51"/>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
              <w:gridCol w:w="735"/>
              <w:gridCol w:w="753"/>
              <w:gridCol w:w="686"/>
              <w:gridCol w:w="800"/>
              <w:gridCol w:w="832"/>
              <w:gridCol w:w="952"/>
              <w:gridCol w:w="803"/>
              <w:gridCol w:w="2113"/>
            </w:tblGrid>
            <w:tr w14:paraId="1A4C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711" w:type="dxa"/>
                  <w:tcBorders>
                    <w:tl2br w:val="nil"/>
                    <w:tr2bl w:val="nil"/>
                  </w:tcBorders>
                  <w:noWrap w:val="0"/>
                  <w:vAlign w:val="center"/>
                </w:tcPr>
                <w:p w14:paraId="362A409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生产设施</w:t>
                  </w:r>
                </w:p>
              </w:tc>
              <w:tc>
                <w:tcPr>
                  <w:tcW w:w="757" w:type="dxa"/>
                  <w:gridSpan w:val="2"/>
                  <w:tcBorders>
                    <w:tl2br w:val="nil"/>
                    <w:tr2bl w:val="nil"/>
                  </w:tcBorders>
                  <w:noWrap w:val="0"/>
                  <w:vAlign w:val="center"/>
                </w:tcPr>
                <w:p w14:paraId="1C221CC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产污环节</w:t>
                  </w:r>
                </w:p>
              </w:tc>
              <w:tc>
                <w:tcPr>
                  <w:tcW w:w="754" w:type="dxa"/>
                  <w:tcBorders>
                    <w:tl2br w:val="nil"/>
                    <w:tr2bl w:val="nil"/>
                  </w:tcBorders>
                  <w:noWrap w:val="0"/>
                  <w:vAlign w:val="center"/>
                </w:tcPr>
                <w:p w14:paraId="6F7FBE6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污染物项目</w:t>
                  </w:r>
                </w:p>
              </w:tc>
              <w:tc>
                <w:tcPr>
                  <w:tcW w:w="687" w:type="dxa"/>
                  <w:tcBorders>
                    <w:tl2br w:val="nil"/>
                    <w:tr2bl w:val="nil"/>
                  </w:tcBorders>
                  <w:noWrap w:val="0"/>
                  <w:vAlign w:val="center"/>
                </w:tcPr>
                <w:p w14:paraId="1B7B56D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排放形式</w:t>
                  </w:r>
                </w:p>
              </w:tc>
              <w:tc>
                <w:tcPr>
                  <w:tcW w:w="801" w:type="dxa"/>
                  <w:tcBorders>
                    <w:tl2br w:val="nil"/>
                    <w:tr2bl w:val="nil"/>
                  </w:tcBorders>
                  <w:noWrap w:val="0"/>
                  <w:vAlign w:val="center"/>
                </w:tcPr>
                <w:p w14:paraId="600D7A0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污染治理设施</w:t>
                  </w:r>
                </w:p>
              </w:tc>
              <w:tc>
                <w:tcPr>
                  <w:tcW w:w="833" w:type="dxa"/>
                  <w:tcBorders>
                    <w:tl2br w:val="nil"/>
                    <w:tr2bl w:val="nil"/>
                  </w:tcBorders>
                  <w:noWrap w:val="0"/>
                  <w:vAlign w:val="center"/>
                </w:tcPr>
                <w:p w14:paraId="5775AEF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污染治理工艺</w:t>
                  </w:r>
                </w:p>
              </w:tc>
              <w:tc>
                <w:tcPr>
                  <w:tcW w:w="952" w:type="dxa"/>
                  <w:tcBorders>
                    <w:tl2br w:val="nil"/>
                    <w:tr2bl w:val="nil"/>
                  </w:tcBorders>
                  <w:noWrap w:val="0"/>
                  <w:vAlign w:val="center"/>
                </w:tcPr>
                <w:p w14:paraId="72A1E11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是否为可行技术</w:t>
                  </w:r>
                </w:p>
              </w:tc>
              <w:tc>
                <w:tcPr>
                  <w:tcW w:w="803" w:type="dxa"/>
                  <w:tcBorders>
                    <w:tl2br w:val="nil"/>
                    <w:tr2bl w:val="nil"/>
                  </w:tcBorders>
                  <w:noWrap w:val="0"/>
                  <w:vAlign w:val="center"/>
                </w:tcPr>
                <w:p w14:paraId="76C6DE7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排放口类型</w:t>
                  </w:r>
                </w:p>
              </w:tc>
              <w:tc>
                <w:tcPr>
                  <w:tcW w:w="2114" w:type="dxa"/>
                  <w:tcBorders>
                    <w:tl2br w:val="nil"/>
                    <w:tr2bl w:val="nil"/>
                  </w:tcBorders>
                  <w:noWrap w:val="0"/>
                  <w:vAlign w:val="center"/>
                </w:tcPr>
                <w:p w14:paraId="37E96B8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执行标准</w:t>
                  </w:r>
                </w:p>
              </w:tc>
            </w:tr>
            <w:tr w14:paraId="6363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1" w:type="dxa"/>
                  <w:tcBorders>
                    <w:tl2br w:val="nil"/>
                    <w:tr2bl w:val="nil"/>
                  </w:tcBorders>
                  <w:noWrap w:val="0"/>
                  <w:vAlign w:val="center"/>
                </w:tcPr>
                <w:p w14:paraId="032D88E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汽油储罐</w:t>
                  </w:r>
                </w:p>
              </w:tc>
              <w:tc>
                <w:tcPr>
                  <w:tcW w:w="757" w:type="dxa"/>
                  <w:gridSpan w:val="2"/>
                  <w:tcBorders>
                    <w:tl2br w:val="nil"/>
                    <w:tr2bl w:val="nil"/>
                  </w:tcBorders>
                  <w:noWrap w:val="0"/>
                  <w:vAlign w:val="center"/>
                </w:tcPr>
                <w:p w14:paraId="5CE156A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装卸挥发</w:t>
                  </w:r>
                </w:p>
              </w:tc>
              <w:tc>
                <w:tcPr>
                  <w:tcW w:w="754" w:type="dxa"/>
                  <w:tcBorders>
                    <w:tl2br w:val="nil"/>
                    <w:tr2bl w:val="nil"/>
                  </w:tcBorders>
                  <w:noWrap w:val="0"/>
                  <w:vAlign w:val="center"/>
                </w:tcPr>
                <w:p w14:paraId="7312227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挥发性有机物</w:t>
                  </w:r>
                </w:p>
              </w:tc>
              <w:tc>
                <w:tcPr>
                  <w:tcW w:w="687" w:type="dxa"/>
                  <w:tcBorders>
                    <w:tl2br w:val="nil"/>
                    <w:tr2bl w:val="nil"/>
                  </w:tcBorders>
                  <w:noWrap w:val="0"/>
                  <w:vAlign w:val="center"/>
                </w:tcPr>
                <w:p w14:paraId="7E312CE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无组织</w:t>
                  </w:r>
                </w:p>
              </w:tc>
              <w:tc>
                <w:tcPr>
                  <w:tcW w:w="801" w:type="dxa"/>
                  <w:tcBorders>
                    <w:tl2br w:val="nil"/>
                    <w:tr2bl w:val="nil"/>
                  </w:tcBorders>
                  <w:noWrap w:val="0"/>
                  <w:vAlign w:val="center"/>
                </w:tcPr>
                <w:p w14:paraId="72B1270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一次</w:t>
                  </w:r>
                  <w:r>
                    <w:rPr>
                      <w:rFonts w:hint="default" w:cs="Times New Roman"/>
                      <w:color w:val="auto"/>
                      <w:sz w:val="21"/>
                      <w:szCs w:val="21"/>
                      <w:highlight w:val="none"/>
                      <w:lang w:val="en-US" w:eastAsia="zh-CN"/>
                    </w:rPr>
                    <w:t>油气回收系统</w:t>
                  </w:r>
                </w:p>
              </w:tc>
              <w:tc>
                <w:tcPr>
                  <w:tcW w:w="833" w:type="dxa"/>
                  <w:tcBorders>
                    <w:tl2br w:val="nil"/>
                    <w:tr2bl w:val="nil"/>
                  </w:tcBorders>
                  <w:noWrap w:val="0"/>
                  <w:vAlign w:val="center"/>
                </w:tcPr>
                <w:p w14:paraId="7392B8B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油气平衡</w:t>
                  </w:r>
                </w:p>
              </w:tc>
              <w:tc>
                <w:tcPr>
                  <w:tcW w:w="952" w:type="dxa"/>
                  <w:vMerge w:val="restart"/>
                  <w:tcBorders>
                    <w:tl2br w:val="nil"/>
                    <w:tr2bl w:val="nil"/>
                  </w:tcBorders>
                  <w:noWrap w:val="0"/>
                  <w:vAlign w:val="center"/>
                </w:tcPr>
                <w:p w14:paraId="2F2264F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sym w:font="Wingdings 2" w:char="0052"/>
                  </w:r>
                  <w:r>
                    <w:rPr>
                      <w:rFonts w:hint="default" w:cs="Times New Roman"/>
                      <w:color w:val="auto"/>
                      <w:sz w:val="21"/>
                      <w:szCs w:val="21"/>
                      <w:highlight w:val="none"/>
                      <w:lang w:val="en-US" w:eastAsia="zh-CN"/>
                    </w:rPr>
                    <w:t>是</w:t>
                  </w:r>
                </w:p>
                <w:p w14:paraId="7149030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sym w:font="Wingdings 2" w:char="00A3"/>
                  </w:r>
                  <w:r>
                    <w:rPr>
                      <w:rFonts w:hint="default" w:cs="Times New Roman"/>
                      <w:color w:val="auto"/>
                      <w:sz w:val="21"/>
                      <w:szCs w:val="21"/>
                      <w:highlight w:val="none"/>
                      <w:lang w:val="en-US" w:eastAsia="zh-CN"/>
                    </w:rPr>
                    <w:t>否</w:t>
                  </w:r>
                </w:p>
              </w:tc>
              <w:tc>
                <w:tcPr>
                  <w:tcW w:w="803" w:type="dxa"/>
                  <w:tcBorders>
                    <w:tl2br w:val="nil"/>
                    <w:tr2bl w:val="nil"/>
                  </w:tcBorders>
                  <w:noWrap w:val="0"/>
                  <w:vAlign w:val="center"/>
                </w:tcPr>
                <w:p w14:paraId="25A4856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114" w:type="dxa"/>
                  <w:vMerge w:val="restart"/>
                  <w:tcBorders>
                    <w:tl2br w:val="nil"/>
                    <w:tr2bl w:val="nil"/>
                  </w:tcBorders>
                  <w:noWrap w:val="0"/>
                  <w:vAlign w:val="center"/>
                </w:tcPr>
                <w:p w14:paraId="56355B5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w:t>
                  </w:r>
                  <w:r>
                    <w:rPr>
                      <w:rFonts w:hint="eastAsia" w:cs="Times New Roman"/>
                      <w:color w:val="auto"/>
                      <w:sz w:val="21"/>
                      <w:szCs w:val="21"/>
                      <w:highlight w:val="none"/>
                      <w:lang w:val="en-US" w:eastAsia="zh-CN"/>
                    </w:rPr>
                    <w:t>）</w:t>
                  </w:r>
                </w:p>
              </w:tc>
            </w:tr>
            <w:tr w14:paraId="225A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1" w:type="dxa"/>
                  <w:tcBorders>
                    <w:tl2br w:val="nil"/>
                    <w:tr2bl w:val="nil"/>
                  </w:tcBorders>
                  <w:shd w:val="clear" w:color="auto" w:fill="auto"/>
                  <w:noWrap w:val="0"/>
                  <w:vAlign w:val="center"/>
                </w:tcPr>
                <w:p w14:paraId="3E8382A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sz w:val="21"/>
                      <w:szCs w:val="21"/>
                      <w:highlight w:val="none"/>
                      <w:lang w:val="en-US" w:eastAsia="zh-CN"/>
                    </w:rPr>
                    <w:t>汽油储罐</w:t>
                  </w:r>
                </w:p>
              </w:tc>
              <w:tc>
                <w:tcPr>
                  <w:tcW w:w="757" w:type="dxa"/>
                  <w:gridSpan w:val="2"/>
                  <w:tcBorders>
                    <w:tl2br w:val="nil"/>
                    <w:tr2bl w:val="nil"/>
                  </w:tcBorders>
                  <w:shd w:val="clear" w:color="auto" w:fill="auto"/>
                  <w:noWrap w:val="0"/>
                  <w:vAlign w:val="center"/>
                </w:tcPr>
                <w:p w14:paraId="05D5941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sz w:val="21"/>
                      <w:szCs w:val="21"/>
                      <w:highlight w:val="none"/>
                      <w:lang w:val="en-US" w:eastAsia="zh-CN"/>
                    </w:rPr>
                    <w:t>储罐挥发</w:t>
                  </w:r>
                </w:p>
              </w:tc>
              <w:tc>
                <w:tcPr>
                  <w:tcW w:w="754" w:type="dxa"/>
                  <w:tcBorders>
                    <w:tl2br w:val="nil"/>
                    <w:tr2bl w:val="nil"/>
                  </w:tcBorders>
                  <w:shd w:val="clear" w:color="auto" w:fill="auto"/>
                  <w:noWrap w:val="0"/>
                  <w:vAlign w:val="center"/>
                </w:tcPr>
                <w:p w14:paraId="1D5F7EA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cs="Times New Roman"/>
                      <w:color w:val="auto"/>
                      <w:sz w:val="21"/>
                      <w:szCs w:val="21"/>
                      <w:highlight w:val="none"/>
                      <w:lang w:val="en-US" w:eastAsia="zh-CN"/>
                    </w:rPr>
                    <w:t>挥发性有机物</w:t>
                  </w:r>
                </w:p>
              </w:tc>
              <w:tc>
                <w:tcPr>
                  <w:tcW w:w="687" w:type="dxa"/>
                  <w:tcBorders>
                    <w:tl2br w:val="nil"/>
                    <w:tr2bl w:val="nil"/>
                  </w:tcBorders>
                  <w:shd w:val="clear" w:color="auto" w:fill="auto"/>
                  <w:noWrap w:val="0"/>
                  <w:vAlign w:val="center"/>
                </w:tcPr>
                <w:p w14:paraId="06765E4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无组织</w:t>
                  </w:r>
                </w:p>
              </w:tc>
              <w:tc>
                <w:tcPr>
                  <w:tcW w:w="801" w:type="dxa"/>
                  <w:tcBorders>
                    <w:tl2br w:val="nil"/>
                    <w:tr2bl w:val="nil"/>
                  </w:tcBorders>
                  <w:shd w:val="clear" w:color="auto" w:fill="auto"/>
                  <w:noWrap w:val="0"/>
                  <w:vAlign w:val="center"/>
                </w:tcPr>
                <w:p w14:paraId="31B35B8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三次</w:t>
                  </w:r>
                  <w:r>
                    <w:rPr>
                      <w:rFonts w:hint="default" w:cs="Times New Roman"/>
                      <w:color w:val="auto"/>
                      <w:sz w:val="21"/>
                      <w:szCs w:val="21"/>
                      <w:highlight w:val="none"/>
                      <w:lang w:val="en-US" w:eastAsia="zh-CN"/>
                    </w:rPr>
                    <w:t>油气回收系统</w:t>
                  </w:r>
                </w:p>
              </w:tc>
              <w:tc>
                <w:tcPr>
                  <w:tcW w:w="833" w:type="dxa"/>
                  <w:tcBorders>
                    <w:tl2br w:val="nil"/>
                    <w:tr2bl w:val="nil"/>
                  </w:tcBorders>
                  <w:shd w:val="clear" w:color="auto" w:fill="auto"/>
                  <w:noWrap w:val="0"/>
                  <w:vAlign w:val="center"/>
                </w:tcPr>
                <w:p w14:paraId="0674FCE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冷凝吸附</w:t>
                  </w:r>
                </w:p>
              </w:tc>
              <w:tc>
                <w:tcPr>
                  <w:tcW w:w="952" w:type="dxa"/>
                  <w:vMerge w:val="continue"/>
                  <w:tcBorders>
                    <w:tl2br w:val="nil"/>
                    <w:tr2bl w:val="nil"/>
                  </w:tcBorders>
                  <w:noWrap w:val="0"/>
                  <w:vAlign w:val="center"/>
                </w:tcPr>
                <w:p w14:paraId="0BE4BAD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803" w:type="dxa"/>
                  <w:tcBorders>
                    <w:tl2br w:val="nil"/>
                    <w:tr2bl w:val="nil"/>
                  </w:tcBorders>
                  <w:noWrap w:val="0"/>
                  <w:vAlign w:val="center"/>
                </w:tcPr>
                <w:p w14:paraId="0A4EB0F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14" w:type="dxa"/>
                  <w:vMerge w:val="continue"/>
                  <w:tcBorders>
                    <w:tl2br w:val="nil"/>
                    <w:tr2bl w:val="nil"/>
                  </w:tcBorders>
                  <w:noWrap w:val="0"/>
                  <w:vAlign w:val="center"/>
                </w:tcPr>
                <w:p w14:paraId="2DA8330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r>
            <w:tr w14:paraId="783D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1" w:type="dxa"/>
                  <w:tcBorders>
                    <w:tl2br w:val="nil"/>
                    <w:tr2bl w:val="nil"/>
                  </w:tcBorders>
                  <w:noWrap w:val="0"/>
                  <w:vAlign w:val="center"/>
                </w:tcPr>
                <w:p w14:paraId="33A1932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汽油加油枪</w:t>
                  </w:r>
                </w:p>
              </w:tc>
              <w:tc>
                <w:tcPr>
                  <w:tcW w:w="757" w:type="dxa"/>
                  <w:gridSpan w:val="2"/>
                  <w:tcBorders>
                    <w:tl2br w:val="nil"/>
                    <w:tr2bl w:val="nil"/>
                  </w:tcBorders>
                  <w:noWrap w:val="0"/>
                  <w:vAlign w:val="center"/>
                </w:tcPr>
                <w:p w14:paraId="06E0727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加油枪挥发</w:t>
                  </w:r>
                </w:p>
              </w:tc>
              <w:tc>
                <w:tcPr>
                  <w:tcW w:w="754" w:type="dxa"/>
                  <w:tcBorders>
                    <w:tl2br w:val="nil"/>
                    <w:tr2bl w:val="nil"/>
                  </w:tcBorders>
                  <w:noWrap w:val="0"/>
                  <w:vAlign w:val="center"/>
                </w:tcPr>
                <w:p w14:paraId="623C3B1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挥发性有机物</w:t>
                  </w:r>
                </w:p>
              </w:tc>
              <w:tc>
                <w:tcPr>
                  <w:tcW w:w="687" w:type="dxa"/>
                  <w:tcBorders>
                    <w:tl2br w:val="nil"/>
                    <w:tr2bl w:val="nil"/>
                  </w:tcBorders>
                  <w:noWrap w:val="0"/>
                  <w:vAlign w:val="center"/>
                </w:tcPr>
                <w:p w14:paraId="69F660F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无组织</w:t>
                  </w:r>
                </w:p>
              </w:tc>
              <w:tc>
                <w:tcPr>
                  <w:tcW w:w="801" w:type="dxa"/>
                  <w:tcBorders>
                    <w:tl2br w:val="nil"/>
                    <w:tr2bl w:val="nil"/>
                  </w:tcBorders>
                  <w:noWrap w:val="0"/>
                  <w:vAlign w:val="center"/>
                </w:tcPr>
                <w:p w14:paraId="4CA543C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二次</w:t>
                  </w:r>
                  <w:r>
                    <w:rPr>
                      <w:rFonts w:hint="default" w:cs="Times New Roman"/>
                      <w:color w:val="auto"/>
                      <w:sz w:val="21"/>
                      <w:szCs w:val="21"/>
                      <w:highlight w:val="none"/>
                      <w:lang w:val="en-US" w:eastAsia="zh-CN"/>
                    </w:rPr>
                    <w:t>油气回收系统</w:t>
                  </w:r>
                </w:p>
              </w:tc>
              <w:tc>
                <w:tcPr>
                  <w:tcW w:w="833" w:type="dxa"/>
                  <w:tcBorders>
                    <w:tl2br w:val="nil"/>
                    <w:tr2bl w:val="nil"/>
                  </w:tcBorders>
                  <w:noWrap w:val="0"/>
                  <w:vAlign w:val="center"/>
                </w:tcPr>
                <w:p w14:paraId="5F34669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油气回收</w:t>
                  </w:r>
                </w:p>
              </w:tc>
              <w:tc>
                <w:tcPr>
                  <w:tcW w:w="952" w:type="dxa"/>
                  <w:vMerge w:val="continue"/>
                  <w:tcBorders>
                    <w:tl2br w:val="nil"/>
                    <w:tr2bl w:val="nil"/>
                  </w:tcBorders>
                  <w:noWrap w:val="0"/>
                  <w:vAlign w:val="center"/>
                </w:tcPr>
                <w:p w14:paraId="50EAA4C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803" w:type="dxa"/>
                  <w:tcBorders>
                    <w:tl2br w:val="nil"/>
                    <w:tr2bl w:val="nil"/>
                  </w:tcBorders>
                  <w:noWrap w:val="0"/>
                  <w:vAlign w:val="center"/>
                </w:tcPr>
                <w:p w14:paraId="2647B3E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114" w:type="dxa"/>
                  <w:vMerge w:val="continue"/>
                  <w:tcBorders>
                    <w:tl2br w:val="nil"/>
                    <w:tr2bl w:val="nil"/>
                  </w:tcBorders>
                  <w:noWrap w:val="0"/>
                  <w:vAlign w:val="center"/>
                </w:tcPr>
                <w:p w14:paraId="72335CE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仿宋" w:cs="Times New Roman"/>
                      <w:color w:val="auto"/>
                      <w:sz w:val="20"/>
                      <w:szCs w:val="20"/>
                      <w:highlight w:val="none"/>
                      <w:u w:val="none" w:color="auto"/>
                    </w:rPr>
                  </w:pPr>
                </w:p>
              </w:tc>
            </w:tr>
            <w:tr w14:paraId="02C9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68" w:type="dxa"/>
                  <w:gridSpan w:val="3"/>
                  <w:tcBorders>
                    <w:tl2br w:val="nil"/>
                    <w:tr2bl w:val="nil"/>
                  </w:tcBorders>
                  <w:noWrap w:val="0"/>
                  <w:vAlign w:val="center"/>
                </w:tcPr>
                <w:p w14:paraId="7076134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企业边界</w:t>
                  </w:r>
                </w:p>
              </w:tc>
              <w:tc>
                <w:tcPr>
                  <w:tcW w:w="754" w:type="dxa"/>
                  <w:tcBorders>
                    <w:tl2br w:val="nil"/>
                    <w:tr2bl w:val="nil"/>
                  </w:tcBorders>
                  <w:noWrap w:val="0"/>
                  <w:vAlign w:val="center"/>
                </w:tcPr>
                <w:p w14:paraId="6E8F77F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挥发性有机物</w:t>
                  </w:r>
                </w:p>
              </w:tc>
              <w:tc>
                <w:tcPr>
                  <w:tcW w:w="687" w:type="dxa"/>
                  <w:tcBorders>
                    <w:tl2br w:val="nil"/>
                    <w:tr2bl w:val="nil"/>
                  </w:tcBorders>
                  <w:noWrap w:val="0"/>
                  <w:vAlign w:val="center"/>
                </w:tcPr>
                <w:p w14:paraId="5801ED6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无组织</w:t>
                  </w:r>
                </w:p>
              </w:tc>
              <w:tc>
                <w:tcPr>
                  <w:tcW w:w="801" w:type="dxa"/>
                  <w:tcBorders>
                    <w:tl2br w:val="nil"/>
                    <w:tr2bl w:val="nil"/>
                  </w:tcBorders>
                  <w:noWrap w:val="0"/>
                  <w:vAlign w:val="center"/>
                </w:tcPr>
                <w:p w14:paraId="617BF27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833" w:type="dxa"/>
                  <w:tcBorders>
                    <w:tl2br w:val="nil"/>
                    <w:tr2bl w:val="nil"/>
                  </w:tcBorders>
                  <w:noWrap w:val="0"/>
                  <w:vAlign w:val="center"/>
                </w:tcPr>
                <w:p w14:paraId="428CC97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952" w:type="dxa"/>
                  <w:tcBorders>
                    <w:tl2br w:val="nil"/>
                    <w:tr2bl w:val="nil"/>
                  </w:tcBorders>
                  <w:noWrap w:val="0"/>
                  <w:vAlign w:val="center"/>
                </w:tcPr>
                <w:p w14:paraId="03EC7C8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803" w:type="dxa"/>
                  <w:tcBorders>
                    <w:tl2br w:val="nil"/>
                    <w:tr2bl w:val="nil"/>
                  </w:tcBorders>
                  <w:noWrap w:val="0"/>
                  <w:vAlign w:val="center"/>
                </w:tcPr>
                <w:p w14:paraId="2DE2F47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114" w:type="dxa"/>
                  <w:tcBorders>
                    <w:tl2br w:val="nil"/>
                    <w:tr2bl w:val="nil"/>
                  </w:tcBorders>
                  <w:noWrap w:val="0"/>
                  <w:vAlign w:val="center"/>
                </w:tcPr>
                <w:p w14:paraId="1F8D025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仿宋" w:cs="Times New Roman"/>
                      <w:color w:val="auto"/>
                      <w:sz w:val="20"/>
                      <w:szCs w:val="20"/>
                      <w:highlight w:val="none"/>
                      <w:u w:val="none" w:color="auto"/>
                      <w:lang w:val="en-US" w:eastAsia="zh-CN"/>
                    </w:rPr>
                  </w:pPr>
                  <w:r>
                    <w:rPr>
                      <w:rFonts w:hint="default" w:eastAsia="宋体" w:cs="Times New Roman"/>
                      <w:color w:val="auto"/>
                      <w:sz w:val="21"/>
                      <w:szCs w:val="21"/>
                      <w:highlight w:val="none"/>
                      <w:lang w:val="en-US" w:eastAsia="zh-CN"/>
                    </w:rPr>
                    <w:t>《挥发性有机物无组织排放控制标准》</w:t>
                  </w:r>
                  <w:r>
                    <w:rPr>
                      <w:rFonts w:hint="default" w:ascii="Times New Roman" w:hAnsi="Times New Roman" w:eastAsia="仿宋" w:cs="Times New Roman"/>
                      <w:color w:val="auto"/>
                      <w:sz w:val="20"/>
                      <w:szCs w:val="20"/>
                      <w:highlight w:val="none"/>
                      <w:u w:val="none" w:color="auto"/>
                      <w:lang w:val="en-US" w:eastAsia="zh-CN"/>
                    </w:rPr>
                    <w:t>（GB37822-2019）</w:t>
                  </w:r>
                </w:p>
              </w:tc>
            </w:tr>
            <w:tr w14:paraId="7FBE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32" w:type="dxa"/>
                  <w:gridSpan w:val="2"/>
                  <w:tcBorders>
                    <w:tl2br w:val="nil"/>
                    <w:tr2bl w:val="nil"/>
                  </w:tcBorders>
                  <w:noWrap w:val="0"/>
                  <w:vAlign w:val="center"/>
                </w:tcPr>
                <w:p w14:paraId="15B33D1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食堂</w:t>
                  </w:r>
                </w:p>
              </w:tc>
              <w:tc>
                <w:tcPr>
                  <w:tcW w:w="736" w:type="dxa"/>
                  <w:tcBorders>
                    <w:tl2br w:val="nil"/>
                    <w:tr2bl w:val="nil"/>
                  </w:tcBorders>
                  <w:noWrap w:val="0"/>
                  <w:vAlign w:val="center"/>
                </w:tcPr>
                <w:p w14:paraId="641CB5F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烹饪</w:t>
                  </w:r>
                </w:p>
              </w:tc>
              <w:tc>
                <w:tcPr>
                  <w:tcW w:w="754" w:type="dxa"/>
                  <w:tcBorders>
                    <w:tl2br w:val="nil"/>
                    <w:tr2bl w:val="nil"/>
                  </w:tcBorders>
                  <w:noWrap w:val="0"/>
                  <w:vAlign w:val="center"/>
                </w:tcPr>
                <w:p w14:paraId="2F6683E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油烟</w:t>
                  </w:r>
                </w:p>
              </w:tc>
              <w:tc>
                <w:tcPr>
                  <w:tcW w:w="687" w:type="dxa"/>
                  <w:tcBorders>
                    <w:tl2br w:val="nil"/>
                    <w:tr2bl w:val="nil"/>
                  </w:tcBorders>
                  <w:noWrap w:val="0"/>
                  <w:vAlign w:val="center"/>
                </w:tcPr>
                <w:p w14:paraId="523AB70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801" w:type="dxa"/>
                  <w:tcBorders>
                    <w:tl2br w:val="nil"/>
                    <w:tr2bl w:val="nil"/>
                  </w:tcBorders>
                  <w:noWrap w:val="0"/>
                  <w:vAlign w:val="center"/>
                </w:tcPr>
                <w:p w14:paraId="0918BF2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油烟净化器</w:t>
                  </w:r>
                </w:p>
              </w:tc>
              <w:tc>
                <w:tcPr>
                  <w:tcW w:w="833" w:type="dxa"/>
                  <w:tcBorders>
                    <w:tl2br w:val="nil"/>
                    <w:tr2bl w:val="nil"/>
                  </w:tcBorders>
                  <w:noWrap w:val="0"/>
                  <w:vAlign w:val="center"/>
                </w:tcPr>
                <w:p w14:paraId="6C5107C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油烟净化</w:t>
                  </w:r>
                </w:p>
              </w:tc>
              <w:tc>
                <w:tcPr>
                  <w:tcW w:w="952" w:type="dxa"/>
                  <w:tcBorders>
                    <w:tl2br w:val="nil"/>
                    <w:tr2bl w:val="nil"/>
                  </w:tcBorders>
                  <w:noWrap w:val="0"/>
                  <w:vAlign w:val="center"/>
                </w:tcPr>
                <w:p w14:paraId="12458E8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sym w:font="Wingdings 2" w:char="0052"/>
                  </w:r>
                  <w:r>
                    <w:rPr>
                      <w:rFonts w:hint="default" w:cs="Times New Roman"/>
                      <w:color w:val="auto"/>
                      <w:sz w:val="21"/>
                      <w:szCs w:val="21"/>
                      <w:highlight w:val="none"/>
                      <w:lang w:val="en-US" w:eastAsia="zh-CN"/>
                    </w:rPr>
                    <w:t>是</w:t>
                  </w:r>
                </w:p>
                <w:p w14:paraId="68BCC27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sym w:font="Wingdings 2" w:char="00A3"/>
                  </w:r>
                  <w:r>
                    <w:rPr>
                      <w:rFonts w:hint="default" w:cs="Times New Roman"/>
                      <w:color w:val="auto"/>
                      <w:sz w:val="21"/>
                      <w:szCs w:val="21"/>
                      <w:highlight w:val="none"/>
                      <w:lang w:val="en-US" w:eastAsia="zh-CN"/>
                    </w:rPr>
                    <w:t>否</w:t>
                  </w:r>
                </w:p>
              </w:tc>
              <w:tc>
                <w:tcPr>
                  <w:tcW w:w="803" w:type="dxa"/>
                  <w:tcBorders>
                    <w:tl2br w:val="nil"/>
                    <w:tr2bl w:val="nil"/>
                  </w:tcBorders>
                  <w:noWrap w:val="0"/>
                  <w:vAlign w:val="center"/>
                </w:tcPr>
                <w:p w14:paraId="1D6B1BE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14" w:type="dxa"/>
                  <w:tcBorders>
                    <w:tl2br w:val="nil"/>
                    <w:tr2bl w:val="nil"/>
                  </w:tcBorders>
                  <w:shd w:val="clear" w:color="auto" w:fill="auto"/>
                  <w:noWrap w:val="0"/>
                  <w:vAlign w:val="center"/>
                </w:tcPr>
                <w:p w14:paraId="65E1191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《饮食业油烟排放标准》（GB18483-200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p>
              </w:tc>
            </w:tr>
          </w:tbl>
          <w:p w14:paraId="09D2DE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outlineLvl w:val="9"/>
              <w:rPr>
                <w:rFonts w:hint="default" w:ascii="Times New Roman" w:hAnsi="Times New Roman" w:eastAsia="宋体" w:cs="Times New Roman"/>
                <w:b/>
                <w:bCs w:val="0"/>
                <w:color w:val="auto"/>
                <w:sz w:val="24"/>
                <w:szCs w:val="24"/>
                <w:highlight w:val="none"/>
                <w:u w:val="none" w:color="auto"/>
                <w:lang w:val="en-US" w:eastAsia="zh-CN"/>
              </w:rPr>
            </w:pPr>
            <w:r>
              <w:rPr>
                <w:rFonts w:hint="default" w:ascii="Times New Roman" w:hAnsi="Times New Roman" w:eastAsia="宋体" w:cs="Times New Roman"/>
                <w:b/>
                <w:bCs w:val="0"/>
                <w:color w:val="auto"/>
                <w:sz w:val="24"/>
                <w:szCs w:val="24"/>
                <w:highlight w:val="none"/>
                <w:u w:val="none" w:color="auto"/>
                <w:lang w:val="en-US" w:eastAsia="zh-CN"/>
              </w:rPr>
              <w:t>④非正常工况分析</w:t>
            </w:r>
          </w:p>
          <w:p w14:paraId="37123F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lang w:val="en-US" w:eastAsia="zh-CN"/>
              </w:rPr>
              <w:t>项目的非正常工况主要为油气回收装置失效，造成油气未经处理直接排放，根据源强分析，加油站设置油气回收装置中最大产生区域为卸油，本次环评按储油罐油气回收装置失效计，其排放情况如下表所示。</w:t>
            </w:r>
          </w:p>
          <w:p w14:paraId="4F73370D">
            <w:pPr>
              <w:pStyle w:val="289"/>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 非正常工况废气污染物产排情况</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25"/>
              <w:gridCol w:w="1858"/>
              <w:gridCol w:w="1552"/>
              <w:gridCol w:w="1074"/>
              <w:gridCol w:w="1074"/>
              <w:gridCol w:w="1068"/>
            </w:tblGrid>
            <w:tr w14:paraId="3288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pct"/>
                  <w:tcBorders>
                    <w:tl2br w:val="nil"/>
                    <w:tr2bl w:val="nil"/>
                  </w:tcBorders>
                  <w:noWrap w:val="0"/>
                  <w:vAlign w:val="center"/>
                </w:tcPr>
                <w:p w14:paraId="1D74075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污染源</w:t>
                  </w:r>
                </w:p>
              </w:tc>
              <w:tc>
                <w:tcPr>
                  <w:tcW w:w="662" w:type="pct"/>
                  <w:tcBorders>
                    <w:tl2br w:val="nil"/>
                    <w:tr2bl w:val="nil"/>
                  </w:tcBorders>
                  <w:noWrap w:val="0"/>
                  <w:vAlign w:val="center"/>
                </w:tcPr>
                <w:p w14:paraId="42C11E8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污染因子</w:t>
                  </w:r>
                </w:p>
              </w:tc>
              <w:tc>
                <w:tcPr>
                  <w:tcW w:w="1093" w:type="pct"/>
                  <w:tcBorders>
                    <w:tl2br w:val="nil"/>
                    <w:tr2bl w:val="nil"/>
                  </w:tcBorders>
                  <w:noWrap w:val="0"/>
                  <w:vAlign w:val="center"/>
                </w:tcPr>
                <w:p w14:paraId="56F094B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非正常排放原因</w:t>
                  </w:r>
                </w:p>
              </w:tc>
              <w:tc>
                <w:tcPr>
                  <w:tcW w:w="913" w:type="pct"/>
                  <w:tcBorders>
                    <w:tl2br w:val="nil"/>
                    <w:tr2bl w:val="nil"/>
                  </w:tcBorders>
                  <w:noWrap w:val="0"/>
                  <w:vAlign w:val="center"/>
                </w:tcPr>
                <w:p w14:paraId="1ACB2473">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非正常排放</w:t>
                  </w:r>
                  <w:r>
                    <w:rPr>
                      <w:rFonts w:hint="default" w:ascii="Times New Roman" w:hAnsi="Times New Roman" w:eastAsia="宋体" w:cs="Times New Roman"/>
                      <w:b/>
                      <w:bCs/>
                      <w:color w:val="auto"/>
                      <w:sz w:val="21"/>
                      <w:szCs w:val="21"/>
                      <w:highlight w:val="none"/>
                      <w:lang w:val="en-US" w:eastAsia="zh-CN"/>
                    </w:rPr>
                    <w:t>情况</w:t>
                  </w:r>
                  <w:r>
                    <w:rPr>
                      <w:rFonts w:hint="default" w:ascii="Times New Roman" w:hAnsi="Times New Roman" w:cs="Times New Roman"/>
                      <w:b/>
                      <w:bCs/>
                      <w:color w:val="auto"/>
                      <w:sz w:val="21"/>
                      <w:szCs w:val="21"/>
                      <w:highlight w:val="none"/>
                      <w:lang w:val="en-US" w:eastAsia="zh-CN"/>
                    </w:rPr>
                    <w:t>排放量t/a</w:t>
                  </w:r>
                </w:p>
              </w:tc>
              <w:tc>
                <w:tcPr>
                  <w:tcW w:w="632" w:type="pct"/>
                  <w:tcBorders>
                    <w:tl2br w:val="nil"/>
                    <w:tr2bl w:val="nil"/>
                  </w:tcBorders>
                  <w:shd w:val="clear" w:color="auto" w:fill="auto"/>
                  <w:noWrap w:val="0"/>
                  <w:vAlign w:val="center"/>
                </w:tcPr>
                <w:p w14:paraId="3E1AC81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单次持续时间</w:t>
                  </w:r>
                </w:p>
              </w:tc>
              <w:tc>
                <w:tcPr>
                  <w:tcW w:w="632" w:type="pct"/>
                  <w:tcBorders>
                    <w:tl2br w:val="nil"/>
                    <w:tr2bl w:val="nil"/>
                  </w:tcBorders>
                  <w:shd w:val="clear" w:color="auto" w:fill="auto"/>
                  <w:noWrap w:val="0"/>
                  <w:vAlign w:val="center"/>
                </w:tcPr>
                <w:p w14:paraId="6AFDDAA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年发生频次</w:t>
                  </w:r>
                </w:p>
              </w:tc>
              <w:tc>
                <w:tcPr>
                  <w:tcW w:w="628" w:type="pct"/>
                  <w:tcBorders>
                    <w:tl2br w:val="nil"/>
                    <w:tr2bl w:val="nil"/>
                  </w:tcBorders>
                  <w:shd w:val="clear" w:color="auto" w:fill="auto"/>
                  <w:noWrap w:val="0"/>
                  <w:vAlign w:val="center"/>
                </w:tcPr>
                <w:p w14:paraId="22F12EE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应对措施</w:t>
                  </w:r>
                </w:p>
              </w:tc>
            </w:tr>
            <w:tr w14:paraId="3B9C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6" w:type="pct"/>
                  <w:tcBorders>
                    <w:tl2br w:val="nil"/>
                    <w:tr2bl w:val="nil"/>
                  </w:tcBorders>
                  <w:noWrap w:val="0"/>
                  <w:vAlign w:val="center"/>
                </w:tcPr>
                <w:p w14:paraId="5840F86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储油罐</w:t>
                  </w:r>
                </w:p>
              </w:tc>
              <w:tc>
                <w:tcPr>
                  <w:tcW w:w="662" w:type="pct"/>
                  <w:tcBorders>
                    <w:tl2br w:val="nil"/>
                    <w:tr2bl w:val="nil"/>
                  </w:tcBorders>
                  <w:noWrap w:val="0"/>
                  <w:vAlign w:val="center"/>
                </w:tcPr>
                <w:p w14:paraId="038E72A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1093" w:type="pct"/>
                  <w:tcBorders>
                    <w:tl2br w:val="nil"/>
                    <w:tr2bl w:val="nil"/>
                  </w:tcBorders>
                  <w:noWrap w:val="0"/>
                  <w:vAlign w:val="center"/>
                </w:tcPr>
                <w:p w14:paraId="076F606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油气回收装置失效，处理效率为0</w:t>
                  </w:r>
                </w:p>
              </w:tc>
              <w:tc>
                <w:tcPr>
                  <w:tcW w:w="913" w:type="pct"/>
                  <w:tcBorders>
                    <w:tl2br w:val="nil"/>
                    <w:tr2bl w:val="nil"/>
                  </w:tcBorders>
                  <w:noWrap w:val="0"/>
                  <w:vAlign w:val="center"/>
                </w:tcPr>
                <w:p w14:paraId="59D8BCB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0.587</w:t>
                  </w:r>
                </w:p>
              </w:tc>
              <w:tc>
                <w:tcPr>
                  <w:tcW w:w="632" w:type="pct"/>
                  <w:tcBorders>
                    <w:tl2br w:val="nil"/>
                    <w:tr2bl w:val="nil"/>
                  </w:tcBorders>
                  <w:shd w:val="clear" w:color="auto" w:fill="auto"/>
                  <w:noWrap w:val="0"/>
                  <w:vAlign w:val="center"/>
                </w:tcPr>
                <w:p w14:paraId="073154CC">
                  <w:pPr>
                    <w:pStyle w:val="124"/>
                    <w:ind w:left="420" w:leftChars="0" w:hanging="420" w:hangingChars="20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2h</w:t>
                  </w:r>
                </w:p>
              </w:tc>
              <w:tc>
                <w:tcPr>
                  <w:tcW w:w="632" w:type="pct"/>
                  <w:tcBorders>
                    <w:tl2br w:val="nil"/>
                    <w:tr2bl w:val="nil"/>
                  </w:tcBorders>
                  <w:shd w:val="clear" w:color="auto" w:fill="auto"/>
                  <w:noWrap w:val="0"/>
                  <w:vAlign w:val="center"/>
                </w:tcPr>
                <w:p w14:paraId="22A806AD">
                  <w:pPr>
                    <w:pStyle w:val="124"/>
                    <w:ind w:left="420" w:leftChars="0" w:hanging="420" w:hangingChars="20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1次</w:t>
                  </w:r>
                </w:p>
              </w:tc>
              <w:tc>
                <w:tcPr>
                  <w:tcW w:w="628" w:type="pct"/>
                  <w:tcBorders>
                    <w:tl2br w:val="nil"/>
                    <w:tr2bl w:val="nil"/>
                  </w:tcBorders>
                  <w:shd w:val="clear" w:color="auto" w:fill="auto"/>
                  <w:noWrap w:val="0"/>
                  <w:vAlign w:val="center"/>
                </w:tcPr>
                <w:p w14:paraId="26E3FED9">
                  <w:pPr>
                    <w:pStyle w:val="124"/>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SA"/>
                    </w:rPr>
                    <w:t>立即停机检修</w:t>
                  </w:r>
                </w:p>
              </w:tc>
            </w:tr>
          </w:tbl>
          <w:p w14:paraId="05027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为防止有机废气非正常工况排放，企业必须加强油气回收系统的管理，定期检修，确保废气处理设施正常运行，在废气处理设备停止运行或出现故障时，产生废气的各工序也必须相应停止生产。为杜绝废气非正常排放，应采取以下措施确保废气达标排放：</w:t>
            </w:r>
          </w:p>
          <w:p w14:paraId="041CA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A.安排专人负责环保设备的日常维护和管理，每隔固定时间检查、汇报情况，及时发现油气回收系统的隐患，确保油气回收系统正常运行；</w:t>
            </w:r>
          </w:p>
          <w:p w14:paraId="2BEDFF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highlight w:val="none"/>
                <w:u w:val="none" w:color="auto"/>
              </w:rPr>
            </w:pPr>
            <w:r>
              <w:rPr>
                <w:rFonts w:hint="default" w:ascii="Times New Roman" w:hAnsi="Times New Roman" w:eastAsia="宋体" w:cs="Times New Roman"/>
                <w:b w:val="0"/>
                <w:bCs w:val="0"/>
                <w:color w:val="auto"/>
                <w:sz w:val="24"/>
                <w:szCs w:val="24"/>
                <w:highlight w:val="none"/>
                <w:u w:val="none" w:color="auto"/>
                <w:lang w:val="en-US" w:eastAsia="zh-CN"/>
              </w:rPr>
              <w:t>B.建立健全的环保管理机构，对环保管理人员和技术人员进行岗位培训，委托具有专业资质的环境检测单位对项目排放的各类污染物进行定期检测。</w:t>
            </w:r>
          </w:p>
          <w:p w14:paraId="479341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u w:val="none" w:color="auto"/>
              </w:rPr>
            </w:pPr>
            <w:r>
              <w:rPr>
                <w:rFonts w:hint="eastAsia" w:ascii="Times New Roman" w:hAnsi="Times New Roman" w:eastAsia="宋体" w:cs="Times New Roman"/>
                <w:b/>
                <w:bCs/>
                <w:kern w:val="2"/>
                <w:sz w:val="24"/>
                <w:szCs w:val="24"/>
                <w:lang w:val="en-US" w:eastAsia="zh-CN" w:bidi="ar-SA"/>
              </w:rPr>
              <w:t xml:space="preserve">4.5.2 </w:t>
            </w:r>
            <w:r>
              <w:rPr>
                <w:rFonts w:hint="default" w:ascii="Times New Roman" w:hAnsi="Times New Roman" w:eastAsia="宋体" w:cs="Times New Roman"/>
                <w:b/>
                <w:bCs/>
                <w:color w:val="auto"/>
                <w:sz w:val="24"/>
                <w:szCs w:val="24"/>
                <w:highlight w:val="none"/>
                <w:u w:val="none" w:color="auto"/>
              </w:rPr>
              <w:t>废气污染治理设施可行性分析</w:t>
            </w:r>
          </w:p>
          <w:p w14:paraId="76BF927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single" w:color="auto"/>
              </w:rPr>
            </w:pPr>
            <w:r>
              <w:rPr>
                <w:rFonts w:hint="default" w:ascii="Times New Roman" w:hAnsi="Times New Roman" w:eastAsia="宋体" w:cs="Times New Roman"/>
                <w:color w:val="auto"/>
                <w:sz w:val="24"/>
                <w:highlight w:val="none"/>
                <w:u w:val="single" w:color="auto"/>
                <w:lang w:val="en-US" w:eastAsia="zh-CN"/>
              </w:rPr>
              <w:t>①</w:t>
            </w:r>
            <w:r>
              <w:rPr>
                <w:rFonts w:hint="default" w:ascii="Times New Roman" w:hAnsi="Times New Roman" w:eastAsia="宋体" w:cs="Times New Roman"/>
                <w:color w:val="auto"/>
                <w:sz w:val="24"/>
                <w:highlight w:val="none"/>
                <w:u w:val="single" w:color="auto"/>
              </w:rPr>
              <w:t>油罐大小呼吸、加油机作业等排放的非甲烷总烃</w:t>
            </w:r>
          </w:p>
          <w:p w14:paraId="29F4E991">
            <w:pPr>
              <w:keepNext w:val="0"/>
              <w:keepLines w:val="0"/>
              <w:widowControl/>
              <w:suppressLineNumbers w:val="0"/>
              <w:spacing w:line="360" w:lineRule="auto"/>
              <w:ind w:firstLine="480" w:firstLineChars="200"/>
              <w:jc w:val="left"/>
              <w:rPr>
                <w:sz w:val="24"/>
                <w:szCs w:val="24"/>
                <w:u w:val="single" w:color="auto"/>
              </w:rPr>
            </w:pPr>
            <w:r>
              <w:rPr>
                <w:rFonts w:hint="eastAsia" w:ascii="宋体" w:hAnsi="宋体" w:eastAsia="宋体" w:cs="宋体"/>
                <w:color w:val="000000"/>
                <w:kern w:val="0"/>
                <w:sz w:val="24"/>
                <w:szCs w:val="24"/>
                <w:u w:val="single" w:color="auto"/>
                <w:lang w:val="en-US" w:eastAsia="zh-CN" w:bidi="ar"/>
              </w:rPr>
              <w:t>加油站采用地埋式储油罐，卸油方式为密闭卸油，密闭性良好，为减少加油站卸油、储油、加油过程造成的非甲烷总烃无组织排放，项目采取以密闭收集为基础的油气回收系统。卸油、加油环节设置二级油气回收系统，地下储油罐储油过程中产生的油气和二次油气回收的油气设置冷凝</w:t>
            </w:r>
            <w:r>
              <w:rPr>
                <w:rFonts w:hint="default" w:ascii="Times New Roman" w:hAnsi="Times New Roman" w:eastAsia="宋体" w:cs="Times New Roman"/>
                <w:color w:val="000000"/>
                <w:kern w:val="0"/>
                <w:sz w:val="24"/>
                <w:szCs w:val="24"/>
                <w:u w:val="single" w:color="auto"/>
                <w:lang w:val="en-US" w:eastAsia="zh-CN" w:bidi="ar"/>
              </w:rPr>
              <w:t>+</w:t>
            </w:r>
            <w:r>
              <w:rPr>
                <w:rFonts w:hint="eastAsia" w:ascii="宋体" w:hAnsi="宋体" w:eastAsia="宋体" w:cs="宋体"/>
                <w:color w:val="000000"/>
                <w:kern w:val="0"/>
                <w:sz w:val="24"/>
                <w:szCs w:val="24"/>
                <w:u w:val="single" w:color="auto"/>
                <w:lang w:val="en-US" w:eastAsia="zh-CN" w:bidi="ar"/>
              </w:rPr>
              <w:t>活性炭后处理系统（三次油气回收系统），一次油气回收系统收集效率为</w:t>
            </w:r>
            <w:r>
              <w:rPr>
                <w:rFonts w:hint="default" w:ascii="Times New Roman" w:hAnsi="Times New Roman" w:eastAsia="宋体" w:cs="Times New Roman"/>
                <w:color w:val="000000"/>
                <w:kern w:val="0"/>
                <w:sz w:val="24"/>
                <w:szCs w:val="24"/>
                <w:u w:val="single" w:color="auto"/>
                <w:lang w:val="en-US" w:eastAsia="zh-CN" w:bidi="ar"/>
              </w:rPr>
              <w:t>95%</w:t>
            </w:r>
            <w:r>
              <w:rPr>
                <w:rFonts w:hint="eastAsia" w:ascii="宋体" w:hAnsi="宋体" w:eastAsia="宋体" w:cs="宋体"/>
                <w:color w:val="000000"/>
                <w:kern w:val="0"/>
                <w:sz w:val="24"/>
                <w:szCs w:val="24"/>
                <w:u w:val="single" w:color="auto"/>
                <w:lang w:val="en-US" w:eastAsia="zh-CN" w:bidi="ar"/>
              </w:rPr>
              <w:t>，二次油气回收系统收集效率为</w:t>
            </w:r>
            <w:r>
              <w:rPr>
                <w:rFonts w:hint="default" w:ascii="Times New Roman" w:hAnsi="Times New Roman" w:eastAsia="宋体" w:cs="Times New Roman"/>
                <w:color w:val="000000"/>
                <w:kern w:val="0"/>
                <w:sz w:val="24"/>
                <w:szCs w:val="24"/>
                <w:u w:val="single" w:color="auto"/>
                <w:lang w:val="en-US" w:eastAsia="zh-CN" w:bidi="ar"/>
              </w:rPr>
              <w:t>95%</w:t>
            </w:r>
            <w:r>
              <w:rPr>
                <w:rFonts w:hint="eastAsia" w:ascii="宋体" w:hAnsi="宋体" w:eastAsia="宋体" w:cs="宋体"/>
                <w:color w:val="000000"/>
                <w:kern w:val="0"/>
                <w:sz w:val="24"/>
                <w:szCs w:val="24"/>
                <w:u w:val="single" w:color="auto"/>
                <w:lang w:val="en-US" w:eastAsia="zh-CN" w:bidi="ar"/>
              </w:rPr>
              <w:t>，三次油气回收系统的冷凝处理效率</w:t>
            </w:r>
            <w:r>
              <w:rPr>
                <w:rFonts w:hint="default" w:ascii="Times New Roman" w:hAnsi="Times New Roman" w:eastAsia="宋体" w:cs="Times New Roman"/>
                <w:color w:val="000000"/>
                <w:kern w:val="0"/>
                <w:sz w:val="24"/>
                <w:szCs w:val="24"/>
                <w:u w:val="single" w:color="auto"/>
                <w:lang w:val="en-US" w:eastAsia="zh-CN" w:bidi="ar"/>
              </w:rPr>
              <w:t>95%</w:t>
            </w:r>
            <w:r>
              <w:rPr>
                <w:rFonts w:hint="eastAsia" w:ascii="宋体" w:hAnsi="宋体" w:eastAsia="宋体" w:cs="宋体"/>
                <w:color w:val="000000"/>
                <w:kern w:val="0"/>
                <w:sz w:val="24"/>
                <w:szCs w:val="24"/>
                <w:u w:val="single" w:color="auto"/>
                <w:lang w:val="en-US" w:eastAsia="zh-CN" w:bidi="ar"/>
              </w:rPr>
              <w:t>，一级活性炭吸附效率</w:t>
            </w:r>
            <w:r>
              <w:rPr>
                <w:rFonts w:hint="default" w:ascii="Times New Roman" w:hAnsi="Times New Roman" w:eastAsia="宋体" w:cs="Times New Roman"/>
                <w:color w:val="000000"/>
                <w:kern w:val="0"/>
                <w:sz w:val="24"/>
                <w:szCs w:val="24"/>
                <w:u w:val="single" w:color="auto"/>
                <w:lang w:val="en-US" w:eastAsia="zh-CN" w:bidi="ar"/>
              </w:rPr>
              <w:t>50%</w:t>
            </w:r>
            <w:r>
              <w:rPr>
                <w:rFonts w:hint="eastAsia" w:ascii="宋体" w:hAnsi="宋体" w:eastAsia="宋体" w:cs="宋体"/>
                <w:color w:val="000000"/>
                <w:kern w:val="0"/>
                <w:sz w:val="24"/>
                <w:szCs w:val="24"/>
                <w:u w:val="single" w:color="auto"/>
                <w:lang w:val="en-US" w:eastAsia="zh-CN" w:bidi="ar"/>
              </w:rPr>
              <w:t>，其余由排气管（距地面高度</w:t>
            </w:r>
            <w:r>
              <w:rPr>
                <w:rFonts w:hint="default" w:ascii="Times New Roman" w:hAnsi="Times New Roman" w:eastAsia="宋体" w:cs="Times New Roman"/>
                <w:color w:val="000000"/>
                <w:kern w:val="0"/>
                <w:sz w:val="24"/>
                <w:szCs w:val="24"/>
                <w:u w:val="single" w:color="auto"/>
                <w:lang w:val="en-US" w:eastAsia="zh-CN" w:bidi="ar"/>
              </w:rPr>
              <w:t>4.5m</w:t>
            </w:r>
            <w:r>
              <w:rPr>
                <w:rFonts w:hint="eastAsia" w:ascii="宋体" w:hAnsi="宋体" w:eastAsia="宋体" w:cs="宋体"/>
                <w:color w:val="000000"/>
                <w:kern w:val="0"/>
                <w:sz w:val="24"/>
                <w:szCs w:val="24"/>
                <w:u w:val="single" w:color="auto"/>
                <w:lang w:val="en-US" w:eastAsia="zh-CN" w:bidi="ar"/>
              </w:rPr>
              <w:t xml:space="preserve">）排放至大气环境中。 </w:t>
            </w:r>
          </w:p>
          <w:p w14:paraId="0A33156D">
            <w:pPr>
              <w:keepNext w:val="0"/>
              <w:keepLines w:val="0"/>
              <w:widowControl/>
              <w:suppressLineNumbers w:val="0"/>
              <w:spacing w:line="360" w:lineRule="auto"/>
              <w:ind w:firstLine="480" w:firstLineChars="200"/>
              <w:jc w:val="left"/>
              <w:rPr>
                <w:sz w:val="24"/>
                <w:szCs w:val="24"/>
                <w:u w:val="single" w:color="auto"/>
              </w:rPr>
            </w:pPr>
            <w:r>
              <w:rPr>
                <w:rFonts w:hint="eastAsia" w:ascii="宋体" w:hAnsi="宋体" w:eastAsia="宋体" w:cs="宋体"/>
                <w:color w:val="000000"/>
                <w:kern w:val="0"/>
                <w:sz w:val="24"/>
                <w:szCs w:val="24"/>
                <w:u w:val="single" w:color="auto"/>
                <w:lang w:val="en-US" w:eastAsia="zh-CN" w:bidi="ar"/>
              </w:rPr>
              <w:t>卸油油气回收系统（一次油气回收）：当装满挥发性油料的储油罐逐渐放空时，空余的空间就会被空气和油蒸气的混合气体填充，油罐车在加油站卸油时，随着新的油料进入地下油罐，罐中的油蒸气就会排入空气中。卸油油气回收系统主要是针对这一部分的逃逸蒸气设计的，其基本原理是用导管将逃逸的油气重新输送回油罐车内，完成油气循环的卸油过程，回收到油罐车的油气，可由油罐车带回油库后处理。卸油油气回收系统回收油气效率约为</w:t>
            </w:r>
            <w:r>
              <w:rPr>
                <w:rFonts w:hint="default" w:ascii="Times New Roman" w:hAnsi="Times New Roman" w:eastAsia="宋体" w:cs="Times New Roman"/>
                <w:color w:val="000000"/>
                <w:kern w:val="0"/>
                <w:sz w:val="24"/>
                <w:szCs w:val="24"/>
                <w:u w:val="single" w:color="auto"/>
                <w:lang w:val="en-US" w:eastAsia="zh-CN" w:bidi="ar"/>
              </w:rPr>
              <w:t>95%</w:t>
            </w:r>
            <w:r>
              <w:rPr>
                <w:rFonts w:hint="eastAsia" w:ascii="宋体" w:hAnsi="宋体" w:eastAsia="宋体" w:cs="宋体"/>
                <w:color w:val="000000"/>
                <w:kern w:val="0"/>
                <w:sz w:val="24"/>
                <w:szCs w:val="24"/>
                <w:u w:val="single" w:color="auto"/>
                <w:lang w:val="en-US" w:eastAsia="zh-CN" w:bidi="ar"/>
              </w:rPr>
              <w:t>。</w:t>
            </w:r>
          </w:p>
          <w:p w14:paraId="4B9A1031">
            <w:pPr>
              <w:keepNext w:val="0"/>
              <w:keepLines w:val="0"/>
              <w:widowControl/>
              <w:suppressLineNumbers w:val="0"/>
              <w:spacing w:line="360" w:lineRule="auto"/>
              <w:ind w:firstLine="480" w:firstLineChars="200"/>
              <w:jc w:val="left"/>
              <w:rPr>
                <w:sz w:val="24"/>
                <w:szCs w:val="24"/>
                <w:u w:val="single" w:color="auto"/>
              </w:rPr>
            </w:pPr>
            <w:r>
              <w:rPr>
                <w:rFonts w:hint="eastAsia" w:ascii="宋体" w:hAnsi="宋体" w:eastAsia="宋体" w:cs="宋体"/>
                <w:color w:val="000000"/>
                <w:kern w:val="0"/>
                <w:sz w:val="24"/>
                <w:szCs w:val="24"/>
                <w:u w:val="single" w:color="auto"/>
                <w:lang w:val="en-US" w:eastAsia="zh-CN" w:bidi="ar"/>
              </w:rPr>
              <w:t>加油油气回收系统（二次油气回收）：主要指汽车加油时，利用油枪上的真空辅助式油气回收装置，将原来会由汽车油箱逸散于空气中的油气由加油枪、抽气电动机汇入地下油罐内。其原理是利用加油枪油管口的面板与机动车油管口之间的密封连接完成的，利用一根同轴胶管的连接形成一个回路，可以使机动车加油和油气回收同时进行，加油油气回收系统回收油气效率约为</w:t>
            </w:r>
            <w:r>
              <w:rPr>
                <w:rFonts w:hint="default" w:ascii="Times New Roman" w:hAnsi="Times New Roman" w:eastAsia="宋体" w:cs="Times New Roman"/>
                <w:color w:val="000000"/>
                <w:kern w:val="0"/>
                <w:sz w:val="24"/>
                <w:szCs w:val="24"/>
                <w:u w:val="single" w:color="auto"/>
                <w:lang w:val="en-US" w:eastAsia="zh-CN" w:bidi="ar"/>
              </w:rPr>
              <w:t>95%</w:t>
            </w:r>
            <w:r>
              <w:rPr>
                <w:rFonts w:hint="eastAsia" w:ascii="宋体" w:hAnsi="宋体" w:eastAsia="宋体" w:cs="宋体"/>
                <w:color w:val="000000"/>
                <w:kern w:val="0"/>
                <w:sz w:val="24"/>
                <w:szCs w:val="24"/>
                <w:u w:val="single" w:color="auto"/>
                <w:lang w:val="en-US" w:eastAsia="zh-CN" w:bidi="ar"/>
              </w:rPr>
              <w:t>。</w:t>
            </w:r>
          </w:p>
          <w:p w14:paraId="6B082FDB">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single" w:color="auto"/>
                <w:lang w:val="en-US" w:eastAsia="zh-CN" w:bidi="ar"/>
              </w:rPr>
            </w:pPr>
            <w:r>
              <w:rPr>
                <w:rFonts w:hint="eastAsia" w:ascii="宋体" w:hAnsi="宋体" w:eastAsia="宋体" w:cs="宋体"/>
                <w:color w:val="000000"/>
                <w:kern w:val="0"/>
                <w:sz w:val="24"/>
                <w:szCs w:val="24"/>
                <w:u w:val="single" w:color="auto"/>
                <w:lang w:val="en-US" w:eastAsia="zh-CN" w:bidi="ar"/>
              </w:rPr>
              <w:t>油气排放处置装置（三次油气回收）：即油气的后处理装置，主要是针对储油罐内小呼吸产生的油气</w:t>
            </w:r>
            <w:r>
              <w:rPr>
                <w:rFonts w:hint="eastAsia" w:ascii="宋体" w:hAnsi="宋体" w:cs="宋体"/>
                <w:color w:val="000000"/>
                <w:kern w:val="0"/>
                <w:sz w:val="24"/>
                <w:szCs w:val="24"/>
                <w:u w:val="single" w:color="auto"/>
                <w:lang w:val="en-US" w:eastAsia="zh-CN" w:bidi="ar"/>
              </w:rPr>
              <w:t>，</w:t>
            </w:r>
            <w:r>
              <w:rPr>
                <w:rFonts w:hint="eastAsia" w:ascii="宋体" w:hAnsi="宋体" w:eastAsia="宋体" w:cs="宋体"/>
                <w:color w:val="000000"/>
                <w:kern w:val="0"/>
                <w:sz w:val="24"/>
                <w:szCs w:val="24"/>
                <w:u w:val="single" w:color="auto"/>
                <w:lang w:val="en-US" w:eastAsia="zh-CN" w:bidi="ar"/>
              </w:rPr>
              <w:t>本项目三次油气回收采用“冷凝</w:t>
            </w:r>
            <w:r>
              <w:rPr>
                <w:rFonts w:hint="default" w:ascii="Times New Roman" w:hAnsi="Times New Roman" w:eastAsia="宋体" w:cs="Times New Roman"/>
                <w:color w:val="000000"/>
                <w:kern w:val="0"/>
                <w:sz w:val="24"/>
                <w:szCs w:val="24"/>
                <w:u w:val="single" w:color="auto"/>
                <w:lang w:val="en-US" w:eastAsia="zh-CN" w:bidi="ar"/>
              </w:rPr>
              <w:t>+</w:t>
            </w:r>
            <w:r>
              <w:rPr>
                <w:rFonts w:hint="eastAsia" w:ascii="宋体" w:hAnsi="宋体" w:eastAsia="宋体" w:cs="宋体"/>
                <w:color w:val="000000"/>
                <w:kern w:val="0"/>
                <w:sz w:val="24"/>
                <w:szCs w:val="24"/>
                <w:u w:val="single" w:color="auto"/>
                <w:lang w:val="en-US" w:eastAsia="zh-CN" w:bidi="ar"/>
              </w:rPr>
              <w:t>活性炭吸附”</w:t>
            </w:r>
            <w:r>
              <w:rPr>
                <w:rFonts w:hint="eastAsia" w:ascii="宋体" w:hAnsi="宋体" w:cs="宋体"/>
                <w:color w:val="000000"/>
                <w:kern w:val="0"/>
                <w:sz w:val="24"/>
                <w:szCs w:val="24"/>
                <w:u w:val="single" w:color="auto"/>
                <w:lang w:val="en-US" w:eastAsia="zh-CN" w:bidi="ar"/>
              </w:rPr>
              <w:t>。</w:t>
            </w:r>
          </w:p>
          <w:p w14:paraId="34C154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冷凝+吸附式油气回收处理系统原理为：利用制冷技术将油气的热量置换出来，实现油气组分从气相到液相的直接转换。加油站油气回收冷凝法是利用烃类物质在不同温度下的蒸汽压差异，通过降温使油气中一些烃类蒸汽压达到过饱和状态，过饱和蒸汽冷凝成液态，回收油气的方法。冷凝系统由预冷~一级冷凝~二级冷凝组成：预冷段的冷量来自于二级冷凝出来的油气，一级冷凝和二级冷凝的冷量来自于制冷机组，制冷剂为 R-404A 型环保制冷剂，由供应商家定期到加油站管道密闭补充，均在日常生产时被消耗殆尽，故本项目不产生废制冷剂。</w:t>
            </w:r>
          </w:p>
          <w:p w14:paraId="7E53C01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油气经过预冷装置将进入回收装置的气体温度从环境温度下降至5℃左右；气体离开预冷器后进入浅冷装置，可将气体温度冷却至-35℃，可回收油气中近一半的烃类物质；离开浅冷的油气进入中冷装置，可将气体冷却至-65℃，回收绝大部分组分。未被冷静的油气进入后段吸附工艺利用活性炭吸附剂对混合气的吸附力的大小不同，实现油气和空气的分离。油气通过活性炭吸附，油气组分吸附在吸附剂表面，然后再经过减压脱附，富集的油气用真空泵抽吸到油罐；而吸附剂对空气的吸附力非常小，未被吸附的尾气经排气管排放。</w:t>
            </w:r>
          </w:p>
          <w:p w14:paraId="66B96A8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u w:val="single" w:color="auto"/>
                <w:lang w:val="en-US" w:eastAsia="zh-CN" w:bidi="ar"/>
              </w:rPr>
            </w:pPr>
            <w:r>
              <w:rPr>
                <w:rFonts w:hint="eastAsia" w:ascii="宋体" w:hAnsi="宋体" w:eastAsia="宋体" w:cs="宋体"/>
                <w:color w:val="000000"/>
                <w:kern w:val="0"/>
                <w:sz w:val="24"/>
                <w:szCs w:val="24"/>
                <w:u w:val="single" w:color="auto"/>
                <w:lang w:val="en-US" w:eastAsia="zh-CN" w:bidi="ar"/>
              </w:rPr>
              <w:t>根据《排污许可证申请与核发技术规范 储油库、加油站》（</w:t>
            </w:r>
            <w:r>
              <w:rPr>
                <w:rFonts w:hint="default" w:ascii="Times New Roman" w:hAnsi="Times New Roman" w:eastAsia="宋体" w:cs="Times New Roman"/>
                <w:color w:val="000000"/>
                <w:kern w:val="0"/>
                <w:sz w:val="24"/>
                <w:szCs w:val="24"/>
                <w:u w:val="single" w:color="auto"/>
                <w:lang w:val="en-US" w:eastAsia="zh-CN" w:bidi="ar"/>
              </w:rPr>
              <w:t>HJ1118-2020</w:t>
            </w:r>
            <w:r>
              <w:rPr>
                <w:rFonts w:hint="eastAsia" w:ascii="宋体" w:hAnsi="宋体" w:eastAsia="宋体" w:cs="宋体"/>
                <w:color w:val="000000"/>
                <w:kern w:val="0"/>
                <w:sz w:val="24"/>
                <w:szCs w:val="24"/>
                <w:u w:val="single" w:color="auto"/>
                <w:lang w:val="en-US" w:eastAsia="zh-CN" w:bidi="ar"/>
              </w:rPr>
              <w:t>）附录</w:t>
            </w:r>
            <w:r>
              <w:rPr>
                <w:rFonts w:hint="default" w:ascii="Times New Roman" w:hAnsi="Times New Roman" w:eastAsia="宋体" w:cs="Times New Roman"/>
                <w:color w:val="000000"/>
                <w:kern w:val="0"/>
                <w:sz w:val="24"/>
                <w:szCs w:val="24"/>
                <w:u w:val="single" w:color="auto"/>
                <w:lang w:val="en-US" w:eastAsia="zh-CN" w:bidi="ar"/>
              </w:rPr>
              <w:t>F</w:t>
            </w:r>
            <w:r>
              <w:rPr>
                <w:rFonts w:hint="eastAsia" w:ascii="宋体" w:hAnsi="宋体" w:eastAsia="宋体" w:cs="宋体"/>
                <w:color w:val="000000"/>
                <w:kern w:val="0"/>
                <w:sz w:val="24"/>
                <w:szCs w:val="24"/>
                <w:u w:val="single" w:color="auto"/>
                <w:lang w:val="en-US" w:eastAsia="zh-CN" w:bidi="ar"/>
              </w:rPr>
              <w:t>，对照加油站排污单位废气治理可行技术，分析本项目油气治理措施可行性，具体见下表</w:t>
            </w:r>
            <w:r>
              <w:rPr>
                <w:rFonts w:hint="default" w:ascii="Times New Roman" w:hAnsi="Times New Roman" w:eastAsia="宋体" w:cs="Times New Roman"/>
                <w:color w:val="000000"/>
                <w:kern w:val="0"/>
                <w:sz w:val="24"/>
                <w:szCs w:val="24"/>
                <w:u w:val="single" w:color="auto"/>
                <w:lang w:val="en-US" w:eastAsia="zh-CN" w:bidi="ar"/>
              </w:rPr>
              <w:t>4-</w:t>
            </w:r>
            <w:r>
              <w:rPr>
                <w:rFonts w:hint="eastAsia" w:cs="Times New Roman"/>
                <w:color w:val="000000"/>
                <w:kern w:val="0"/>
                <w:sz w:val="24"/>
                <w:szCs w:val="24"/>
                <w:u w:val="single" w:color="auto"/>
                <w:lang w:val="en-US" w:eastAsia="zh-CN" w:bidi="ar"/>
              </w:rPr>
              <w:t>6</w:t>
            </w:r>
            <w:r>
              <w:rPr>
                <w:rFonts w:hint="eastAsia" w:ascii="宋体" w:hAnsi="宋体" w:eastAsia="宋体" w:cs="宋体"/>
                <w:color w:val="000000"/>
                <w:kern w:val="0"/>
                <w:sz w:val="24"/>
                <w:szCs w:val="24"/>
                <w:u w:val="single" w:color="auto"/>
                <w:lang w:val="en-US" w:eastAsia="zh-CN" w:bidi="ar"/>
              </w:rPr>
              <w:t>。</w:t>
            </w:r>
          </w:p>
          <w:p w14:paraId="2A0872DA">
            <w:pPr>
              <w:keepNext w:val="0"/>
              <w:keepLines w:val="0"/>
              <w:widowControl/>
              <w:suppressLineNumbers w:val="0"/>
              <w:jc w:val="center"/>
              <w:rPr>
                <w:sz w:val="24"/>
                <w:szCs w:val="24"/>
                <w:u w:val="single" w:color="auto"/>
              </w:rPr>
            </w:pPr>
            <w:r>
              <w:rPr>
                <w:rFonts w:hint="eastAsia" w:ascii="Times New Roman" w:hAnsi="Times New Roman" w:eastAsia="宋体" w:cs="Times New Roman"/>
                <w:b/>
                <w:bCs/>
                <w:color w:val="000000"/>
                <w:kern w:val="0"/>
                <w:sz w:val="24"/>
                <w:szCs w:val="24"/>
                <w:u w:val="single" w:color="auto"/>
                <w:lang w:val="en-US" w:eastAsia="zh-CN" w:bidi="ar"/>
              </w:rPr>
              <w:t>表</w:t>
            </w:r>
            <w:r>
              <w:rPr>
                <w:rFonts w:hint="default" w:ascii="Times New Roman" w:hAnsi="Times New Roman" w:eastAsia="宋体" w:cs="Times New Roman"/>
                <w:b/>
                <w:bCs/>
                <w:color w:val="000000"/>
                <w:kern w:val="0"/>
                <w:sz w:val="24"/>
                <w:szCs w:val="24"/>
                <w:u w:val="single" w:color="auto"/>
                <w:lang w:val="en-US" w:eastAsia="zh-CN" w:bidi="ar"/>
              </w:rPr>
              <w:t>4-</w:t>
            </w:r>
            <w:r>
              <w:rPr>
                <w:rFonts w:hint="eastAsia" w:cs="Times New Roman"/>
                <w:b/>
                <w:bCs/>
                <w:color w:val="000000"/>
                <w:kern w:val="0"/>
                <w:sz w:val="24"/>
                <w:szCs w:val="24"/>
                <w:u w:val="single" w:color="auto"/>
                <w:lang w:val="en-US" w:eastAsia="zh-CN" w:bidi="ar"/>
              </w:rPr>
              <w:t>6</w:t>
            </w:r>
            <w:r>
              <w:rPr>
                <w:rFonts w:hint="default" w:ascii="Times New Roman" w:hAnsi="Times New Roman" w:eastAsia="宋体" w:cs="Times New Roman"/>
                <w:b/>
                <w:bCs/>
                <w:color w:val="000000"/>
                <w:kern w:val="0"/>
                <w:sz w:val="24"/>
                <w:szCs w:val="24"/>
                <w:u w:val="single" w:color="auto"/>
                <w:lang w:val="en-US" w:eastAsia="zh-CN" w:bidi="ar"/>
              </w:rPr>
              <w:t xml:space="preserve"> </w:t>
            </w:r>
            <w:r>
              <w:rPr>
                <w:rFonts w:hint="eastAsia" w:ascii="宋体" w:hAnsi="宋体" w:eastAsia="宋体" w:cs="宋体"/>
                <w:b/>
                <w:bCs/>
                <w:color w:val="000000"/>
                <w:kern w:val="0"/>
                <w:sz w:val="24"/>
                <w:szCs w:val="24"/>
                <w:u w:val="single" w:color="auto"/>
                <w:lang w:val="en-US" w:eastAsia="zh-CN" w:bidi="ar"/>
              </w:rPr>
              <w:t>废气处理可行性技术对照情况</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85"/>
              <w:gridCol w:w="919"/>
              <w:gridCol w:w="2135"/>
              <w:gridCol w:w="2419"/>
              <w:gridCol w:w="687"/>
            </w:tblGrid>
            <w:tr w14:paraId="43FC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74" w:type="pct"/>
                  <w:gridSpan w:val="2"/>
                  <w:tcBorders>
                    <w:tl2br w:val="nil"/>
                    <w:tr2bl w:val="nil"/>
                  </w:tcBorders>
                  <w:vAlign w:val="center"/>
                </w:tcPr>
                <w:p w14:paraId="0C4CA8F6">
                  <w:pPr>
                    <w:keepNext w:val="0"/>
                    <w:keepLines w:val="0"/>
                    <w:widowControl/>
                    <w:suppressLineNumbers w:val="0"/>
                    <w:spacing w:line="240" w:lineRule="auto"/>
                    <w:jc w:val="center"/>
                    <w:rPr>
                      <w:rFonts w:hint="eastAsia" w:eastAsia="宋体"/>
                      <w:b/>
                      <w:bCs/>
                      <w:sz w:val="21"/>
                      <w:szCs w:val="21"/>
                      <w:u w:val="single" w:color="auto"/>
                      <w:vertAlign w:val="baseline"/>
                      <w:lang w:val="en-US" w:eastAsia="zh-CN"/>
                    </w:rPr>
                  </w:pPr>
                  <w:r>
                    <w:rPr>
                      <w:rFonts w:hint="eastAsia"/>
                      <w:b/>
                      <w:bCs/>
                      <w:sz w:val="21"/>
                      <w:szCs w:val="21"/>
                      <w:u w:val="single" w:color="auto"/>
                      <w:vertAlign w:val="baseline"/>
                      <w:lang w:val="en-US" w:eastAsia="zh-CN"/>
                    </w:rPr>
                    <w:t>污染源</w:t>
                  </w:r>
                </w:p>
              </w:tc>
              <w:tc>
                <w:tcPr>
                  <w:tcW w:w="541" w:type="pct"/>
                  <w:tcBorders>
                    <w:tl2br w:val="nil"/>
                    <w:tr2bl w:val="nil"/>
                  </w:tcBorders>
                  <w:vAlign w:val="center"/>
                </w:tcPr>
                <w:p w14:paraId="067B661A">
                  <w:pPr>
                    <w:keepNext w:val="0"/>
                    <w:keepLines w:val="0"/>
                    <w:widowControl/>
                    <w:suppressLineNumbers w:val="0"/>
                    <w:spacing w:line="240" w:lineRule="auto"/>
                    <w:jc w:val="center"/>
                    <w:rPr>
                      <w:rFonts w:hint="default" w:eastAsia="宋体"/>
                      <w:b/>
                      <w:bCs/>
                      <w:sz w:val="21"/>
                      <w:szCs w:val="21"/>
                      <w:u w:val="single" w:color="auto"/>
                      <w:vertAlign w:val="baseline"/>
                      <w:lang w:val="en-US" w:eastAsia="zh-CN"/>
                    </w:rPr>
                  </w:pPr>
                  <w:r>
                    <w:rPr>
                      <w:rFonts w:hint="eastAsia"/>
                      <w:b/>
                      <w:bCs/>
                      <w:sz w:val="21"/>
                      <w:szCs w:val="21"/>
                      <w:u w:val="single" w:color="auto"/>
                      <w:vertAlign w:val="baseline"/>
                      <w:lang w:val="en-US" w:eastAsia="zh-CN"/>
                    </w:rPr>
                    <w:t>污染物项目</w:t>
                  </w:r>
                </w:p>
              </w:tc>
              <w:tc>
                <w:tcPr>
                  <w:tcW w:w="1256" w:type="pct"/>
                  <w:tcBorders>
                    <w:tl2br w:val="nil"/>
                    <w:tr2bl w:val="nil"/>
                  </w:tcBorders>
                  <w:vAlign w:val="center"/>
                </w:tcPr>
                <w:p w14:paraId="2654BF19">
                  <w:pPr>
                    <w:keepNext w:val="0"/>
                    <w:keepLines w:val="0"/>
                    <w:widowControl/>
                    <w:suppressLineNumbers w:val="0"/>
                    <w:spacing w:line="240" w:lineRule="auto"/>
                    <w:jc w:val="center"/>
                    <w:rPr>
                      <w:rFonts w:hint="default" w:eastAsia="宋体"/>
                      <w:b/>
                      <w:bCs/>
                      <w:sz w:val="21"/>
                      <w:szCs w:val="21"/>
                      <w:u w:val="single" w:color="auto"/>
                      <w:vertAlign w:val="baseline"/>
                      <w:lang w:val="en-US" w:eastAsia="zh-CN"/>
                    </w:rPr>
                  </w:pPr>
                  <w:r>
                    <w:rPr>
                      <w:rFonts w:hint="eastAsia"/>
                      <w:b/>
                      <w:bCs/>
                      <w:sz w:val="21"/>
                      <w:szCs w:val="21"/>
                      <w:u w:val="single" w:color="auto"/>
                      <w:vertAlign w:val="baseline"/>
                      <w:lang w:val="en-US" w:eastAsia="zh-CN"/>
                    </w:rPr>
                    <w:t>可行技术</w:t>
                  </w:r>
                </w:p>
              </w:tc>
              <w:tc>
                <w:tcPr>
                  <w:tcW w:w="1423" w:type="pct"/>
                  <w:tcBorders>
                    <w:tl2br w:val="nil"/>
                    <w:tr2bl w:val="nil"/>
                  </w:tcBorders>
                  <w:vAlign w:val="center"/>
                </w:tcPr>
                <w:p w14:paraId="40DC5A18">
                  <w:pPr>
                    <w:keepNext w:val="0"/>
                    <w:keepLines w:val="0"/>
                    <w:widowControl/>
                    <w:suppressLineNumbers w:val="0"/>
                    <w:spacing w:line="240" w:lineRule="auto"/>
                    <w:jc w:val="center"/>
                    <w:rPr>
                      <w:rFonts w:hint="default" w:eastAsia="宋体"/>
                      <w:b/>
                      <w:bCs/>
                      <w:sz w:val="21"/>
                      <w:szCs w:val="21"/>
                      <w:u w:val="single" w:color="auto"/>
                      <w:vertAlign w:val="baseline"/>
                      <w:lang w:val="en-US" w:eastAsia="zh-CN"/>
                    </w:rPr>
                  </w:pPr>
                  <w:r>
                    <w:rPr>
                      <w:rFonts w:hint="eastAsia"/>
                      <w:b/>
                      <w:bCs/>
                      <w:sz w:val="21"/>
                      <w:szCs w:val="21"/>
                      <w:u w:val="single" w:color="auto"/>
                      <w:vertAlign w:val="baseline"/>
                      <w:lang w:val="en-US" w:eastAsia="zh-CN"/>
                    </w:rPr>
                    <w:t>本项目处理措施</w:t>
                  </w:r>
                </w:p>
              </w:tc>
              <w:tc>
                <w:tcPr>
                  <w:tcW w:w="404" w:type="pct"/>
                  <w:tcBorders>
                    <w:tl2br w:val="nil"/>
                    <w:tr2bl w:val="nil"/>
                  </w:tcBorders>
                  <w:vAlign w:val="center"/>
                </w:tcPr>
                <w:p w14:paraId="754A7784">
                  <w:pPr>
                    <w:keepNext w:val="0"/>
                    <w:keepLines w:val="0"/>
                    <w:widowControl/>
                    <w:suppressLineNumbers w:val="0"/>
                    <w:spacing w:line="240" w:lineRule="auto"/>
                    <w:jc w:val="center"/>
                    <w:rPr>
                      <w:rFonts w:hint="default" w:eastAsia="宋体"/>
                      <w:b/>
                      <w:bCs/>
                      <w:sz w:val="21"/>
                      <w:szCs w:val="21"/>
                      <w:u w:val="single" w:color="auto"/>
                      <w:vertAlign w:val="baseline"/>
                      <w:lang w:val="en-US" w:eastAsia="zh-CN"/>
                    </w:rPr>
                  </w:pPr>
                  <w:r>
                    <w:rPr>
                      <w:rFonts w:hint="eastAsia"/>
                      <w:b/>
                      <w:bCs/>
                      <w:sz w:val="21"/>
                      <w:szCs w:val="21"/>
                      <w:u w:val="single" w:color="auto"/>
                      <w:vertAlign w:val="baseline"/>
                      <w:lang w:val="en-US" w:eastAsia="zh-CN"/>
                    </w:rPr>
                    <w:t>是否可行</w:t>
                  </w:r>
                </w:p>
              </w:tc>
            </w:tr>
            <w:tr w14:paraId="6D03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 w:type="pct"/>
                  <w:vMerge w:val="restart"/>
                  <w:tcBorders>
                    <w:tl2br w:val="nil"/>
                    <w:tr2bl w:val="nil"/>
                  </w:tcBorders>
                  <w:vAlign w:val="center"/>
                </w:tcPr>
                <w:p w14:paraId="7D8D30A8">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无组织排放源</w:t>
                  </w:r>
                </w:p>
              </w:tc>
              <w:tc>
                <w:tcPr>
                  <w:tcW w:w="873" w:type="pct"/>
                  <w:tcBorders>
                    <w:tl2br w:val="nil"/>
                    <w:tr2bl w:val="nil"/>
                  </w:tcBorders>
                  <w:vAlign w:val="center"/>
                </w:tcPr>
                <w:p w14:paraId="47EACAC5">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油气回收装置排气口</w:t>
                  </w:r>
                </w:p>
              </w:tc>
              <w:tc>
                <w:tcPr>
                  <w:tcW w:w="541" w:type="pct"/>
                  <w:vMerge w:val="restart"/>
                  <w:tcBorders>
                    <w:tl2br w:val="nil"/>
                    <w:tr2bl w:val="nil"/>
                  </w:tcBorders>
                  <w:vAlign w:val="center"/>
                </w:tcPr>
                <w:p w14:paraId="4C62EC49">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挥发性有机物</w:t>
                  </w:r>
                </w:p>
              </w:tc>
              <w:tc>
                <w:tcPr>
                  <w:tcW w:w="1256" w:type="pct"/>
                  <w:tcBorders>
                    <w:tl2br w:val="nil"/>
                    <w:tr2bl w:val="nil"/>
                  </w:tcBorders>
                  <w:vAlign w:val="center"/>
                </w:tcPr>
                <w:p w14:paraId="132A05A4">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吸附、冷凝、膜分离或组合技术</w:t>
                  </w:r>
                </w:p>
              </w:tc>
              <w:tc>
                <w:tcPr>
                  <w:tcW w:w="1423" w:type="pct"/>
                  <w:vMerge w:val="restart"/>
                  <w:tcBorders>
                    <w:tl2br w:val="nil"/>
                    <w:tr2bl w:val="nil"/>
                  </w:tcBorders>
                  <w:vAlign w:val="center"/>
                </w:tcPr>
                <w:p w14:paraId="2A46FF44">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二级油气回收系统和油气冷凝+活性炭吸附后处理系统（三次油气回收系统）</w:t>
                  </w:r>
                </w:p>
              </w:tc>
              <w:tc>
                <w:tcPr>
                  <w:tcW w:w="404" w:type="pct"/>
                  <w:vMerge w:val="restart"/>
                  <w:tcBorders>
                    <w:tl2br w:val="nil"/>
                    <w:tr2bl w:val="nil"/>
                  </w:tcBorders>
                  <w:vAlign w:val="center"/>
                </w:tcPr>
                <w:p w14:paraId="30273A07">
                  <w:pPr>
                    <w:keepNext w:val="0"/>
                    <w:keepLines w:val="0"/>
                    <w:widowControl/>
                    <w:suppressLineNumbers w:val="0"/>
                    <w:spacing w:line="240" w:lineRule="auto"/>
                    <w:jc w:val="center"/>
                    <w:rPr>
                      <w:rFonts w:hint="eastAsia" w:eastAsia="宋体"/>
                      <w:sz w:val="21"/>
                      <w:szCs w:val="21"/>
                      <w:u w:val="single" w:color="auto"/>
                      <w:vertAlign w:val="baseline"/>
                      <w:lang w:val="en-US" w:eastAsia="zh-CN"/>
                    </w:rPr>
                  </w:pPr>
                  <w:r>
                    <w:rPr>
                      <w:rFonts w:hint="eastAsia"/>
                      <w:sz w:val="21"/>
                      <w:szCs w:val="21"/>
                      <w:u w:val="single" w:color="auto"/>
                      <w:vertAlign w:val="baseline"/>
                      <w:lang w:val="en-US" w:eastAsia="zh-CN"/>
                    </w:rPr>
                    <w:t>是</w:t>
                  </w:r>
                </w:p>
              </w:tc>
            </w:tr>
            <w:tr w14:paraId="63F4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 w:type="pct"/>
                  <w:vMerge w:val="continue"/>
                  <w:tcBorders>
                    <w:tl2br w:val="nil"/>
                    <w:tr2bl w:val="nil"/>
                  </w:tcBorders>
                  <w:vAlign w:val="center"/>
                </w:tcPr>
                <w:p w14:paraId="6903FDF4">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p>
              </w:tc>
              <w:tc>
                <w:tcPr>
                  <w:tcW w:w="873" w:type="pct"/>
                  <w:tcBorders>
                    <w:tl2br w:val="nil"/>
                    <w:tr2bl w:val="nil"/>
                  </w:tcBorders>
                  <w:vAlign w:val="center"/>
                </w:tcPr>
                <w:p w14:paraId="27B7898B">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汽油油罐挥发</w:t>
                  </w:r>
                </w:p>
              </w:tc>
              <w:tc>
                <w:tcPr>
                  <w:tcW w:w="541" w:type="pct"/>
                  <w:vMerge w:val="continue"/>
                  <w:tcBorders>
                    <w:tl2br w:val="nil"/>
                    <w:tr2bl w:val="nil"/>
                  </w:tcBorders>
                  <w:vAlign w:val="center"/>
                </w:tcPr>
                <w:p w14:paraId="20B6103F">
                  <w:pPr>
                    <w:keepNext w:val="0"/>
                    <w:keepLines w:val="0"/>
                    <w:widowControl/>
                    <w:suppressLineNumbers w:val="0"/>
                    <w:spacing w:line="240" w:lineRule="auto"/>
                    <w:jc w:val="center"/>
                    <w:rPr>
                      <w:sz w:val="21"/>
                      <w:szCs w:val="21"/>
                      <w:u w:val="single" w:color="auto"/>
                      <w:vertAlign w:val="baseline"/>
                    </w:rPr>
                  </w:pPr>
                </w:p>
              </w:tc>
              <w:tc>
                <w:tcPr>
                  <w:tcW w:w="1256" w:type="pct"/>
                  <w:tcBorders>
                    <w:tl2br w:val="nil"/>
                    <w:tr2bl w:val="nil"/>
                  </w:tcBorders>
                  <w:vAlign w:val="center"/>
                </w:tcPr>
                <w:p w14:paraId="41E8B81D">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油气平衡</w:t>
                  </w:r>
                </w:p>
              </w:tc>
              <w:tc>
                <w:tcPr>
                  <w:tcW w:w="1423" w:type="pct"/>
                  <w:vMerge w:val="continue"/>
                  <w:tcBorders>
                    <w:tl2br w:val="nil"/>
                    <w:tr2bl w:val="nil"/>
                  </w:tcBorders>
                  <w:vAlign w:val="center"/>
                </w:tcPr>
                <w:p w14:paraId="2CCE59C7">
                  <w:pPr>
                    <w:keepNext w:val="0"/>
                    <w:keepLines w:val="0"/>
                    <w:widowControl/>
                    <w:suppressLineNumbers w:val="0"/>
                    <w:spacing w:line="240" w:lineRule="auto"/>
                    <w:jc w:val="center"/>
                    <w:rPr>
                      <w:sz w:val="21"/>
                      <w:szCs w:val="21"/>
                      <w:u w:val="single" w:color="auto"/>
                      <w:vertAlign w:val="baseline"/>
                    </w:rPr>
                  </w:pPr>
                </w:p>
              </w:tc>
              <w:tc>
                <w:tcPr>
                  <w:tcW w:w="404" w:type="pct"/>
                  <w:vMerge w:val="continue"/>
                  <w:tcBorders>
                    <w:tl2br w:val="nil"/>
                    <w:tr2bl w:val="nil"/>
                  </w:tcBorders>
                  <w:vAlign w:val="center"/>
                </w:tcPr>
                <w:p w14:paraId="29FCE53D">
                  <w:pPr>
                    <w:keepNext w:val="0"/>
                    <w:keepLines w:val="0"/>
                    <w:widowControl/>
                    <w:suppressLineNumbers w:val="0"/>
                    <w:spacing w:line="240" w:lineRule="auto"/>
                    <w:jc w:val="center"/>
                    <w:rPr>
                      <w:sz w:val="21"/>
                      <w:szCs w:val="21"/>
                      <w:u w:val="single" w:color="auto"/>
                      <w:vertAlign w:val="baseline"/>
                    </w:rPr>
                  </w:pPr>
                </w:p>
              </w:tc>
            </w:tr>
            <w:tr w14:paraId="328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 w:type="pct"/>
                  <w:vMerge w:val="continue"/>
                  <w:tcBorders>
                    <w:tl2br w:val="nil"/>
                    <w:tr2bl w:val="nil"/>
                  </w:tcBorders>
                  <w:vAlign w:val="center"/>
                </w:tcPr>
                <w:p w14:paraId="36EBF33C">
                  <w:pPr>
                    <w:keepNext w:val="0"/>
                    <w:keepLines w:val="0"/>
                    <w:widowControl/>
                    <w:suppressLineNumbers w:val="0"/>
                    <w:spacing w:line="240" w:lineRule="auto"/>
                    <w:jc w:val="center"/>
                    <w:rPr>
                      <w:sz w:val="21"/>
                      <w:szCs w:val="21"/>
                      <w:u w:val="single" w:color="auto"/>
                      <w:vertAlign w:val="baseline"/>
                    </w:rPr>
                  </w:pPr>
                </w:p>
              </w:tc>
              <w:tc>
                <w:tcPr>
                  <w:tcW w:w="873" w:type="pct"/>
                  <w:tcBorders>
                    <w:tl2br w:val="nil"/>
                    <w:tr2bl w:val="nil"/>
                  </w:tcBorders>
                  <w:vAlign w:val="center"/>
                </w:tcPr>
                <w:p w14:paraId="25880995">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汽油加油枪挥发</w:t>
                  </w:r>
                </w:p>
              </w:tc>
              <w:tc>
                <w:tcPr>
                  <w:tcW w:w="541" w:type="pct"/>
                  <w:vMerge w:val="continue"/>
                  <w:tcBorders>
                    <w:tl2br w:val="nil"/>
                    <w:tr2bl w:val="nil"/>
                  </w:tcBorders>
                  <w:vAlign w:val="center"/>
                </w:tcPr>
                <w:p w14:paraId="015A6668">
                  <w:pPr>
                    <w:keepNext w:val="0"/>
                    <w:keepLines w:val="0"/>
                    <w:widowControl/>
                    <w:suppressLineNumbers w:val="0"/>
                    <w:spacing w:line="240" w:lineRule="auto"/>
                    <w:jc w:val="center"/>
                    <w:rPr>
                      <w:sz w:val="21"/>
                      <w:szCs w:val="21"/>
                      <w:u w:val="single" w:color="auto"/>
                      <w:vertAlign w:val="baseline"/>
                    </w:rPr>
                  </w:pPr>
                </w:p>
              </w:tc>
              <w:tc>
                <w:tcPr>
                  <w:tcW w:w="1256" w:type="pct"/>
                  <w:tcBorders>
                    <w:tl2br w:val="nil"/>
                    <w:tr2bl w:val="nil"/>
                  </w:tcBorders>
                  <w:vAlign w:val="center"/>
                </w:tcPr>
                <w:p w14:paraId="6C1F7D95">
                  <w:pPr>
                    <w:keepNext w:val="0"/>
                    <w:keepLines w:val="0"/>
                    <w:widowControl/>
                    <w:suppressLineNumbers w:val="0"/>
                    <w:spacing w:line="240" w:lineRule="auto"/>
                    <w:jc w:val="center"/>
                    <w:rPr>
                      <w:rFonts w:hint="default" w:eastAsia="宋体"/>
                      <w:sz w:val="21"/>
                      <w:szCs w:val="21"/>
                      <w:u w:val="single" w:color="auto"/>
                      <w:vertAlign w:val="baseline"/>
                      <w:lang w:val="en-US" w:eastAsia="zh-CN"/>
                    </w:rPr>
                  </w:pPr>
                  <w:r>
                    <w:rPr>
                      <w:rFonts w:hint="eastAsia"/>
                      <w:sz w:val="21"/>
                      <w:szCs w:val="21"/>
                      <w:u w:val="single" w:color="auto"/>
                      <w:vertAlign w:val="baseline"/>
                      <w:lang w:val="en-US" w:eastAsia="zh-CN"/>
                    </w:rPr>
                    <w:t>油气回收</w:t>
                  </w:r>
                </w:p>
              </w:tc>
              <w:tc>
                <w:tcPr>
                  <w:tcW w:w="1423" w:type="pct"/>
                  <w:vMerge w:val="continue"/>
                  <w:tcBorders>
                    <w:tl2br w:val="nil"/>
                    <w:tr2bl w:val="nil"/>
                  </w:tcBorders>
                  <w:vAlign w:val="center"/>
                </w:tcPr>
                <w:p w14:paraId="0E911BA7">
                  <w:pPr>
                    <w:keepNext w:val="0"/>
                    <w:keepLines w:val="0"/>
                    <w:widowControl/>
                    <w:suppressLineNumbers w:val="0"/>
                    <w:spacing w:line="240" w:lineRule="auto"/>
                    <w:jc w:val="center"/>
                    <w:rPr>
                      <w:sz w:val="21"/>
                      <w:szCs w:val="21"/>
                      <w:u w:val="single" w:color="auto"/>
                      <w:vertAlign w:val="baseline"/>
                    </w:rPr>
                  </w:pPr>
                </w:p>
              </w:tc>
              <w:tc>
                <w:tcPr>
                  <w:tcW w:w="404" w:type="pct"/>
                  <w:vMerge w:val="continue"/>
                  <w:tcBorders>
                    <w:tl2br w:val="nil"/>
                    <w:tr2bl w:val="nil"/>
                  </w:tcBorders>
                  <w:vAlign w:val="center"/>
                </w:tcPr>
                <w:p w14:paraId="13707413">
                  <w:pPr>
                    <w:keepNext w:val="0"/>
                    <w:keepLines w:val="0"/>
                    <w:widowControl/>
                    <w:suppressLineNumbers w:val="0"/>
                    <w:spacing w:line="240" w:lineRule="auto"/>
                    <w:jc w:val="center"/>
                    <w:rPr>
                      <w:sz w:val="21"/>
                      <w:szCs w:val="21"/>
                      <w:u w:val="single" w:color="auto"/>
                      <w:vertAlign w:val="baseline"/>
                    </w:rPr>
                  </w:pPr>
                </w:p>
              </w:tc>
            </w:tr>
          </w:tbl>
          <w:p w14:paraId="4A6C229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lang w:val="en-US" w:eastAsia="zh-CN"/>
              </w:rPr>
              <w:t>②</w:t>
            </w:r>
            <w:r>
              <w:rPr>
                <w:rFonts w:hint="default" w:ascii="Times New Roman" w:hAnsi="Times New Roman" w:eastAsia="宋体" w:cs="Times New Roman"/>
                <w:color w:val="auto"/>
                <w:sz w:val="24"/>
                <w:szCs w:val="24"/>
                <w:highlight w:val="none"/>
                <w:u w:val="none"/>
              </w:rPr>
              <w:t>备用发电机废气</w:t>
            </w:r>
          </w:p>
          <w:p w14:paraId="48920B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rPr>
              <w:t>由于备用发电机仅作为备用电源，工作时间短，无长时间影响问题</w:t>
            </w:r>
            <w:r>
              <w:rPr>
                <w:rFonts w:hint="default" w:ascii="Times New Roman" w:hAnsi="Times New Roman" w:eastAsia="宋体" w:cs="Times New Roman"/>
                <w:color w:val="auto"/>
                <w:sz w:val="24"/>
                <w:szCs w:val="24"/>
                <w:highlight w:val="none"/>
                <w:u w:val="none"/>
                <w:lang w:eastAsia="zh-CN"/>
              </w:rPr>
              <w:t>。</w:t>
            </w:r>
          </w:p>
          <w:p w14:paraId="754AB90D">
            <w:pPr>
              <w:spacing w:line="360" w:lineRule="auto"/>
              <w:ind w:firstLine="480" w:firstLineChars="200"/>
              <w:jc w:val="left"/>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③汽车尾气</w:t>
            </w:r>
          </w:p>
          <w:p w14:paraId="7370FC56">
            <w:pPr>
              <w:spacing w:line="360" w:lineRule="auto"/>
              <w:ind w:firstLine="480" w:firstLineChars="200"/>
              <w:rPr>
                <w:rFonts w:hint="default" w:ascii="Times New Roman" w:hAnsi="Times New Roman" w:eastAsia="宋体" w:cs="Times New Roman"/>
                <w:sz w:val="24"/>
                <w:szCs w:val="24"/>
                <w:lang w:val="en-GB"/>
              </w:rPr>
            </w:pPr>
            <w:r>
              <w:rPr>
                <w:rFonts w:hint="default" w:ascii="Times New Roman" w:hAnsi="Times New Roman" w:eastAsia="宋体" w:cs="Times New Roman"/>
                <w:sz w:val="24"/>
                <w:szCs w:val="24"/>
              </w:rPr>
              <w:t>本项目站内行驶路径短、停留时间短，汽车废气排放局限于加油站道路，为非连续性的污染源，排放量小，且加油站地势开阔，易于扩散，对周围环境不会造成明显影响</w:t>
            </w:r>
            <w:r>
              <w:rPr>
                <w:rFonts w:hint="default" w:ascii="Times New Roman" w:hAnsi="Times New Roman" w:eastAsia="宋体" w:cs="Times New Roman"/>
                <w:sz w:val="24"/>
                <w:szCs w:val="24"/>
                <w:lang w:val="en-GB"/>
              </w:rPr>
              <w:t>。</w:t>
            </w:r>
          </w:p>
          <w:p w14:paraId="1F2B190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综上所述，本项目产生的废气经过相应的措施处理后能够达到相应的排放标准达标排放，对周围大气环境影响较小。</w:t>
            </w:r>
          </w:p>
          <w:p w14:paraId="3C6BFDFC">
            <w:pPr>
              <w:pStyle w:val="350"/>
              <w:keepNext w:val="0"/>
              <w:keepLines w:val="0"/>
              <w:pageBreakBefore w:val="0"/>
              <w:widowControl w:val="0"/>
              <w:suppressLineNumbers w:val="0"/>
              <w:kinsoku/>
              <w:wordWrap/>
              <w:overflowPunct/>
              <w:topLinePunct w:val="0"/>
              <w:bidi w:val="0"/>
              <w:spacing w:before="0" w:beforeAutospacing="0" w:after="0" w:afterAutospacing="0"/>
              <w:ind w:left="0" w:leftChars="0" w:right="0" w:firstLine="0" w:firstLineChars="0"/>
              <w:textAlignment w:val="auto"/>
              <w:rPr>
                <w:rFonts w:hint="default" w:ascii="Times New Roman" w:hAnsi="Times New Roman" w:eastAsia="宋体" w:cs="Times New Roman"/>
                <w:b/>
                <w:bCs/>
                <w:color w:val="auto"/>
                <w:sz w:val="24"/>
                <w:szCs w:val="24"/>
                <w:highlight w:val="none"/>
                <w:u w:val="none" w:color="auto"/>
                <w:lang w:eastAsia="zh-CN"/>
              </w:rPr>
            </w:pPr>
            <w:r>
              <w:rPr>
                <w:rFonts w:hint="eastAsia" w:ascii="Times New Roman" w:hAnsi="Times New Roman" w:eastAsia="宋体" w:cs="Times New Roman"/>
                <w:b/>
                <w:bCs/>
                <w:kern w:val="2"/>
                <w:sz w:val="24"/>
                <w:szCs w:val="24"/>
                <w:lang w:val="en-US" w:eastAsia="zh-CN" w:bidi="ar-SA"/>
              </w:rPr>
              <w:t xml:space="preserve">4.5.3 </w:t>
            </w:r>
            <w:r>
              <w:rPr>
                <w:rFonts w:hint="default" w:ascii="Times New Roman" w:hAnsi="Times New Roman" w:eastAsia="宋体" w:cs="Times New Roman"/>
                <w:b/>
                <w:bCs/>
                <w:color w:val="auto"/>
                <w:sz w:val="24"/>
                <w:szCs w:val="24"/>
                <w:highlight w:val="none"/>
                <w:u w:val="none" w:color="auto"/>
                <w:lang w:eastAsia="zh-CN"/>
              </w:rPr>
              <w:t>废气自行监测计划</w:t>
            </w:r>
          </w:p>
          <w:p w14:paraId="71511302">
            <w:pPr>
              <w:pStyle w:val="350"/>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根据《排污单位自行监测技术指南 总则》（HJ819-2017）</w:t>
            </w:r>
            <w:r>
              <w:rPr>
                <w:rFonts w:hint="default" w:ascii="Times New Roman" w:hAnsi="Times New Roman" w:eastAsia="宋体" w:cs="Times New Roman"/>
                <w:color w:val="auto"/>
                <w:sz w:val="24"/>
                <w:szCs w:val="24"/>
                <w:highlight w:val="none"/>
                <w:u w:val="none" w:color="auto"/>
                <w:lang w:val="en-US" w:eastAsia="zh-CN"/>
              </w:rPr>
              <w:t>和</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排污单位自行监测技术指南</w:t>
            </w:r>
            <w:r>
              <w:rPr>
                <w:rFonts w:hint="default" w:ascii="Times New Roman" w:hAnsi="Times New Roman" w:eastAsia="宋体" w:cs="Times New Roman"/>
                <w:color w:val="auto"/>
                <w:sz w:val="24"/>
                <w:szCs w:val="24"/>
                <w:highlight w:val="none"/>
                <w:u w:val="none" w:color="auto"/>
              </w:rPr>
              <w:t>储油库、加油站》（</w:t>
            </w:r>
            <w:r>
              <w:rPr>
                <w:rFonts w:hint="default" w:ascii="Times New Roman" w:hAnsi="Times New Roman" w:eastAsia="宋体" w:cs="Times New Roman"/>
                <w:color w:val="auto"/>
                <w:sz w:val="24"/>
                <w:szCs w:val="24"/>
                <w:highlight w:val="none"/>
                <w:u w:val="none" w:color="auto"/>
                <w:lang w:val="en-US" w:eastAsia="zh-CN"/>
              </w:rPr>
              <w:t>HJ1249-2022</w:t>
            </w:r>
            <w:r>
              <w:rPr>
                <w:rFonts w:hint="default" w:ascii="Times New Roman" w:hAnsi="Times New Roman" w:eastAsia="宋体" w:cs="Times New Roman"/>
                <w:color w:val="auto"/>
                <w:sz w:val="24"/>
                <w:szCs w:val="24"/>
                <w:highlight w:val="none"/>
                <w:u w:val="none" w:color="auto"/>
              </w:rPr>
              <w:t>）中的要求，结合项目实际情况本项目废气监测计划详见表4-</w:t>
            </w:r>
            <w:r>
              <w:rPr>
                <w:rFonts w:hint="eastAsia"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rPr>
              <w:t>。</w:t>
            </w:r>
          </w:p>
          <w:p w14:paraId="5E43581C">
            <w:pPr>
              <w:pStyle w:val="289"/>
              <w:keepNext w:val="0"/>
              <w:keepLines w:val="0"/>
              <w:pageBreakBefore w:val="0"/>
              <w:widowControl w:val="0"/>
              <w:suppressLineNumbers w:val="0"/>
              <w:kinsoku/>
              <w:wordWrap/>
              <w:overflowPunct/>
              <w:topLinePunct w:val="0"/>
              <w:bidi w:val="0"/>
              <w:spacing w:before="0" w:beforeAutospacing="0" w:after="0" w:afterAutospacing="0"/>
              <w:ind w:left="0" w:right="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表4-</w:t>
            </w:r>
            <w:r>
              <w:rPr>
                <w:rFonts w:hint="eastAsia"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lang w:val="en-US" w:eastAsia="zh-CN"/>
              </w:rPr>
              <w:t xml:space="preserve"> </w:t>
            </w:r>
            <w:r>
              <w:rPr>
                <w:rFonts w:hint="default" w:ascii="Times New Roman" w:hAnsi="Times New Roman" w:eastAsia="宋体" w:cs="Times New Roman"/>
                <w:color w:val="auto"/>
                <w:sz w:val="24"/>
                <w:szCs w:val="24"/>
                <w:highlight w:val="none"/>
                <w:u w:val="none" w:color="auto"/>
              </w:rPr>
              <w:t>本项目废气监测计划表</w:t>
            </w:r>
          </w:p>
          <w:tbl>
            <w:tblPr>
              <w:tblStyle w:val="51"/>
              <w:tblW w:w="5000"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180"/>
              <w:gridCol w:w="1575"/>
              <w:gridCol w:w="755"/>
              <w:gridCol w:w="3347"/>
            </w:tblGrid>
            <w:tr w14:paraId="3041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tcBorders>
                    <w:tl2br w:val="nil"/>
                    <w:tr2bl w:val="nil"/>
                  </w:tcBorders>
                  <w:noWrap w:val="0"/>
                  <w:vAlign w:val="center"/>
                </w:tcPr>
                <w:p w14:paraId="7680EAC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监测内容</w:t>
                  </w:r>
                </w:p>
              </w:tc>
              <w:tc>
                <w:tcPr>
                  <w:tcW w:w="2180" w:type="dxa"/>
                  <w:tcBorders>
                    <w:tl2br w:val="nil"/>
                    <w:tr2bl w:val="nil"/>
                  </w:tcBorders>
                  <w:noWrap w:val="0"/>
                  <w:vAlign w:val="center"/>
                </w:tcPr>
                <w:p w14:paraId="54E0B0C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监测点位</w:t>
                  </w:r>
                </w:p>
              </w:tc>
              <w:tc>
                <w:tcPr>
                  <w:tcW w:w="1575" w:type="dxa"/>
                  <w:tcBorders>
                    <w:tl2br w:val="nil"/>
                    <w:tr2bl w:val="nil"/>
                  </w:tcBorders>
                  <w:noWrap w:val="0"/>
                  <w:vAlign w:val="center"/>
                </w:tcPr>
                <w:p w14:paraId="07D29E65">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监测指标</w:t>
                  </w:r>
                </w:p>
              </w:tc>
              <w:tc>
                <w:tcPr>
                  <w:tcW w:w="755" w:type="dxa"/>
                  <w:tcBorders>
                    <w:tl2br w:val="nil"/>
                    <w:tr2bl w:val="nil"/>
                  </w:tcBorders>
                  <w:noWrap w:val="0"/>
                  <w:vAlign w:val="center"/>
                </w:tcPr>
                <w:p w14:paraId="46E9D03C">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监测频率</w:t>
                  </w:r>
                </w:p>
              </w:tc>
              <w:tc>
                <w:tcPr>
                  <w:tcW w:w="3347" w:type="dxa"/>
                  <w:tcBorders>
                    <w:tl2br w:val="nil"/>
                    <w:tr2bl w:val="nil"/>
                  </w:tcBorders>
                  <w:noWrap w:val="0"/>
                  <w:vAlign w:val="center"/>
                </w:tcPr>
                <w:p w14:paraId="684E496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b/>
                      <w:bCs/>
                      <w:color w:val="auto"/>
                      <w:sz w:val="21"/>
                      <w:szCs w:val="21"/>
                      <w:highlight w:val="none"/>
                      <w:lang w:val="en-US" w:eastAsia="zh-CN"/>
                    </w:rPr>
                  </w:pPr>
                  <w:r>
                    <w:rPr>
                      <w:rFonts w:hint="default" w:cs="Times New Roman"/>
                      <w:b/>
                      <w:bCs/>
                      <w:color w:val="auto"/>
                      <w:sz w:val="21"/>
                      <w:szCs w:val="21"/>
                      <w:highlight w:val="none"/>
                      <w:lang w:val="en-US" w:eastAsia="zh-CN"/>
                    </w:rPr>
                    <w:t>执行标准</w:t>
                  </w:r>
                </w:p>
              </w:tc>
            </w:tr>
            <w:tr w14:paraId="259B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vMerge w:val="restart"/>
                  <w:tcBorders>
                    <w:tl2br w:val="nil"/>
                    <w:tr2bl w:val="nil"/>
                  </w:tcBorders>
                  <w:noWrap w:val="0"/>
                  <w:vAlign w:val="center"/>
                </w:tcPr>
                <w:p w14:paraId="57F8A1E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无组织废气</w:t>
                  </w:r>
                </w:p>
              </w:tc>
              <w:tc>
                <w:tcPr>
                  <w:tcW w:w="2180" w:type="dxa"/>
                  <w:tcBorders>
                    <w:tl2br w:val="nil"/>
                    <w:tr2bl w:val="nil"/>
                  </w:tcBorders>
                  <w:noWrap w:val="0"/>
                  <w:vAlign w:val="center"/>
                </w:tcPr>
                <w:p w14:paraId="30E5E9C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油气回收处理装置排气口</w:t>
                  </w:r>
                </w:p>
              </w:tc>
              <w:tc>
                <w:tcPr>
                  <w:tcW w:w="1575" w:type="dxa"/>
                  <w:tcBorders>
                    <w:tl2br w:val="nil"/>
                    <w:tr2bl w:val="nil"/>
                  </w:tcBorders>
                  <w:noWrap w:val="0"/>
                  <w:vAlign w:val="center"/>
                </w:tcPr>
                <w:p w14:paraId="660D974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NMHC</w:t>
                  </w:r>
                </w:p>
              </w:tc>
              <w:tc>
                <w:tcPr>
                  <w:tcW w:w="755" w:type="dxa"/>
                  <w:vMerge w:val="restart"/>
                  <w:tcBorders>
                    <w:tl2br w:val="nil"/>
                    <w:tr2bl w:val="nil"/>
                  </w:tcBorders>
                  <w:noWrap w:val="0"/>
                  <w:vAlign w:val="center"/>
                </w:tcPr>
                <w:p w14:paraId="7425F64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1次/年</w:t>
                  </w:r>
                </w:p>
              </w:tc>
              <w:tc>
                <w:tcPr>
                  <w:tcW w:w="3347" w:type="dxa"/>
                  <w:tcBorders>
                    <w:tl2br w:val="nil"/>
                    <w:tr2bl w:val="nil"/>
                  </w:tcBorders>
                  <w:noWrap w:val="0"/>
                  <w:vAlign w:val="center"/>
                </w:tcPr>
                <w:p w14:paraId="403F1696">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《加油站大气污染物排放标准》（GB20952-2020），25g/m</w:t>
                  </w:r>
                  <w:r>
                    <w:rPr>
                      <w:rFonts w:hint="default" w:cs="Times New Roman"/>
                      <w:color w:val="auto"/>
                      <w:sz w:val="21"/>
                      <w:szCs w:val="21"/>
                      <w:highlight w:val="none"/>
                      <w:vertAlign w:val="superscript"/>
                      <w:lang w:val="en-US" w:eastAsia="zh-CN"/>
                    </w:rPr>
                    <w:t>3</w:t>
                  </w:r>
                </w:p>
              </w:tc>
            </w:tr>
            <w:tr w14:paraId="2F4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vMerge w:val="continue"/>
                  <w:tcBorders>
                    <w:tl2br w:val="nil"/>
                    <w:tr2bl w:val="nil"/>
                  </w:tcBorders>
                  <w:noWrap w:val="0"/>
                  <w:vAlign w:val="center"/>
                </w:tcPr>
                <w:p w14:paraId="0161F0A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2180" w:type="dxa"/>
                  <w:tcBorders>
                    <w:tl2br w:val="nil"/>
                    <w:tr2bl w:val="nil"/>
                  </w:tcBorders>
                  <w:noWrap w:val="0"/>
                  <w:vAlign w:val="center"/>
                </w:tcPr>
                <w:p w14:paraId="596F403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加油枪喷管</w:t>
                  </w:r>
                </w:p>
              </w:tc>
              <w:tc>
                <w:tcPr>
                  <w:tcW w:w="1575" w:type="dxa"/>
                  <w:tcBorders>
                    <w:tl2br w:val="nil"/>
                    <w:tr2bl w:val="nil"/>
                  </w:tcBorders>
                  <w:noWrap w:val="0"/>
                  <w:vAlign w:val="center"/>
                </w:tcPr>
                <w:p w14:paraId="0E47142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气液比</w:t>
                  </w:r>
                </w:p>
              </w:tc>
              <w:tc>
                <w:tcPr>
                  <w:tcW w:w="755" w:type="dxa"/>
                  <w:vMerge w:val="continue"/>
                  <w:tcBorders>
                    <w:tl2br w:val="nil"/>
                    <w:tr2bl w:val="nil"/>
                  </w:tcBorders>
                  <w:noWrap w:val="0"/>
                  <w:vAlign w:val="center"/>
                </w:tcPr>
                <w:p w14:paraId="72A6D84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3347" w:type="dxa"/>
                  <w:tcBorders>
                    <w:tl2br w:val="nil"/>
                    <w:tr2bl w:val="nil"/>
                  </w:tcBorders>
                  <w:noWrap w:val="0"/>
                  <w:vAlign w:val="center"/>
                </w:tcPr>
                <w:p w14:paraId="0DECA992">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w:t>
                  </w:r>
                </w:p>
              </w:tc>
            </w:tr>
            <w:tr w14:paraId="5A8C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vMerge w:val="continue"/>
                  <w:tcBorders>
                    <w:tl2br w:val="nil"/>
                    <w:tr2bl w:val="nil"/>
                  </w:tcBorders>
                  <w:noWrap w:val="0"/>
                  <w:vAlign w:val="center"/>
                </w:tcPr>
                <w:p w14:paraId="77F49DD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2180" w:type="dxa"/>
                  <w:tcBorders>
                    <w:tl2br w:val="nil"/>
                    <w:tr2bl w:val="nil"/>
                  </w:tcBorders>
                  <w:noWrap w:val="0"/>
                  <w:vAlign w:val="center"/>
                </w:tcPr>
                <w:p w14:paraId="0AC1A18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加油油气回收立管</w:t>
                  </w:r>
                </w:p>
              </w:tc>
              <w:tc>
                <w:tcPr>
                  <w:tcW w:w="1575" w:type="dxa"/>
                  <w:tcBorders>
                    <w:tl2br w:val="nil"/>
                    <w:tr2bl w:val="nil"/>
                  </w:tcBorders>
                  <w:noWrap w:val="0"/>
                  <w:vAlign w:val="center"/>
                </w:tcPr>
                <w:p w14:paraId="05730DB4">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液阻、密闭性</w:t>
                  </w:r>
                </w:p>
              </w:tc>
              <w:tc>
                <w:tcPr>
                  <w:tcW w:w="755" w:type="dxa"/>
                  <w:vMerge w:val="continue"/>
                  <w:tcBorders>
                    <w:tl2br w:val="nil"/>
                    <w:tr2bl w:val="nil"/>
                  </w:tcBorders>
                  <w:noWrap w:val="0"/>
                  <w:vAlign w:val="center"/>
                </w:tcPr>
                <w:p w14:paraId="6A043439">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3347" w:type="dxa"/>
                  <w:tcBorders>
                    <w:tl2br w:val="nil"/>
                    <w:tr2bl w:val="nil"/>
                  </w:tcBorders>
                  <w:noWrap w:val="0"/>
                  <w:vAlign w:val="center"/>
                </w:tcPr>
                <w:p w14:paraId="35DBB6AD">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w:t>
                  </w:r>
                </w:p>
              </w:tc>
            </w:tr>
            <w:tr w14:paraId="7C16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vMerge w:val="continue"/>
                  <w:tcBorders>
                    <w:tl2br w:val="nil"/>
                    <w:tr2bl w:val="nil"/>
                  </w:tcBorders>
                  <w:noWrap w:val="0"/>
                  <w:vAlign w:val="center"/>
                </w:tcPr>
                <w:p w14:paraId="41F3731E">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2180" w:type="dxa"/>
                  <w:tcBorders>
                    <w:tl2br w:val="nil"/>
                    <w:tr2bl w:val="nil"/>
                  </w:tcBorders>
                  <w:noWrap w:val="0"/>
                  <w:vAlign w:val="center"/>
                </w:tcPr>
                <w:p w14:paraId="2593EE6F">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油气回收系统密闭点</w:t>
                  </w:r>
                </w:p>
              </w:tc>
              <w:tc>
                <w:tcPr>
                  <w:tcW w:w="1575" w:type="dxa"/>
                  <w:tcBorders>
                    <w:tl2br w:val="nil"/>
                    <w:tr2bl w:val="nil"/>
                  </w:tcBorders>
                  <w:noWrap w:val="0"/>
                  <w:vAlign w:val="center"/>
                </w:tcPr>
                <w:p w14:paraId="619D5481">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泄漏检测值</w:t>
                  </w:r>
                </w:p>
              </w:tc>
              <w:tc>
                <w:tcPr>
                  <w:tcW w:w="755" w:type="dxa"/>
                  <w:vMerge w:val="continue"/>
                  <w:tcBorders>
                    <w:tl2br w:val="nil"/>
                    <w:tr2bl w:val="nil"/>
                  </w:tcBorders>
                  <w:noWrap w:val="0"/>
                  <w:vAlign w:val="center"/>
                </w:tcPr>
                <w:p w14:paraId="1C88170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3347" w:type="dxa"/>
                  <w:tcBorders>
                    <w:tl2br w:val="nil"/>
                    <w:tr2bl w:val="nil"/>
                  </w:tcBorders>
                  <w:noWrap w:val="0"/>
                  <w:vAlign w:val="center"/>
                </w:tcPr>
                <w:p w14:paraId="163DD35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《加油站大气污染物排放标准》（GB20952-2020），泄漏检测值500μmol/mol</w:t>
                  </w:r>
                </w:p>
              </w:tc>
            </w:tr>
            <w:tr w14:paraId="4061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8" w:type="dxa"/>
                  <w:vMerge w:val="continue"/>
                  <w:tcBorders>
                    <w:tl2br w:val="nil"/>
                    <w:tr2bl w:val="nil"/>
                  </w:tcBorders>
                  <w:noWrap w:val="0"/>
                  <w:vAlign w:val="center"/>
                </w:tcPr>
                <w:p w14:paraId="79AB214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2180" w:type="dxa"/>
                  <w:tcBorders>
                    <w:tl2br w:val="nil"/>
                    <w:tr2bl w:val="nil"/>
                  </w:tcBorders>
                  <w:noWrap w:val="0"/>
                  <w:vAlign w:val="center"/>
                </w:tcPr>
                <w:p w14:paraId="04AD002A">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企业边界</w:t>
                  </w:r>
                </w:p>
              </w:tc>
              <w:tc>
                <w:tcPr>
                  <w:tcW w:w="1575" w:type="dxa"/>
                  <w:tcBorders>
                    <w:tl2br w:val="nil"/>
                    <w:tr2bl w:val="nil"/>
                  </w:tcBorders>
                  <w:noWrap w:val="0"/>
                  <w:vAlign w:val="center"/>
                </w:tcPr>
                <w:p w14:paraId="3DBD4420">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挥发性有机物</w:t>
                  </w:r>
                </w:p>
              </w:tc>
              <w:tc>
                <w:tcPr>
                  <w:tcW w:w="755" w:type="dxa"/>
                  <w:vMerge w:val="continue"/>
                  <w:tcBorders>
                    <w:tl2br w:val="nil"/>
                    <w:tr2bl w:val="nil"/>
                  </w:tcBorders>
                  <w:noWrap w:val="0"/>
                  <w:vAlign w:val="center"/>
                </w:tcPr>
                <w:p w14:paraId="458EEE47">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p>
              </w:tc>
              <w:tc>
                <w:tcPr>
                  <w:tcW w:w="3347" w:type="dxa"/>
                  <w:tcBorders>
                    <w:tl2br w:val="nil"/>
                    <w:tr2bl w:val="nil"/>
                  </w:tcBorders>
                  <w:noWrap w:val="0"/>
                  <w:vAlign w:val="center"/>
                </w:tcPr>
                <w:p w14:paraId="70310688">
                  <w:pPr>
                    <w:pStyle w:val="10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《加油站大气污染物排放标准》（GB20952-2020）表3中的排放限值（4.0mg/m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lang w:val="en-US" w:eastAsia="zh-CN"/>
                    </w:rPr>
                    <w:t>）</w:t>
                  </w:r>
                </w:p>
              </w:tc>
            </w:tr>
          </w:tbl>
          <w:p w14:paraId="59F6378B">
            <w:pPr>
              <w:pStyle w:val="1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b/>
              </w:rPr>
            </w:pPr>
            <w:r>
              <w:rPr>
                <w:rFonts w:hint="eastAsia" w:ascii="Times New Roman" w:hAnsi="Times New Roman" w:eastAsia="宋体" w:cs="Times New Roman"/>
                <w:b/>
                <w:bCs/>
                <w:kern w:val="2"/>
                <w:sz w:val="24"/>
                <w:szCs w:val="24"/>
                <w:lang w:val="en-US" w:eastAsia="zh-CN" w:bidi="ar-SA"/>
              </w:rPr>
              <w:t xml:space="preserve">4.6 </w:t>
            </w:r>
            <w:r>
              <w:rPr>
                <w:b/>
              </w:rPr>
              <w:t>废水</w:t>
            </w:r>
          </w:p>
          <w:p w14:paraId="5D6C4FD6">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kern w:val="24"/>
                <w:u w:val="none"/>
              </w:rPr>
            </w:pPr>
            <w:r>
              <w:rPr>
                <w:rFonts w:hint="eastAsia" w:ascii="Times New Roman" w:hAnsi="Times New Roman" w:eastAsia="宋体" w:cs="Times New Roman"/>
                <w:b/>
                <w:bCs/>
                <w:kern w:val="2"/>
                <w:sz w:val="24"/>
                <w:szCs w:val="24"/>
                <w:lang w:val="en-US" w:eastAsia="zh-CN" w:bidi="ar-SA"/>
              </w:rPr>
              <w:t xml:space="preserve">4.6.1 </w:t>
            </w:r>
            <w:r>
              <w:rPr>
                <w:rFonts w:hint="eastAsia" w:eastAsia="宋体"/>
                <w:b/>
                <w:bCs/>
                <w:color w:val="auto"/>
                <w:kern w:val="24"/>
                <w:sz w:val="24"/>
                <w:szCs w:val="32"/>
                <w:u w:val="none"/>
                <w:lang w:val="en-US" w:eastAsia="zh-CN"/>
              </w:rPr>
              <w:t>废水</w:t>
            </w:r>
            <w:r>
              <w:rPr>
                <w:b/>
                <w:bCs/>
                <w:color w:val="auto"/>
                <w:kern w:val="24"/>
                <w:sz w:val="24"/>
                <w:szCs w:val="32"/>
                <w:u w:val="none"/>
              </w:rPr>
              <w:t>污染物产排分析</w:t>
            </w:r>
          </w:p>
          <w:p w14:paraId="61031B2B">
            <w:pPr>
              <w:spacing w:line="360" w:lineRule="auto"/>
              <w:ind w:firstLine="480"/>
            </w:pPr>
            <w:r>
              <w:rPr>
                <w:sz w:val="24"/>
                <w:szCs w:val="32"/>
              </w:rPr>
              <w:t>运营期废水主要为</w:t>
            </w:r>
            <w:r>
              <w:rPr>
                <w:rFonts w:hint="eastAsia"/>
                <w:sz w:val="24"/>
                <w:szCs w:val="32"/>
                <w:lang w:eastAsia="zh-CN"/>
              </w:rPr>
              <w:t>地面清洁废水</w:t>
            </w:r>
            <w:r>
              <w:rPr>
                <w:sz w:val="24"/>
                <w:szCs w:val="32"/>
              </w:rPr>
              <w:t>、</w:t>
            </w:r>
            <w:r>
              <w:rPr>
                <w:rFonts w:hint="eastAsia"/>
                <w:sz w:val="24"/>
                <w:szCs w:val="32"/>
                <w:lang w:val="en-US" w:eastAsia="zh-CN"/>
              </w:rPr>
              <w:t>员工</w:t>
            </w:r>
            <w:r>
              <w:rPr>
                <w:sz w:val="24"/>
                <w:szCs w:val="32"/>
              </w:rPr>
              <w:t>生活污水、</w:t>
            </w:r>
            <w:r>
              <w:rPr>
                <w:rFonts w:hint="eastAsia"/>
                <w:sz w:val="24"/>
                <w:szCs w:val="32"/>
                <w:lang w:eastAsia="zh-CN"/>
              </w:rPr>
              <w:t>公共卫生间废水、</w:t>
            </w:r>
            <w:r>
              <w:rPr>
                <w:rFonts w:hint="eastAsia"/>
                <w:sz w:val="24"/>
                <w:szCs w:val="32"/>
                <w:lang w:val="en-US" w:eastAsia="zh-CN"/>
              </w:rPr>
              <w:t>洗车废水</w:t>
            </w:r>
            <w:r>
              <w:rPr>
                <w:sz w:val="24"/>
                <w:szCs w:val="32"/>
              </w:rPr>
              <w:t>及初期雨水。</w:t>
            </w:r>
            <w:r>
              <w:rPr>
                <w:rFonts w:hint="eastAsia"/>
                <w:sz w:val="24"/>
                <w:szCs w:val="32"/>
                <w:lang w:eastAsia="zh-CN"/>
              </w:rPr>
              <w:t>废水</w:t>
            </w:r>
            <w:r>
              <w:rPr>
                <w:sz w:val="24"/>
                <w:szCs w:val="32"/>
              </w:rPr>
              <w:t>经预处理满足《污水综合排放标准》（GB8978-1996）中表4之三级标准要求</w:t>
            </w:r>
            <w:r>
              <w:rPr>
                <w:rFonts w:hint="eastAsia"/>
                <w:sz w:val="24"/>
                <w:szCs w:val="32"/>
              </w:rPr>
              <w:t>且满足</w:t>
            </w:r>
            <w:r>
              <w:rPr>
                <w:rFonts w:hint="eastAsia"/>
                <w:sz w:val="24"/>
                <w:szCs w:val="32"/>
                <w:lang w:eastAsia="zh-CN"/>
              </w:rPr>
              <w:t>祁阳市城北污水处理厂</w:t>
            </w:r>
            <w:r>
              <w:rPr>
                <w:rFonts w:hint="eastAsia"/>
                <w:sz w:val="24"/>
                <w:szCs w:val="32"/>
              </w:rPr>
              <w:t>的进水标准</w:t>
            </w:r>
            <w:r>
              <w:rPr>
                <w:sz w:val="24"/>
                <w:szCs w:val="32"/>
              </w:rPr>
              <w:t>后，</w:t>
            </w:r>
            <w:r>
              <w:rPr>
                <w:rFonts w:hint="eastAsia"/>
                <w:kern w:val="0"/>
                <w:sz w:val="24"/>
              </w:rPr>
              <w:t>排入污水管网</w:t>
            </w:r>
            <w:r>
              <w:rPr>
                <w:kern w:val="0"/>
                <w:sz w:val="24"/>
              </w:rPr>
              <w:t>，</w:t>
            </w:r>
            <w:r>
              <w:rPr>
                <w:color w:val="auto"/>
                <w:sz w:val="24"/>
                <w:szCs w:val="32"/>
                <w:u w:val="none"/>
              </w:rPr>
              <w:t>进入</w:t>
            </w:r>
            <w:r>
              <w:rPr>
                <w:rFonts w:hint="eastAsia"/>
                <w:color w:val="auto"/>
                <w:sz w:val="24"/>
                <w:szCs w:val="32"/>
                <w:u w:val="none"/>
                <w:lang w:eastAsia="zh-CN"/>
              </w:rPr>
              <w:t>祁阳市城北污水处理厂</w:t>
            </w:r>
            <w:r>
              <w:rPr>
                <w:color w:val="auto"/>
                <w:sz w:val="24"/>
                <w:szCs w:val="32"/>
                <w:u w:val="none"/>
              </w:rPr>
              <w:t>处理后</w:t>
            </w:r>
            <w:r>
              <w:rPr>
                <w:rFonts w:hint="eastAsia"/>
                <w:color w:val="auto"/>
                <w:sz w:val="24"/>
                <w:szCs w:val="32"/>
                <w:u w:val="none"/>
              </w:rPr>
              <w:t>COD、NH</w:t>
            </w:r>
            <w:r>
              <w:rPr>
                <w:rFonts w:hint="eastAsia"/>
                <w:color w:val="auto"/>
                <w:sz w:val="24"/>
                <w:szCs w:val="32"/>
                <w:u w:val="none"/>
                <w:vertAlign w:val="subscript"/>
              </w:rPr>
              <w:t>3</w:t>
            </w:r>
            <w:r>
              <w:rPr>
                <w:rFonts w:hint="eastAsia"/>
                <w:color w:val="auto"/>
                <w:sz w:val="24"/>
                <w:szCs w:val="32"/>
                <w:u w:val="none"/>
              </w:rPr>
              <w:t>-N、TN、TP</w:t>
            </w:r>
            <w:r>
              <w:rPr>
                <w:rFonts w:hint="eastAsia"/>
                <w:color w:val="auto"/>
                <w:sz w:val="24"/>
                <w:szCs w:val="32"/>
                <w:u w:val="none"/>
                <w:lang w:val="en-US" w:eastAsia="zh-CN"/>
              </w:rPr>
              <w:t>达到</w:t>
            </w:r>
            <w:r>
              <w:rPr>
                <w:rFonts w:hint="eastAsia"/>
                <w:color w:val="auto"/>
                <w:sz w:val="24"/>
                <w:szCs w:val="32"/>
                <w:u w:val="none"/>
              </w:rPr>
              <w:t>《湖南省城镇污水厂主要污染物排放标准》（DB43/T 1546-2018）二级排放标准</w:t>
            </w:r>
            <w:r>
              <w:rPr>
                <w:rFonts w:hint="eastAsia"/>
                <w:color w:val="auto"/>
                <w:sz w:val="24"/>
                <w:szCs w:val="32"/>
                <w:u w:val="none"/>
                <w:lang w:eastAsia="zh-CN"/>
              </w:rPr>
              <w:t>、</w:t>
            </w:r>
            <w:r>
              <w:rPr>
                <w:rFonts w:hint="eastAsia"/>
                <w:color w:val="auto"/>
                <w:sz w:val="24"/>
                <w:szCs w:val="32"/>
                <w:u w:val="none"/>
              </w:rPr>
              <w:t>其余污染物因子</w:t>
            </w:r>
            <w:r>
              <w:rPr>
                <w:rFonts w:hint="eastAsia"/>
                <w:color w:val="auto"/>
                <w:sz w:val="24"/>
                <w:szCs w:val="32"/>
                <w:u w:val="none"/>
                <w:lang w:val="en-US" w:eastAsia="zh-CN"/>
              </w:rPr>
              <w:t>达到</w:t>
            </w:r>
            <w:r>
              <w:rPr>
                <w:rFonts w:hint="eastAsia"/>
                <w:color w:val="auto"/>
                <w:sz w:val="24"/>
                <w:szCs w:val="32"/>
                <w:u w:val="none"/>
              </w:rPr>
              <w:t>《城镇污水处理厂污染物排放标准》（GB18918-2002）一级A标准</w:t>
            </w:r>
            <w:r>
              <w:rPr>
                <w:color w:val="auto"/>
                <w:sz w:val="24"/>
                <w:szCs w:val="32"/>
                <w:u w:val="none"/>
              </w:rPr>
              <w:t>后</w:t>
            </w:r>
            <w:r>
              <w:rPr>
                <w:rFonts w:hint="eastAsia"/>
                <w:color w:val="auto"/>
                <w:sz w:val="24"/>
                <w:szCs w:val="32"/>
                <w:u w:val="none"/>
                <w:lang w:val="en-US" w:eastAsia="zh-CN"/>
              </w:rPr>
              <w:t>排入祁水</w:t>
            </w:r>
            <w:r>
              <w:rPr>
                <w:sz w:val="24"/>
              </w:rPr>
              <w:t>。</w:t>
            </w:r>
          </w:p>
          <w:p w14:paraId="45E59A0F">
            <w:pPr>
              <w:pStyle w:val="118"/>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left"/>
              <w:textAlignment w:val="auto"/>
              <w:rPr>
                <w:rFonts w:hint="eastAsia" w:eastAsia="宋体"/>
                <w:b/>
                <w:bCs/>
                <w:lang w:eastAsia="zh-CN"/>
              </w:rPr>
            </w:pPr>
            <w:r>
              <w:rPr>
                <w:rFonts w:hint="eastAsia"/>
                <w:b/>
                <w:bCs/>
                <w:lang w:val="en-US" w:eastAsia="zh-CN"/>
              </w:rPr>
              <w:t>①</w:t>
            </w:r>
            <w:r>
              <w:rPr>
                <w:b/>
                <w:bCs/>
              </w:rPr>
              <w:t>生活污水和</w:t>
            </w:r>
            <w:r>
              <w:rPr>
                <w:rFonts w:hint="eastAsia"/>
                <w:b/>
                <w:bCs/>
                <w:lang w:eastAsia="zh-CN"/>
              </w:rPr>
              <w:t>公共卫生间废水</w:t>
            </w:r>
          </w:p>
          <w:p w14:paraId="755AF8F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color w:val="auto"/>
                <w:sz w:val="24"/>
                <w:u w:val="none"/>
              </w:rPr>
            </w:pPr>
            <w:r>
              <w:rPr>
                <w:rFonts w:hint="eastAsia"/>
                <w:color w:val="auto"/>
                <w:sz w:val="24"/>
                <w:u w:val="none"/>
                <w:lang w:val="en-US" w:eastAsia="zh-CN"/>
              </w:rPr>
              <w:t>根据上文水平衡章节分析，项目生活用水量为1.011</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368.9</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eastAsia="zh-CN"/>
              </w:rPr>
              <w:t>，</w:t>
            </w:r>
            <w:r>
              <w:rPr>
                <w:color w:val="auto"/>
                <w:sz w:val="24"/>
                <w:u w:val="none"/>
              </w:rPr>
              <w:t>生活污水量按用水量的80%计，则生活污水产生量为</w:t>
            </w:r>
            <w:r>
              <w:rPr>
                <w:rFonts w:hint="eastAsia"/>
                <w:color w:val="auto"/>
                <w:sz w:val="24"/>
                <w:u w:val="none"/>
                <w:lang w:val="en-US" w:eastAsia="zh-CN"/>
              </w:rPr>
              <w:t>0.81</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295.12</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val="en-US" w:eastAsia="zh-CN"/>
              </w:rPr>
              <w:t>项目</w:t>
            </w:r>
            <w:r>
              <w:rPr>
                <w:color w:val="auto"/>
                <w:sz w:val="24"/>
                <w:u w:val="none"/>
              </w:rPr>
              <w:t>公共卫生间</w:t>
            </w:r>
            <w:r>
              <w:rPr>
                <w:rFonts w:hint="eastAsia"/>
                <w:color w:val="auto"/>
                <w:sz w:val="24"/>
                <w:u w:val="none"/>
                <w:lang w:val="en-US" w:eastAsia="zh-CN"/>
              </w:rPr>
              <w:t>用水量为0.5</w:t>
            </w:r>
            <w:r>
              <w:rPr>
                <w:color w:val="auto"/>
                <w:sz w:val="24"/>
                <w:u w:val="none"/>
              </w:rPr>
              <w:t>m</w:t>
            </w:r>
            <w:r>
              <w:rPr>
                <w:color w:val="auto"/>
                <w:sz w:val="24"/>
                <w:u w:val="none"/>
                <w:vertAlign w:val="superscript"/>
              </w:rPr>
              <w:t>3</w:t>
            </w:r>
            <w:r>
              <w:rPr>
                <w:color w:val="auto"/>
                <w:sz w:val="24"/>
                <w:u w:val="none"/>
              </w:rPr>
              <w:t>/d</w:t>
            </w:r>
            <w:r>
              <w:rPr>
                <w:rFonts w:hint="eastAsia"/>
                <w:bCs/>
                <w:color w:val="auto"/>
                <w:sz w:val="24"/>
                <w:u w:val="none"/>
                <w:lang w:eastAsia="zh-CN"/>
              </w:rPr>
              <w:t>（</w:t>
            </w:r>
            <w:r>
              <w:rPr>
                <w:rFonts w:hint="eastAsia"/>
                <w:bCs/>
                <w:color w:val="auto"/>
                <w:sz w:val="24"/>
                <w:u w:val="none"/>
                <w:lang w:val="en-US" w:eastAsia="zh-CN"/>
              </w:rPr>
              <w:t>182.5</w:t>
            </w:r>
            <w:r>
              <w:rPr>
                <w:bCs/>
                <w:color w:val="auto"/>
                <w:sz w:val="24"/>
                <w:u w:val="none"/>
              </w:rPr>
              <w:t>m</w:t>
            </w:r>
            <w:r>
              <w:rPr>
                <w:bCs/>
                <w:color w:val="auto"/>
                <w:sz w:val="24"/>
                <w:u w:val="none"/>
                <w:vertAlign w:val="superscript"/>
              </w:rPr>
              <w:t>3</w:t>
            </w:r>
            <w:r>
              <w:rPr>
                <w:bCs/>
                <w:color w:val="auto"/>
                <w:sz w:val="24"/>
                <w:u w:val="none"/>
              </w:rPr>
              <w:t>/a</w:t>
            </w:r>
            <w:r>
              <w:rPr>
                <w:rFonts w:hint="eastAsia"/>
                <w:bCs/>
                <w:color w:val="auto"/>
                <w:sz w:val="24"/>
                <w:u w:val="none"/>
                <w:lang w:eastAsia="zh-CN"/>
              </w:rPr>
              <w:t>），</w:t>
            </w:r>
            <w:r>
              <w:rPr>
                <w:color w:val="auto"/>
                <w:sz w:val="24"/>
                <w:u w:val="none"/>
              </w:rPr>
              <w:t>公共卫生间废水量按用水量的80%计，则公共卫生间废水产生量为0.</w:t>
            </w:r>
            <w:r>
              <w:rPr>
                <w:rFonts w:hint="eastAsia"/>
                <w:color w:val="auto"/>
                <w:sz w:val="24"/>
                <w:u w:val="none"/>
                <w:lang w:val="en-US" w:eastAsia="zh-CN"/>
              </w:rPr>
              <w:t>4</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146</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eastAsia="zh-CN"/>
              </w:rPr>
              <w:t>，</w:t>
            </w:r>
            <w:r>
              <w:rPr>
                <w:rFonts w:hint="eastAsia"/>
                <w:color w:val="auto"/>
                <w:sz w:val="24"/>
                <w:u w:val="none"/>
                <w:lang w:val="en-US" w:eastAsia="zh-CN"/>
              </w:rPr>
              <w:t>则合计产生量为1.126</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val="en-US" w:eastAsia="zh-CN"/>
              </w:rPr>
              <w:t>411.12</w:t>
            </w:r>
            <w:r>
              <w:rPr>
                <w:color w:val="auto"/>
                <w:sz w:val="24"/>
                <w:u w:val="none"/>
              </w:rPr>
              <w:t>m</w:t>
            </w:r>
            <w:r>
              <w:rPr>
                <w:color w:val="auto"/>
                <w:sz w:val="24"/>
                <w:u w:val="none"/>
                <w:vertAlign w:val="superscript"/>
              </w:rPr>
              <w:t>3</w:t>
            </w:r>
            <w:r>
              <w:rPr>
                <w:color w:val="auto"/>
                <w:sz w:val="24"/>
                <w:u w:val="none"/>
              </w:rPr>
              <w:t>/a）。</w:t>
            </w:r>
          </w:p>
          <w:p w14:paraId="52C6846B">
            <w:pPr>
              <w:pStyle w:val="118"/>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bCs/>
              </w:rPr>
            </w:pPr>
            <w:r>
              <w:rPr>
                <w:rFonts w:hint="eastAsia"/>
                <w:bCs/>
                <w:lang w:val="en-US" w:eastAsia="zh-CN"/>
              </w:rPr>
              <w:t>其</w:t>
            </w:r>
            <w:r>
              <w:rPr>
                <w:bCs/>
              </w:rPr>
              <w:t>主要污染物产生浓度为CODcr300mg/L、BOD</w:t>
            </w:r>
            <w:r>
              <w:rPr>
                <w:bCs/>
                <w:vertAlign w:val="subscript"/>
              </w:rPr>
              <w:t>5</w:t>
            </w:r>
            <w:r>
              <w:rPr>
                <w:bCs/>
              </w:rPr>
              <w:t>250mg/L、SS200mg/L、氨氮25mg/L、</w:t>
            </w:r>
            <w:r>
              <w:t>动植物油60mg/L</w:t>
            </w:r>
            <w:r>
              <w:rPr>
                <w:bCs/>
              </w:rPr>
              <w:t>等。</w:t>
            </w:r>
            <w:r>
              <w:t>生活污水</w:t>
            </w:r>
            <w:r>
              <w:rPr>
                <w:rFonts w:hint="eastAsia"/>
                <w:lang w:val="en-US" w:eastAsia="zh-CN"/>
              </w:rPr>
              <w:t>经隔油池处理后</w:t>
            </w:r>
            <w:r>
              <w:t>与</w:t>
            </w:r>
            <w:r>
              <w:rPr>
                <w:rFonts w:hint="eastAsia"/>
                <w:lang w:eastAsia="zh-CN"/>
              </w:rPr>
              <w:t>公共卫生间废水</w:t>
            </w:r>
            <w:r>
              <w:t>经化粪池处理后</w:t>
            </w:r>
            <w:r>
              <w:rPr>
                <w:rFonts w:hint="eastAsia"/>
              </w:rPr>
              <w:t>，</w:t>
            </w:r>
            <w:r>
              <w:rPr>
                <w:rFonts w:hint="eastAsia"/>
                <w:kern w:val="0"/>
              </w:rPr>
              <w:t>排入污水管网</w:t>
            </w:r>
            <w:r>
              <w:rPr>
                <w:kern w:val="0"/>
              </w:rPr>
              <w:t>，进入</w:t>
            </w:r>
            <w:r>
              <w:rPr>
                <w:rFonts w:hint="eastAsia"/>
                <w:szCs w:val="32"/>
                <w:lang w:eastAsia="zh-CN"/>
              </w:rPr>
              <w:t>祁阳市城北污水处理厂</w:t>
            </w:r>
            <w:r>
              <w:t>处理</w:t>
            </w:r>
            <w:r>
              <w:rPr>
                <w:rFonts w:hint="default" w:ascii="Times New Roman" w:hAnsi="Times New Roman" w:cs="Times New Roman"/>
                <w:color w:val="auto"/>
                <w:sz w:val="24"/>
                <w:u w:val="none"/>
              </w:rPr>
              <w:t>达标后外排</w:t>
            </w:r>
            <w:r>
              <w:t>。</w:t>
            </w:r>
          </w:p>
          <w:p w14:paraId="6513492C">
            <w:pPr>
              <w:pStyle w:val="118"/>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rPr>
                <w:rFonts w:hint="eastAsia" w:eastAsia="宋体"/>
                <w:lang w:eastAsia="zh-CN"/>
              </w:rPr>
            </w:pPr>
            <w:r>
              <w:rPr>
                <w:rFonts w:hint="eastAsia"/>
                <w:b/>
                <w:bCs/>
                <w:lang w:val="en-US" w:eastAsia="zh-CN"/>
              </w:rPr>
              <w:t>②</w:t>
            </w:r>
            <w:r>
              <w:rPr>
                <w:rFonts w:hint="eastAsia"/>
                <w:b/>
                <w:bCs/>
                <w:lang w:eastAsia="zh-CN"/>
              </w:rPr>
              <w:t>地面清洁废水</w:t>
            </w:r>
          </w:p>
          <w:p w14:paraId="417B4CD0">
            <w:pPr>
              <w:pStyle w:val="118"/>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pPr>
            <w:r>
              <w:rPr>
                <w:rFonts w:hint="eastAsia"/>
                <w:color w:val="auto"/>
                <w:sz w:val="24"/>
                <w:u w:val="none"/>
                <w:lang w:val="en-US" w:eastAsia="zh-CN"/>
              </w:rPr>
              <w:t>根据上文水平衡章节分析，项目</w:t>
            </w:r>
            <w:r>
              <w:rPr>
                <w:color w:val="auto"/>
                <w:sz w:val="24"/>
                <w:u w:val="none"/>
              </w:rPr>
              <w:t>地面清洗</w:t>
            </w:r>
            <w:r>
              <w:rPr>
                <w:rFonts w:hint="eastAsia"/>
                <w:color w:val="auto"/>
                <w:sz w:val="24"/>
                <w:u w:val="none"/>
                <w:lang w:val="en-US" w:eastAsia="zh-CN"/>
              </w:rPr>
              <w:t>用水量为0.652</w:t>
            </w:r>
            <w:r>
              <w:rPr>
                <w:color w:val="auto"/>
                <w:sz w:val="24"/>
                <w:u w:val="none"/>
              </w:rPr>
              <w:t>m</w:t>
            </w:r>
            <w:r>
              <w:rPr>
                <w:color w:val="auto"/>
                <w:sz w:val="24"/>
                <w:u w:val="none"/>
                <w:vertAlign w:val="superscript"/>
              </w:rPr>
              <w:t>3</w:t>
            </w:r>
            <w:r>
              <w:rPr>
                <w:color w:val="auto"/>
                <w:sz w:val="24"/>
                <w:u w:val="none"/>
              </w:rPr>
              <w:t>/次（</w:t>
            </w:r>
            <w:r>
              <w:rPr>
                <w:rFonts w:hint="eastAsia"/>
                <w:color w:val="auto"/>
                <w:sz w:val="24"/>
                <w:u w:val="none"/>
                <w:lang w:val="en-US" w:eastAsia="zh-CN"/>
              </w:rPr>
              <w:t>31.3</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val="en-US" w:eastAsia="zh-CN"/>
              </w:rPr>
              <w:t>，</w:t>
            </w:r>
            <w:r>
              <w:rPr>
                <w:rFonts w:hint="eastAsia"/>
                <w:color w:val="auto"/>
                <w:sz w:val="24"/>
                <w:u w:val="none"/>
                <w:lang w:eastAsia="zh-CN"/>
              </w:rPr>
              <w:t>地面清洁废水</w:t>
            </w:r>
            <w:r>
              <w:rPr>
                <w:color w:val="auto"/>
                <w:sz w:val="24"/>
                <w:u w:val="none"/>
              </w:rPr>
              <w:t>按清洗用水量的80%计，则</w:t>
            </w:r>
            <w:r>
              <w:rPr>
                <w:rFonts w:hint="eastAsia"/>
                <w:color w:val="auto"/>
                <w:sz w:val="24"/>
                <w:u w:val="none"/>
                <w:lang w:eastAsia="zh-CN"/>
              </w:rPr>
              <w:t>地面清洁废水</w:t>
            </w:r>
            <w:r>
              <w:rPr>
                <w:color w:val="auto"/>
                <w:sz w:val="24"/>
                <w:u w:val="none"/>
              </w:rPr>
              <w:t>产生量为</w:t>
            </w:r>
            <w:r>
              <w:rPr>
                <w:rFonts w:hint="eastAsia"/>
                <w:color w:val="auto"/>
                <w:sz w:val="24"/>
                <w:u w:val="none"/>
                <w:lang w:val="en-US" w:eastAsia="zh-CN"/>
              </w:rPr>
              <w:t>25.04</w:t>
            </w:r>
            <w:r>
              <w:rPr>
                <w:color w:val="auto"/>
                <w:sz w:val="24"/>
                <w:u w:val="none"/>
              </w:rPr>
              <w:t>m</w:t>
            </w:r>
            <w:r>
              <w:rPr>
                <w:color w:val="auto"/>
                <w:sz w:val="24"/>
                <w:u w:val="none"/>
                <w:vertAlign w:val="superscript"/>
              </w:rPr>
              <w:t>3</w:t>
            </w:r>
            <w:r>
              <w:rPr>
                <w:color w:val="auto"/>
                <w:sz w:val="24"/>
                <w:u w:val="none"/>
              </w:rPr>
              <w:t>/a，</w:t>
            </w:r>
            <w:r>
              <w:rPr>
                <w:rFonts w:hint="eastAsia"/>
                <w:color w:val="auto"/>
                <w:sz w:val="24"/>
                <w:u w:val="none"/>
                <w:lang w:val="en-US" w:eastAsia="zh-CN"/>
              </w:rPr>
              <w:t>其</w:t>
            </w:r>
            <w:r>
              <w:t>主要污染物产生浓度：SS约为200mg/L、石油类约为50mg/L。</w:t>
            </w:r>
            <w:r>
              <w:rPr>
                <w:rFonts w:hint="eastAsia"/>
                <w:szCs w:val="22"/>
                <w:lang w:eastAsia="zh-CN"/>
              </w:rPr>
              <w:t>地面清洁废水</w:t>
            </w:r>
            <w:r>
              <w:rPr>
                <w:szCs w:val="22"/>
              </w:rPr>
              <w:t>经隔油沉淀池处理后执行《污水综合排放标准》（GB8978-1996）表4中三级标准且满足</w:t>
            </w:r>
            <w:r>
              <w:rPr>
                <w:rFonts w:hint="eastAsia"/>
                <w:szCs w:val="22"/>
                <w:lang w:eastAsia="zh-CN"/>
              </w:rPr>
              <w:t>祁阳市城北污水处理厂</w:t>
            </w:r>
            <w:r>
              <w:rPr>
                <w:szCs w:val="22"/>
              </w:rPr>
              <w:t>的进水标准后，</w:t>
            </w:r>
            <w:r>
              <w:rPr>
                <w:rFonts w:hint="eastAsia"/>
                <w:kern w:val="0"/>
              </w:rPr>
              <w:t>排入污水管网</w:t>
            </w:r>
            <w:r>
              <w:rPr>
                <w:kern w:val="0"/>
              </w:rPr>
              <w:t>，进入</w:t>
            </w:r>
            <w:r>
              <w:rPr>
                <w:rFonts w:hint="eastAsia"/>
                <w:szCs w:val="32"/>
                <w:lang w:eastAsia="zh-CN"/>
              </w:rPr>
              <w:t>祁阳市城北污水处理厂</w:t>
            </w:r>
            <w:r>
              <w:t>处理</w:t>
            </w:r>
            <w:r>
              <w:rPr>
                <w:rFonts w:hint="default" w:ascii="Times New Roman" w:hAnsi="Times New Roman" w:cs="Times New Roman"/>
                <w:color w:val="auto"/>
                <w:sz w:val="24"/>
                <w:u w:val="none"/>
              </w:rPr>
              <w:t>达标后外排</w:t>
            </w:r>
            <w:r>
              <w:t>。</w:t>
            </w:r>
          </w:p>
          <w:p w14:paraId="43C1FB9D">
            <w:pPr>
              <w:pStyle w:val="118"/>
              <w:keepNext w:val="0"/>
              <w:keepLines w:val="0"/>
              <w:pageBreakBefore w:val="0"/>
              <w:widowControl w:val="0"/>
              <w:kinsoku/>
              <w:overflowPunct/>
              <w:autoSpaceDE/>
              <w:autoSpaceDN/>
              <w:bidi w:val="0"/>
              <w:adjustRightInd w:val="0"/>
              <w:snapToGrid w:val="0"/>
              <w:spacing w:line="360" w:lineRule="auto"/>
              <w:ind w:firstLine="482" w:firstLineChars="200"/>
              <w:jc w:val="left"/>
              <w:textAlignment w:val="auto"/>
              <w:rPr>
                <w:rFonts w:hint="default"/>
                <w:b/>
                <w:bCs/>
                <w:lang w:val="en-US" w:eastAsia="zh-CN"/>
              </w:rPr>
            </w:pPr>
            <w:r>
              <w:rPr>
                <w:rFonts w:hint="eastAsia"/>
                <w:b/>
                <w:bCs/>
                <w:lang w:val="en-US" w:eastAsia="zh-CN"/>
              </w:rPr>
              <w:t>③洗车废水</w:t>
            </w:r>
          </w:p>
          <w:p w14:paraId="11812E53">
            <w:pPr>
              <w:pStyle w:val="118"/>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rFonts w:hint="eastAsia"/>
                <w:b/>
                <w:bCs/>
                <w:lang w:val="en-US" w:eastAsia="zh-CN"/>
              </w:rPr>
            </w:pPr>
            <w:r>
              <w:rPr>
                <w:rFonts w:hint="eastAsia"/>
                <w:color w:val="auto"/>
                <w:sz w:val="24"/>
                <w:u w:val="none"/>
                <w:lang w:val="en-US" w:eastAsia="zh-CN"/>
              </w:rPr>
              <w:t>根据上文水平衡章节分析，</w:t>
            </w:r>
            <w:r>
              <w:rPr>
                <w:rFonts w:hint="default" w:ascii="Times New Roman" w:hAnsi="Times New Roman" w:cs="Times New Roman"/>
                <w:color w:val="auto"/>
                <w:sz w:val="24"/>
                <w:u w:val="none"/>
                <w:lang w:val="en-US" w:eastAsia="zh-CN"/>
              </w:rPr>
              <w:t>项目洗车</w:t>
            </w:r>
            <w:r>
              <w:rPr>
                <w:rFonts w:hint="default" w:ascii="Times New Roman" w:hAnsi="Times New Roman" w:cs="Times New Roman"/>
                <w:spacing w:val="4"/>
                <w:sz w:val="24"/>
                <w:szCs w:val="24"/>
                <w:lang w:eastAsia="zh-CN"/>
              </w:rPr>
              <w:t>用水量为0.99m</w:t>
            </w:r>
            <w:r>
              <w:rPr>
                <w:rFonts w:hint="default" w:ascii="Times New Roman" w:hAnsi="Times New Roman" w:cs="Times New Roman"/>
                <w:spacing w:val="4"/>
                <w:sz w:val="24"/>
                <w:szCs w:val="24"/>
                <w:vertAlign w:val="superscript"/>
                <w:lang w:eastAsia="zh-CN"/>
              </w:rPr>
              <w:t>3</w:t>
            </w:r>
            <w:r>
              <w:rPr>
                <w:rFonts w:hint="default" w:ascii="Times New Roman" w:hAnsi="Times New Roman" w:cs="Times New Roman"/>
                <w:spacing w:val="4"/>
                <w:sz w:val="24"/>
                <w:szCs w:val="24"/>
                <w:lang w:eastAsia="zh-CN"/>
              </w:rPr>
              <w:t>/d（361.35m</w:t>
            </w:r>
            <w:r>
              <w:rPr>
                <w:rFonts w:hint="default" w:ascii="Times New Roman" w:hAnsi="Times New Roman" w:cs="Times New Roman"/>
                <w:spacing w:val="4"/>
                <w:sz w:val="24"/>
                <w:szCs w:val="24"/>
                <w:vertAlign w:val="superscript"/>
                <w:lang w:eastAsia="zh-CN"/>
              </w:rPr>
              <w:t>3</w:t>
            </w:r>
            <w:r>
              <w:rPr>
                <w:rFonts w:hint="default" w:ascii="Times New Roman" w:hAnsi="Times New Roman" w:cs="Times New Roman"/>
                <w:spacing w:val="4"/>
                <w:sz w:val="24"/>
                <w:szCs w:val="24"/>
                <w:lang w:eastAsia="zh-CN"/>
              </w:rPr>
              <w:t>/a）</w:t>
            </w:r>
            <w:r>
              <w:rPr>
                <w:rFonts w:hint="eastAsia" w:ascii="Times New Roman" w:hAnsi="Times New Roman" w:cs="Times New Roman"/>
                <w:spacing w:val="4"/>
                <w:sz w:val="24"/>
                <w:szCs w:val="24"/>
                <w:lang w:eastAsia="zh-CN"/>
              </w:rPr>
              <w:t>，</w:t>
            </w:r>
            <w:r>
              <w:rPr>
                <w:rFonts w:hint="default" w:ascii="Times New Roman" w:hAnsi="Times New Roman" w:cs="Times New Roman"/>
                <w:color w:val="auto"/>
                <w:sz w:val="24"/>
                <w:u w:val="none"/>
                <w:lang w:val="en-US" w:eastAsia="zh-CN"/>
              </w:rPr>
              <w:t>洗车废水</w:t>
            </w:r>
            <w:r>
              <w:rPr>
                <w:rFonts w:hint="eastAsia" w:ascii="Times New Roman" w:hAnsi="Times New Roman" w:cs="Times New Roman"/>
                <w:color w:val="auto"/>
                <w:sz w:val="24"/>
                <w:u w:val="none"/>
                <w:lang w:val="en-US" w:eastAsia="zh-CN"/>
              </w:rPr>
              <w:t>按洗车用水的90%计，则洗车废水的产生量为0.89</w:t>
            </w:r>
            <w:r>
              <w:rPr>
                <w:rFonts w:hint="default" w:ascii="Times New Roman" w:hAnsi="Times New Roman" w:cs="Times New Roman"/>
                <w:spacing w:val="4"/>
                <w:sz w:val="24"/>
                <w:szCs w:val="24"/>
                <w:lang w:eastAsia="zh-CN"/>
              </w:rPr>
              <w:t>m</w:t>
            </w:r>
            <w:r>
              <w:rPr>
                <w:rFonts w:hint="default" w:ascii="Times New Roman" w:hAnsi="Times New Roman" w:cs="Times New Roman"/>
                <w:spacing w:val="4"/>
                <w:sz w:val="24"/>
                <w:szCs w:val="24"/>
                <w:vertAlign w:val="superscript"/>
                <w:lang w:val="en-US" w:eastAsia="zh-CN"/>
              </w:rPr>
              <w:t>3</w:t>
            </w:r>
            <w:r>
              <w:rPr>
                <w:rFonts w:hint="default" w:ascii="Times New Roman" w:hAnsi="Times New Roman" w:cs="Times New Roman"/>
                <w:spacing w:val="4"/>
                <w:sz w:val="24"/>
                <w:szCs w:val="24"/>
                <w:lang w:eastAsia="zh-CN"/>
              </w:rPr>
              <w:t>/d</w:t>
            </w:r>
            <w:r>
              <w:rPr>
                <w:rFonts w:hint="eastAsia" w:ascii="Times New Roman" w:hAnsi="Times New Roman" w:cs="Times New Roman"/>
                <w:color w:val="auto"/>
                <w:sz w:val="24"/>
                <w:u w:val="none"/>
                <w:lang w:val="en-US" w:eastAsia="zh-CN"/>
              </w:rPr>
              <w:t>（325.22</w:t>
            </w:r>
            <w:r>
              <w:rPr>
                <w:rFonts w:hint="default" w:ascii="Times New Roman" w:hAnsi="Times New Roman" w:cs="Times New Roman"/>
                <w:spacing w:val="4"/>
                <w:sz w:val="24"/>
                <w:szCs w:val="24"/>
                <w:lang w:eastAsia="zh-CN"/>
              </w:rPr>
              <w:t>m</w:t>
            </w:r>
            <w:r>
              <w:rPr>
                <w:rFonts w:hint="default" w:ascii="Times New Roman" w:hAnsi="Times New Roman" w:cs="Times New Roman"/>
                <w:spacing w:val="4"/>
                <w:sz w:val="24"/>
                <w:szCs w:val="24"/>
                <w:vertAlign w:val="superscript"/>
                <w:lang w:val="en-US" w:eastAsia="zh-CN"/>
              </w:rPr>
              <w:t>3</w:t>
            </w:r>
            <w:r>
              <w:rPr>
                <w:rFonts w:hint="default" w:ascii="Times New Roman" w:hAnsi="Times New Roman" w:cs="Times New Roman"/>
                <w:spacing w:val="4"/>
                <w:sz w:val="24"/>
                <w:szCs w:val="24"/>
                <w:lang w:eastAsia="zh-CN"/>
              </w:rPr>
              <w:t>/a</w:t>
            </w:r>
            <w:r>
              <w:rPr>
                <w:rFonts w:hint="eastAsia" w:ascii="Times New Roman" w:hAnsi="Times New Roman" w:cs="Times New Roman"/>
                <w:color w:val="auto"/>
                <w:sz w:val="24"/>
                <w:u w:val="none"/>
                <w:lang w:val="en-US" w:eastAsia="zh-CN"/>
              </w:rPr>
              <w:t>），</w:t>
            </w:r>
            <w:r>
              <w:rPr>
                <w:rFonts w:hint="eastAsia"/>
                <w:color w:val="auto"/>
                <w:sz w:val="24"/>
                <w:u w:val="none"/>
                <w:lang w:val="en-US" w:eastAsia="zh-CN"/>
              </w:rPr>
              <w:t>其</w:t>
            </w:r>
            <w:r>
              <w:t>主要污染物产生浓度：SS约为</w:t>
            </w:r>
            <w:r>
              <w:rPr>
                <w:rFonts w:hint="eastAsia"/>
                <w:lang w:val="en-US" w:eastAsia="zh-CN"/>
              </w:rPr>
              <w:t>360</w:t>
            </w:r>
            <w:r>
              <w:t>mg/L、石油类约为</w:t>
            </w:r>
            <w:r>
              <w:rPr>
                <w:rFonts w:hint="eastAsia"/>
                <w:lang w:val="en-US" w:eastAsia="zh-CN"/>
              </w:rPr>
              <w:t>2</w:t>
            </w:r>
            <w:r>
              <w:t>mg/L</w:t>
            </w:r>
            <w:r>
              <w:rPr>
                <w:rFonts w:hint="eastAsia"/>
                <w:lang w:eastAsia="zh-CN"/>
              </w:rPr>
              <w:t>、</w:t>
            </w:r>
            <w:r>
              <w:rPr>
                <w:rFonts w:hint="eastAsia"/>
                <w:lang w:val="en-US" w:eastAsia="zh-CN"/>
              </w:rPr>
              <w:t>阴离子表面活性剂约为2.6</w:t>
            </w:r>
            <w:r>
              <w:t>mg/L</w:t>
            </w:r>
            <w:r>
              <w:rPr>
                <w:rFonts w:hint="eastAsia"/>
                <w:lang w:eastAsia="zh-CN"/>
              </w:rPr>
              <w:t>、</w:t>
            </w:r>
            <w:r>
              <w:rPr>
                <w:bCs/>
              </w:rPr>
              <w:t>CODcr</w:t>
            </w:r>
            <w:r>
              <w:rPr>
                <w:rFonts w:hint="eastAsia"/>
                <w:bCs/>
                <w:lang w:val="en-US" w:eastAsia="zh-CN"/>
              </w:rPr>
              <w:t>为244</w:t>
            </w:r>
            <w:r>
              <w:rPr>
                <w:bCs/>
              </w:rPr>
              <w:t>mg/L</w:t>
            </w:r>
            <w:r>
              <w:t>。</w:t>
            </w:r>
          </w:p>
          <w:p w14:paraId="4315FC28">
            <w:pPr>
              <w:pStyle w:val="118"/>
              <w:keepNext w:val="0"/>
              <w:keepLines w:val="0"/>
              <w:pageBreakBefore w:val="0"/>
              <w:widowControl w:val="0"/>
              <w:kinsoku/>
              <w:overflowPunct/>
              <w:autoSpaceDE/>
              <w:autoSpaceDN/>
              <w:bidi w:val="0"/>
              <w:adjustRightInd w:val="0"/>
              <w:snapToGrid w:val="0"/>
              <w:spacing w:line="360" w:lineRule="auto"/>
              <w:ind w:firstLine="482" w:firstLineChars="200"/>
              <w:jc w:val="left"/>
              <w:textAlignment w:val="auto"/>
              <w:rPr>
                <w:b/>
                <w:bCs/>
              </w:rPr>
            </w:pPr>
            <w:r>
              <w:rPr>
                <w:rFonts w:hint="eastAsia"/>
                <w:b/>
                <w:bCs/>
                <w:lang w:val="en-US" w:eastAsia="zh-CN"/>
              </w:rPr>
              <w:t>④</w:t>
            </w:r>
            <w:r>
              <w:rPr>
                <w:b/>
                <w:bCs/>
              </w:rPr>
              <w:t>初期雨水</w:t>
            </w:r>
          </w:p>
          <w:p w14:paraId="215EA6FB">
            <w:pPr>
              <w:wordWrap w:val="0"/>
              <w:topLinePunct/>
              <w:adjustRightInd w:val="0"/>
              <w:snapToGrid w:val="0"/>
              <w:spacing w:line="360" w:lineRule="auto"/>
              <w:ind w:firstLine="480" w:firstLineChars="200"/>
              <w:rPr>
                <w:b/>
                <w:bCs/>
                <w:spacing w:val="-10"/>
                <w:sz w:val="24"/>
              </w:rPr>
            </w:pPr>
            <w:r>
              <w:rPr>
                <w:rFonts w:hint="eastAsia"/>
                <w:color w:val="auto"/>
                <w:sz w:val="24"/>
                <w:u w:val="none"/>
                <w:lang w:val="en-US" w:eastAsia="zh-CN"/>
              </w:rPr>
              <w:t>根据上文水平衡章节分析，</w:t>
            </w:r>
            <w:r>
              <w:rPr>
                <w:rFonts w:hint="default" w:ascii="Times New Roman" w:hAnsi="Times New Roman" w:cs="Times New Roman"/>
                <w:color w:val="auto"/>
                <w:kern w:val="0"/>
                <w:sz w:val="24"/>
                <w:szCs w:val="24"/>
                <w:u w:val="none" w:color="auto"/>
              </w:rPr>
              <w:t>场区内每次需要收集的前15分钟的初期雨水水量为</w:t>
            </w:r>
            <w:r>
              <w:rPr>
                <w:rFonts w:hint="eastAsia" w:ascii="Times New Roman" w:hAnsi="Times New Roman" w:cs="Times New Roman"/>
                <w:color w:val="auto"/>
                <w:kern w:val="0"/>
                <w:sz w:val="24"/>
                <w:szCs w:val="24"/>
                <w:u w:val="none" w:color="auto"/>
                <w:lang w:val="en-US" w:eastAsia="zh-CN"/>
              </w:rPr>
              <w:t>30.87</w:t>
            </w:r>
            <w:r>
              <w:rPr>
                <w:rFonts w:hint="default" w:ascii="Times New Roman" w:hAnsi="Times New Roman" w:cs="Times New Roman"/>
                <w:color w:val="auto"/>
                <w:kern w:val="0"/>
                <w:sz w:val="24"/>
                <w:szCs w:val="24"/>
                <w:u w:val="none" w:color="auto"/>
              </w:rPr>
              <w:t>m</w:t>
            </w:r>
            <w:r>
              <w:rPr>
                <w:rFonts w:hint="default" w:ascii="Times New Roman" w:hAnsi="Times New Roman" w:cs="Times New Roman"/>
                <w:color w:val="auto"/>
                <w:kern w:val="0"/>
                <w:sz w:val="24"/>
                <w:szCs w:val="24"/>
                <w:u w:val="none" w:color="auto"/>
                <w:vertAlign w:val="superscript"/>
              </w:rPr>
              <w:t>3</w:t>
            </w:r>
            <w:r>
              <w:rPr>
                <w:rFonts w:hint="eastAsia" w:ascii="Times New Roman" w:hAnsi="Times New Roman" w:cs="Times New Roman"/>
                <w:color w:val="auto"/>
                <w:kern w:val="0"/>
                <w:sz w:val="24"/>
                <w:szCs w:val="24"/>
                <w:u w:val="none" w:color="auto"/>
                <w:vertAlign w:val="baseline"/>
                <w:lang w:val="en-US" w:eastAsia="zh-CN"/>
              </w:rPr>
              <w:t>/次，</w:t>
            </w:r>
            <w:r>
              <w:rPr>
                <w:rFonts w:ascii="Times New Roman" w:hAnsi="Times New Roman"/>
                <w:sz w:val="24"/>
                <w:szCs w:val="32"/>
              </w:rPr>
              <w:t>项目所在地年大雨次数按12次核算，则初期雨水约</w:t>
            </w:r>
            <w:r>
              <w:rPr>
                <w:rFonts w:hint="eastAsia" w:ascii="Times New Roman" w:hAnsi="Times New Roman"/>
                <w:sz w:val="24"/>
                <w:szCs w:val="32"/>
                <w:lang w:val="en-US" w:eastAsia="zh-CN"/>
              </w:rPr>
              <w:t>184.92</w:t>
            </w:r>
            <w:r>
              <w:rPr>
                <w:rFonts w:ascii="Times New Roman" w:hAnsi="Times New Roman"/>
                <w:sz w:val="24"/>
                <w:szCs w:val="32"/>
              </w:rPr>
              <w:t>m</w:t>
            </w:r>
            <w:r>
              <w:rPr>
                <w:rFonts w:ascii="Times New Roman" w:hAnsi="Times New Roman"/>
                <w:sz w:val="24"/>
                <w:szCs w:val="32"/>
                <w:vertAlign w:val="superscript"/>
              </w:rPr>
              <w:t>3</w:t>
            </w:r>
            <w:r>
              <w:rPr>
                <w:rFonts w:ascii="Times New Roman" w:hAnsi="Times New Roman"/>
                <w:sz w:val="24"/>
                <w:szCs w:val="32"/>
              </w:rPr>
              <w:t>/a，</w:t>
            </w:r>
            <w:r>
              <w:rPr>
                <w:sz w:val="24"/>
                <w:szCs w:val="32"/>
              </w:rPr>
              <w:t>本项目采用雨污分流制，由于加油区设置罩棚，所有加油设备全位于罩棚内，且加油区地势高于周边行车道及停车坪，雨水不会涌入加油区，因此加油区“跑、冒、滴、漏”产生的油品不会进入雨水，雨水不会对附近地表水产生明显影响。为防止车辆加油时，在加油区外发生油品“跑、冒、滴、漏”，产生油品随雨水进入雨水管道，建设单位拟在初期雨水排入市政管网之前设置隔油沉淀池和初期雨水截断阀门，场地内初期雨水经雨水沟进入隔油沉淀池处理。</w:t>
            </w:r>
          </w:p>
          <w:p w14:paraId="317DC258">
            <w:pPr>
              <w:wordWrap w:val="0"/>
              <w:topLinePunct/>
              <w:adjustRightInd w:val="0"/>
              <w:snapToGrid w:val="0"/>
              <w:jc w:val="center"/>
              <w:rPr>
                <w:b/>
                <w:kern w:val="0"/>
                <w:sz w:val="24"/>
                <w:szCs w:val="24"/>
              </w:rPr>
            </w:pPr>
            <w:r>
              <w:rPr>
                <w:b/>
                <w:bCs/>
                <w:spacing w:val="-10"/>
                <w:sz w:val="24"/>
                <w:szCs w:val="24"/>
              </w:rPr>
              <w:t>表4-7 废水污染物产生及排放情况</w:t>
            </w:r>
            <w:r>
              <w:rPr>
                <w:b/>
                <w:sz w:val="24"/>
                <w:szCs w:val="24"/>
              </w:rPr>
              <w:t xml:space="preserve">一览表 </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395"/>
              <w:gridCol w:w="1166"/>
              <w:gridCol w:w="975"/>
              <w:gridCol w:w="1068"/>
              <w:gridCol w:w="781"/>
              <w:gridCol w:w="689"/>
              <w:gridCol w:w="956"/>
              <w:gridCol w:w="1089"/>
            </w:tblGrid>
            <w:tr w14:paraId="49CB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1" w:type="pct"/>
                  <w:vMerge w:val="restart"/>
                  <w:tcBorders>
                    <w:tl2br w:val="nil"/>
                    <w:tr2bl w:val="nil"/>
                  </w:tcBorders>
                  <w:shd w:val="clear" w:color="auto" w:fill="auto"/>
                  <w:noWrap/>
                  <w:vAlign w:val="center"/>
                </w:tcPr>
                <w:p w14:paraId="6083CBE0">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序号</w:t>
                  </w:r>
                </w:p>
              </w:tc>
              <w:tc>
                <w:tcPr>
                  <w:tcW w:w="821" w:type="pct"/>
                  <w:vMerge w:val="restart"/>
                  <w:tcBorders>
                    <w:tl2br w:val="nil"/>
                    <w:tr2bl w:val="nil"/>
                  </w:tcBorders>
                  <w:shd w:val="clear" w:color="auto" w:fill="auto"/>
                  <w:vAlign w:val="center"/>
                </w:tcPr>
                <w:p w14:paraId="270A531A">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产排污环节</w:t>
                  </w:r>
                </w:p>
              </w:tc>
              <w:tc>
                <w:tcPr>
                  <w:tcW w:w="686" w:type="pct"/>
                  <w:vMerge w:val="restart"/>
                  <w:tcBorders>
                    <w:tl2br w:val="nil"/>
                    <w:tr2bl w:val="nil"/>
                  </w:tcBorders>
                  <w:shd w:val="clear" w:color="auto" w:fill="auto"/>
                  <w:vAlign w:val="center"/>
                </w:tcPr>
                <w:p w14:paraId="1F83173F">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污染物种类</w:t>
                  </w:r>
                </w:p>
              </w:tc>
              <w:tc>
                <w:tcPr>
                  <w:tcW w:w="1202" w:type="pct"/>
                  <w:gridSpan w:val="2"/>
                  <w:tcBorders>
                    <w:tl2br w:val="nil"/>
                    <w:tr2bl w:val="nil"/>
                  </w:tcBorders>
                  <w:shd w:val="clear" w:color="auto" w:fill="auto"/>
                  <w:noWrap/>
                  <w:vAlign w:val="center"/>
                </w:tcPr>
                <w:p w14:paraId="080EB04B">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产生情况</w:t>
                  </w:r>
                </w:p>
              </w:tc>
              <w:tc>
                <w:tcPr>
                  <w:tcW w:w="459" w:type="pct"/>
                  <w:vMerge w:val="restart"/>
                  <w:tcBorders>
                    <w:tl2br w:val="nil"/>
                    <w:tr2bl w:val="nil"/>
                  </w:tcBorders>
                  <w:shd w:val="clear" w:color="auto" w:fill="auto"/>
                  <w:noWrap/>
                  <w:vAlign w:val="center"/>
                </w:tcPr>
                <w:p w14:paraId="148035F7">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排放形式</w:t>
                  </w:r>
                </w:p>
              </w:tc>
              <w:tc>
                <w:tcPr>
                  <w:tcW w:w="405" w:type="pct"/>
                  <w:vMerge w:val="restart"/>
                  <w:tcBorders>
                    <w:tl2br w:val="nil"/>
                    <w:tr2bl w:val="nil"/>
                  </w:tcBorders>
                  <w:shd w:val="clear" w:color="auto" w:fill="auto"/>
                  <w:vAlign w:val="center"/>
                </w:tcPr>
                <w:p w14:paraId="41535ECE">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治理设施情况</w:t>
                  </w:r>
                </w:p>
              </w:tc>
              <w:tc>
                <w:tcPr>
                  <w:tcW w:w="1203" w:type="pct"/>
                  <w:gridSpan w:val="2"/>
                  <w:tcBorders>
                    <w:tl2br w:val="nil"/>
                    <w:tr2bl w:val="nil"/>
                  </w:tcBorders>
                  <w:shd w:val="clear" w:color="auto" w:fill="auto"/>
                  <w:noWrap/>
                  <w:vAlign w:val="center"/>
                </w:tcPr>
                <w:p w14:paraId="0BF9E30D">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排放情况</w:t>
                  </w:r>
                </w:p>
              </w:tc>
            </w:tr>
            <w:tr w14:paraId="0D1F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1" w:type="pct"/>
                  <w:vMerge w:val="continue"/>
                  <w:tcBorders>
                    <w:tl2br w:val="nil"/>
                    <w:tr2bl w:val="nil"/>
                  </w:tcBorders>
                  <w:vAlign w:val="center"/>
                </w:tcPr>
                <w:p w14:paraId="5F123CCD">
                  <w:pPr>
                    <w:widowControl/>
                    <w:jc w:val="left"/>
                    <w:rPr>
                      <w:rFonts w:hint="default" w:ascii="Times New Roman" w:hAnsi="Times New Roman" w:cs="Times New Roman"/>
                      <w:b/>
                      <w:bCs/>
                      <w:kern w:val="0"/>
                      <w:szCs w:val="21"/>
                    </w:rPr>
                  </w:pPr>
                </w:p>
              </w:tc>
              <w:tc>
                <w:tcPr>
                  <w:tcW w:w="821" w:type="pct"/>
                  <w:vMerge w:val="continue"/>
                  <w:tcBorders>
                    <w:tl2br w:val="nil"/>
                    <w:tr2bl w:val="nil"/>
                  </w:tcBorders>
                  <w:vAlign w:val="center"/>
                </w:tcPr>
                <w:p w14:paraId="14174FFC">
                  <w:pPr>
                    <w:widowControl/>
                    <w:jc w:val="left"/>
                    <w:rPr>
                      <w:rFonts w:hint="default" w:ascii="Times New Roman" w:hAnsi="Times New Roman" w:cs="Times New Roman"/>
                      <w:b/>
                      <w:bCs/>
                      <w:kern w:val="0"/>
                      <w:szCs w:val="21"/>
                    </w:rPr>
                  </w:pPr>
                </w:p>
              </w:tc>
              <w:tc>
                <w:tcPr>
                  <w:tcW w:w="686" w:type="pct"/>
                  <w:vMerge w:val="continue"/>
                  <w:tcBorders>
                    <w:tl2br w:val="nil"/>
                    <w:tr2bl w:val="nil"/>
                  </w:tcBorders>
                  <w:vAlign w:val="center"/>
                </w:tcPr>
                <w:p w14:paraId="3766F2EE">
                  <w:pPr>
                    <w:widowControl/>
                    <w:jc w:val="left"/>
                    <w:rPr>
                      <w:rFonts w:hint="default" w:ascii="Times New Roman" w:hAnsi="Times New Roman" w:cs="Times New Roman"/>
                      <w:b/>
                      <w:bCs/>
                      <w:kern w:val="0"/>
                      <w:szCs w:val="21"/>
                    </w:rPr>
                  </w:pPr>
                </w:p>
              </w:tc>
              <w:tc>
                <w:tcPr>
                  <w:tcW w:w="573" w:type="pct"/>
                  <w:tcBorders>
                    <w:tl2br w:val="nil"/>
                    <w:tr2bl w:val="nil"/>
                  </w:tcBorders>
                  <w:shd w:val="clear" w:color="auto" w:fill="auto"/>
                  <w:noWrap/>
                  <w:vAlign w:val="center"/>
                </w:tcPr>
                <w:p w14:paraId="2B479995">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量t/a</w:t>
                  </w:r>
                </w:p>
              </w:tc>
              <w:tc>
                <w:tcPr>
                  <w:tcW w:w="628" w:type="pct"/>
                  <w:tcBorders>
                    <w:tl2br w:val="nil"/>
                    <w:tr2bl w:val="nil"/>
                  </w:tcBorders>
                  <w:shd w:val="clear" w:color="auto" w:fill="auto"/>
                  <w:noWrap/>
                  <w:vAlign w:val="center"/>
                </w:tcPr>
                <w:p w14:paraId="1E13AA86">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浓度mg/L</w:t>
                  </w:r>
                </w:p>
              </w:tc>
              <w:tc>
                <w:tcPr>
                  <w:tcW w:w="459" w:type="pct"/>
                  <w:vMerge w:val="continue"/>
                  <w:tcBorders>
                    <w:tl2br w:val="nil"/>
                    <w:tr2bl w:val="nil"/>
                  </w:tcBorders>
                  <w:vAlign w:val="center"/>
                </w:tcPr>
                <w:p w14:paraId="78D62173">
                  <w:pPr>
                    <w:widowControl/>
                    <w:jc w:val="left"/>
                    <w:rPr>
                      <w:rFonts w:hint="default" w:ascii="Times New Roman" w:hAnsi="Times New Roman" w:cs="Times New Roman"/>
                      <w:b/>
                      <w:bCs/>
                      <w:kern w:val="0"/>
                      <w:szCs w:val="21"/>
                    </w:rPr>
                  </w:pPr>
                </w:p>
              </w:tc>
              <w:tc>
                <w:tcPr>
                  <w:tcW w:w="405" w:type="pct"/>
                  <w:vMerge w:val="continue"/>
                  <w:tcBorders>
                    <w:tl2br w:val="nil"/>
                    <w:tr2bl w:val="nil"/>
                  </w:tcBorders>
                  <w:vAlign w:val="center"/>
                </w:tcPr>
                <w:p w14:paraId="7186603F">
                  <w:pPr>
                    <w:widowControl/>
                    <w:jc w:val="left"/>
                    <w:rPr>
                      <w:rFonts w:hint="default" w:ascii="Times New Roman" w:hAnsi="Times New Roman" w:cs="Times New Roman"/>
                      <w:b/>
                      <w:bCs/>
                      <w:kern w:val="0"/>
                      <w:szCs w:val="21"/>
                    </w:rPr>
                  </w:pPr>
                </w:p>
              </w:tc>
              <w:tc>
                <w:tcPr>
                  <w:tcW w:w="562" w:type="pct"/>
                  <w:tcBorders>
                    <w:tl2br w:val="nil"/>
                    <w:tr2bl w:val="nil"/>
                  </w:tcBorders>
                  <w:shd w:val="clear" w:color="auto" w:fill="auto"/>
                  <w:noWrap/>
                  <w:vAlign w:val="center"/>
                </w:tcPr>
                <w:p w14:paraId="46BFF28A">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量t/a</w:t>
                  </w:r>
                </w:p>
              </w:tc>
              <w:tc>
                <w:tcPr>
                  <w:tcW w:w="640" w:type="pct"/>
                  <w:tcBorders>
                    <w:tl2br w:val="nil"/>
                    <w:tr2bl w:val="nil"/>
                  </w:tcBorders>
                  <w:shd w:val="clear" w:color="auto" w:fill="auto"/>
                  <w:noWrap/>
                  <w:vAlign w:val="center"/>
                </w:tcPr>
                <w:p w14:paraId="1BBD9E92">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浓度mg/L</w:t>
                  </w:r>
                </w:p>
              </w:tc>
            </w:tr>
            <w:tr w14:paraId="463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21" w:type="pct"/>
                  <w:vMerge w:val="restart"/>
                  <w:tcBorders>
                    <w:tl2br w:val="nil"/>
                    <w:tr2bl w:val="nil"/>
                  </w:tcBorders>
                  <w:shd w:val="clear" w:color="auto" w:fill="auto"/>
                  <w:noWrap/>
                  <w:vAlign w:val="center"/>
                </w:tcPr>
                <w:p w14:paraId="452F146E">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821" w:type="pct"/>
                  <w:vMerge w:val="restart"/>
                  <w:tcBorders>
                    <w:tl2br w:val="nil"/>
                    <w:tr2bl w:val="nil"/>
                  </w:tcBorders>
                  <w:shd w:val="clear" w:color="auto" w:fill="auto"/>
                  <w:vAlign w:val="center"/>
                </w:tcPr>
                <w:p w14:paraId="340A127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员工生活污水295.12m³/a</w:t>
                  </w:r>
                </w:p>
              </w:tc>
              <w:tc>
                <w:tcPr>
                  <w:tcW w:w="686" w:type="pct"/>
                  <w:tcBorders>
                    <w:tl2br w:val="nil"/>
                    <w:tr2bl w:val="nil"/>
                  </w:tcBorders>
                  <w:shd w:val="clear" w:color="auto" w:fill="auto"/>
                  <w:noWrap/>
                  <w:vAlign w:val="center"/>
                </w:tcPr>
                <w:p w14:paraId="64A9646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COD</w:t>
                  </w:r>
                </w:p>
              </w:tc>
              <w:tc>
                <w:tcPr>
                  <w:tcW w:w="975" w:type="dxa"/>
                  <w:tcBorders>
                    <w:tl2br w:val="nil"/>
                    <w:tr2bl w:val="nil"/>
                  </w:tcBorders>
                  <w:shd w:val="clear" w:color="auto" w:fill="auto"/>
                  <w:vAlign w:val="center"/>
                </w:tcPr>
                <w:p w14:paraId="4A5AB033">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0.0885 </w:t>
                  </w:r>
                </w:p>
              </w:tc>
              <w:tc>
                <w:tcPr>
                  <w:tcW w:w="628" w:type="pct"/>
                  <w:tcBorders>
                    <w:tl2br w:val="nil"/>
                    <w:tr2bl w:val="nil"/>
                  </w:tcBorders>
                  <w:shd w:val="clear" w:color="auto" w:fill="auto"/>
                  <w:vAlign w:val="center"/>
                </w:tcPr>
                <w:p w14:paraId="3D36592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300</w:t>
                  </w:r>
                </w:p>
              </w:tc>
              <w:tc>
                <w:tcPr>
                  <w:tcW w:w="459" w:type="pct"/>
                  <w:vMerge w:val="restart"/>
                  <w:tcBorders>
                    <w:tl2br w:val="nil"/>
                    <w:tr2bl w:val="nil"/>
                  </w:tcBorders>
                  <w:shd w:val="clear" w:color="auto" w:fill="auto"/>
                  <w:noWrap/>
                  <w:vAlign w:val="center"/>
                </w:tcPr>
                <w:p w14:paraId="3DE8716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间接排放</w:t>
                  </w:r>
                </w:p>
              </w:tc>
              <w:tc>
                <w:tcPr>
                  <w:tcW w:w="405" w:type="pct"/>
                  <w:vMerge w:val="restart"/>
                  <w:tcBorders>
                    <w:tl2br w:val="nil"/>
                    <w:tr2bl w:val="nil"/>
                  </w:tcBorders>
                  <w:shd w:val="clear" w:color="auto" w:fill="auto"/>
                  <w:vAlign w:val="center"/>
                </w:tcPr>
                <w:p w14:paraId="718DEBD2">
                  <w:pPr>
                    <w:widowControl/>
                    <w:jc w:val="center"/>
                    <w:rPr>
                      <w:rFonts w:hint="default" w:ascii="Times New Roman" w:hAnsi="Times New Roman" w:cs="Times New Roman"/>
                      <w:kern w:val="0"/>
                      <w:szCs w:val="21"/>
                      <w:lang w:val="en-US"/>
                    </w:rPr>
                  </w:pPr>
                  <w:r>
                    <w:rPr>
                      <w:rFonts w:hint="eastAsia" w:cs="Times New Roman"/>
                      <w:kern w:val="0"/>
                      <w:szCs w:val="21"/>
                      <w:lang w:val="en-US" w:eastAsia="zh-CN"/>
                    </w:rPr>
                    <w:t>隔油池+化粪池</w:t>
                  </w:r>
                </w:p>
              </w:tc>
              <w:tc>
                <w:tcPr>
                  <w:tcW w:w="956" w:type="dxa"/>
                  <w:tcBorders>
                    <w:tl2br w:val="nil"/>
                    <w:tr2bl w:val="nil"/>
                  </w:tcBorders>
                  <w:shd w:val="clear" w:color="auto" w:fill="auto"/>
                  <w:noWrap/>
                  <w:vAlign w:val="center"/>
                </w:tcPr>
                <w:p w14:paraId="28FFAA9C">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0.0421 </w:t>
                  </w:r>
                </w:p>
              </w:tc>
              <w:tc>
                <w:tcPr>
                  <w:tcW w:w="640" w:type="pct"/>
                  <w:tcBorders>
                    <w:tl2br w:val="nil"/>
                    <w:tr2bl w:val="nil"/>
                  </w:tcBorders>
                  <w:shd w:val="clear" w:color="auto" w:fill="auto"/>
                  <w:noWrap/>
                  <w:vAlign w:val="center"/>
                </w:tcPr>
                <w:p w14:paraId="754BB4F0">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142.5</w:t>
                  </w:r>
                </w:p>
              </w:tc>
            </w:tr>
            <w:tr w14:paraId="4EAF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21" w:type="pct"/>
                  <w:vMerge w:val="continue"/>
                  <w:tcBorders>
                    <w:tl2br w:val="nil"/>
                    <w:tr2bl w:val="nil"/>
                  </w:tcBorders>
                  <w:vAlign w:val="center"/>
                </w:tcPr>
                <w:p w14:paraId="4CDC5978">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3713F9A8">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532973C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BOD</w:t>
                  </w:r>
                  <w:r>
                    <w:rPr>
                      <w:rFonts w:hint="default" w:ascii="Times New Roman" w:hAnsi="Times New Roman" w:cs="Times New Roman"/>
                      <w:kern w:val="0"/>
                      <w:szCs w:val="21"/>
                      <w:vertAlign w:val="subscript"/>
                    </w:rPr>
                    <w:t>5</w:t>
                  </w:r>
                </w:p>
              </w:tc>
              <w:tc>
                <w:tcPr>
                  <w:tcW w:w="975" w:type="dxa"/>
                  <w:tcBorders>
                    <w:tl2br w:val="nil"/>
                    <w:tr2bl w:val="nil"/>
                  </w:tcBorders>
                  <w:shd w:val="clear" w:color="auto" w:fill="auto"/>
                  <w:vAlign w:val="center"/>
                </w:tcPr>
                <w:p w14:paraId="4E7F9DAF">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0.0738 </w:t>
                  </w:r>
                </w:p>
              </w:tc>
              <w:tc>
                <w:tcPr>
                  <w:tcW w:w="628" w:type="pct"/>
                  <w:tcBorders>
                    <w:tl2br w:val="nil"/>
                    <w:tr2bl w:val="nil"/>
                  </w:tcBorders>
                  <w:shd w:val="clear" w:color="auto" w:fill="auto"/>
                  <w:noWrap/>
                  <w:vAlign w:val="center"/>
                </w:tcPr>
                <w:p w14:paraId="40C651C8">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250</w:t>
                  </w:r>
                </w:p>
              </w:tc>
              <w:tc>
                <w:tcPr>
                  <w:tcW w:w="459" w:type="pct"/>
                  <w:vMerge w:val="continue"/>
                  <w:tcBorders>
                    <w:tl2br w:val="nil"/>
                    <w:tr2bl w:val="nil"/>
                  </w:tcBorders>
                  <w:vAlign w:val="center"/>
                </w:tcPr>
                <w:p w14:paraId="5A94B42E">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BF818AB">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1F017B92">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0.0266 </w:t>
                  </w:r>
                </w:p>
              </w:tc>
              <w:tc>
                <w:tcPr>
                  <w:tcW w:w="640" w:type="pct"/>
                  <w:tcBorders>
                    <w:tl2br w:val="nil"/>
                    <w:tr2bl w:val="nil"/>
                  </w:tcBorders>
                  <w:shd w:val="clear" w:color="auto" w:fill="auto"/>
                  <w:noWrap/>
                  <w:vAlign w:val="center"/>
                </w:tcPr>
                <w:p w14:paraId="457A5F70">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90.3</w:t>
                  </w:r>
                </w:p>
              </w:tc>
            </w:tr>
            <w:tr w14:paraId="28E6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1D2D85B2">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40A39C8B">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60BFDAB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SS</w:t>
                  </w:r>
                </w:p>
              </w:tc>
              <w:tc>
                <w:tcPr>
                  <w:tcW w:w="975" w:type="dxa"/>
                  <w:tcBorders>
                    <w:tl2br w:val="nil"/>
                    <w:tr2bl w:val="nil"/>
                  </w:tcBorders>
                  <w:shd w:val="clear" w:color="auto" w:fill="auto"/>
                  <w:vAlign w:val="center"/>
                </w:tcPr>
                <w:p w14:paraId="38961A03">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0.0590 </w:t>
                  </w:r>
                </w:p>
              </w:tc>
              <w:tc>
                <w:tcPr>
                  <w:tcW w:w="628" w:type="pct"/>
                  <w:tcBorders>
                    <w:tl2br w:val="nil"/>
                    <w:tr2bl w:val="nil"/>
                  </w:tcBorders>
                  <w:shd w:val="clear" w:color="auto" w:fill="auto"/>
                  <w:noWrap/>
                  <w:vAlign w:val="center"/>
                </w:tcPr>
                <w:p w14:paraId="447EDA6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200</w:t>
                  </w:r>
                </w:p>
              </w:tc>
              <w:tc>
                <w:tcPr>
                  <w:tcW w:w="459" w:type="pct"/>
                  <w:vMerge w:val="continue"/>
                  <w:tcBorders>
                    <w:tl2br w:val="nil"/>
                    <w:tr2bl w:val="nil"/>
                  </w:tcBorders>
                  <w:vAlign w:val="center"/>
                </w:tcPr>
                <w:p w14:paraId="29AF558B">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F9E90D0">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542BB01F">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0.0295 </w:t>
                  </w:r>
                </w:p>
              </w:tc>
              <w:tc>
                <w:tcPr>
                  <w:tcW w:w="640" w:type="pct"/>
                  <w:tcBorders>
                    <w:tl2br w:val="nil"/>
                    <w:tr2bl w:val="nil"/>
                  </w:tcBorders>
                  <w:shd w:val="clear" w:color="auto" w:fill="auto"/>
                  <w:noWrap/>
                  <w:vAlign w:val="center"/>
                </w:tcPr>
                <w:p w14:paraId="3DCD798E">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r>
            <w:tr w14:paraId="269A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21" w:type="pct"/>
                  <w:vMerge w:val="continue"/>
                  <w:tcBorders>
                    <w:tl2br w:val="nil"/>
                    <w:tr2bl w:val="nil"/>
                  </w:tcBorders>
                  <w:vAlign w:val="center"/>
                </w:tcPr>
                <w:p w14:paraId="753B2B4A">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5FE32D43">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186DD6E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氨氮</w:t>
                  </w:r>
                </w:p>
              </w:tc>
              <w:tc>
                <w:tcPr>
                  <w:tcW w:w="975" w:type="dxa"/>
                  <w:tcBorders>
                    <w:tl2br w:val="nil"/>
                    <w:tr2bl w:val="nil"/>
                  </w:tcBorders>
                  <w:shd w:val="clear" w:color="auto" w:fill="auto"/>
                  <w:vAlign w:val="center"/>
                </w:tcPr>
                <w:p w14:paraId="21CA4B48">
                  <w:pPr>
                    <w:keepNext w:val="0"/>
                    <w:keepLines w:val="0"/>
                    <w:widowControl/>
                    <w:suppressLineNumbers w:val="0"/>
                    <w:jc w:val="center"/>
                    <w:textAlignment w:val="center"/>
                    <w:rPr>
                      <w:rFonts w:hint="default" w:ascii="Times New Roman" w:hAnsi="Times New Roman" w:cs="Times New Roman"/>
                      <w:kern w:val="0"/>
                      <w:szCs w:val="21"/>
                    </w:rPr>
                  </w:pPr>
                  <w:r>
                    <w:rPr>
                      <w:rFonts w:hint="eastAsia" w:cs="Times New Roman"/>
                      <w:i w:val="0"/>
                      <w:iCs w:val="0"/>
                      <w:color w:val="000000"/>
                      <w:kern w:val="0"/>
                      <w:sz w:val="21"/>
                      <w:szCs w:val="21"/>
                      <w:u w:val="none"/>
                      <w:lang w:val="en-US" w:eastAsia="zh-CN" w:bidi="ar"/>
                    </w:rPr>
                    <w:t>0.0083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28" w:type="pct"/>
                  <w:tcBorders>
                    <w:tl2br w:val="nil"/>
                    <w:tr2bl w:val="nil"/>
                  </w:tcBorders>
                  <w:shd w:val="clear" w:color="auto" w:fill="auto"/>
                  <w:noWrap/>
                  <w:vAlign w:val="center"/>
                </w:tcPr>
                <w:p w14:paraId="4915680E">
                  <w:pPr>
                    <w:widowControl/>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28</w:t>
                  </w:r>
                </w:p>
              </w:tc>
              <w:tc>
                <w:tcPr>
                  <w:tcW w:w="459" w:type="pct"/>
                  <w:vMerge w:val="continue"/>
                  <w:tcBorders>
                    <w:tl2br w:val="nil"/>
                    <w:tr2bl w:val="nil"/>
                  </w:tcBorders>
                  <w:vAlign w:val="center"/>
                </w:tcPr>
                <w:p w14:paraId="255F7031">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036AEC61">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5AF7C568">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0.0079 </w:t>
                  </w:r>
                </w:p>
              </w:tc>
              <w:tc>
                <w:tcPr>
                  <w:tcW w:w="640" w:type="pct"/>
                  <w:tcBorders>
                    <w:tl2br w:val="nil"/>
                    <w:tr2bl w:val="nil"/>
                  </w:tcBorders>
                  <w:shd w:val="clear" w:color="auto" w:fill="auto"/>
                  <w:noWrap/>
                  <w:vAlign w:val="center"/>
                </w:tcPr>
                <w:p w14:paraId="40A8F85D">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26.885</w:t>
                  </w:r>
                </w:p>
              </w:tc>
            </w:tr>
            <w:tr w14:paraId="2E41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4E562DB4">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19478835">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4345C0F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动植物油</w:t>
                  </w:r>
                </w:p>
              </w:tc>
              <w:tc>
                <w:tcPr>
                  <w:tcW w:w="975" w:type="dxa"/>
                  <w:tcBorders>
                    <w:tl2br w:val="nil"/>
                    <w:tr2bl w:val="nil"/>
                  </w:tcBorders>
                  <w:shd w:val="clear" w:color="auto" w:fill="auto"/>
                  <w:vAlign w:val="center"/>
                </w:tcPr>
                <w:p w14:paraId="577B1F61">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0.0177 </w:t>
                  </w:r>
                </w:p>
              </w:tc>
              <w:tc>
                <w:tcPr>
                  <w:tcW w:w="628" w:type="pct"/>
                  <w:tcBorders>
                    <w:tl2br w:val="nil"/>
                    <w:tr2bl w:val="nil"/>
                  </w:tcBorders>
                  <w:shd w:val="clear" w:color="auto" w:fill="auto"/>
                  <w:noWrap/>
                  <w:vAlign w:val="center"/>
                </w:tcPr>
                <w:p w14:paraId="1F1B990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60</w:t>
                  </w:r>
                </w:p>
              </w:tc>
              <w:tc>
                <w:tcPr>
                  <w:tcW w:w="459" w:type="pct"/>
                  <w:vMerge w:val="continue"/>
                  <w:tcBorders>
                    <w:tl2br w:val="nil"/>
                    <w:tr2bl w:val="nil"/>
                  </w:tcBorders>
                  <w:vAlign w:val="center"/>
                </w:tcPr>
                <w:p w14:paraId="09330DB6">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24BA3F5">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700DD686">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0.0059 </w:t>
                  </w:r>
                </w:p>
              </w:tc>
              <w:tc>
                <w:tcPr>
                  <w:tcW w:w="640" w:type="pct"/>
                  <w:tcBorders>
                    <w:tl2br w:val="nil"/>
                    <w:tr2bl w:val="nil"/>
                  </w:tcBorders>
                  <w:shd w:val="clear" w:color="auto" w:fill="auto"/>
                  <w:noWrap/>
                  <w:vAlign w:val="center"/>
                </w:tcPr>
                <w:p w14:paraId="4D1A490D">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r>
            <w:tr w14:paraId="6219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restart"/>
                  <w:tcBorders>
                    <w:tl2br w:val="nil"/>
                    <w:tr2bl w:val="nil"/>
                  </w:tcBorders>
                  <w:shd w:val="clear" w:color="auto" w:fill="auto"/>
                  <w:noWrap/>
                  <w:vAlign w:val="center"/>
                </w:tcPr>
                <w:p w14:paraId="6FCAEA68">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821" w:type="pct"/>
                  <w:vMerge w:val="restart"/>
                  <w:tcBorders>
                    <w:tl2br w:val="nil"/>
                    <w:tr2bl w:val="nil"/>
                  </w:tcBorders>
                  <w:shd w:val="clear" w:color="auto" w:fill="auto"/>
                  <w:vAlign w:val="center"/>
                </w:tcPr>
                <w:p w14:paraId="3FFF6FB8">
                  <w:pPr>
                    <w:widowControl/>
                    <w:jc w:val="center"/>
                    <w:rPr>
                      <w:rFonts w:hint="default" w:ascii="Times New Roman" w:hAnsi="Times New Roman" w:cs="Times New Roman"/>
                      <w:kern w:val="0"/>
                      <w:szCs w:val="21"/>
                    </w:rPr>
                  </w:pPr>
                  <w:r>
                    <w:rPr>
                      <w:rFonts w:hint="eastAsia" w:cs="Times New Roman"/>
                      <w:kern w:val="0"/>
                      <w:szCs w:val="21"/>
                      <w:lang w:eastAsia="zh-CN"/>
                    </w:rPr>
                    <w:t>公共卫生间废水146</w:t>
                  </w:r>
                  <w:r>
                    <w:rPr>
                      <w:rFonts w:hint="default" w:ascii="Times New Roman" w:hAnsi="Times New Roman" w:cs="Times New Roman"/>
                      <w:kern w:val="0"/>
                      <w:szCs w:val="21"/>
                    </w:rPr>
                    <w:t>m³/a</w:t>
                  </w:r>
                </w:p>
              </w:tc>
              <w:tc>
                <w:tcPr>
                  <w:tcW w:w="686" w:type="pct"/>
                  <w:tcBorders>
                    <w:tl2br w:val="nil"/>
                    <w:tr2bl w:val="nil"/>
                  </w:tcBorders>
                  <w:shd w:val="clear" w:color="auto" w:fill="auto"/>
                  <w:noWrap/>
                  <w:vAlign w:val="center"/>
                </w:tcPr>
                <w:p w14:paraId="4C3861C3">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COD</w:t>
                  </w:r>
                </w:p>
              </w:tc>
              <w:tc>
                <w:tcPr>
                  <w:tcW w:w="975" w:type="dxa"/>
                  <w:tcBorders>
                    <w:tl2br w:val="nil"/>
                    <w:tr2bl w:val="nil"/>
                  </w:tcBorders>
                  <w:shd w:val="clear" w:color="auto" w:fill="auto"/>
                  <w:vAlign w:val="center"/>
                </w:tcPr>
                <w:p w14:paraId="6133BC6A">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0.0438 </w:t>
                  </w:r>
                </w:p>
              </w:tc>
              <w:tc>
                <w:tcPr>
                  <w:tcW w:w="628" w:type="pct"/>
                  <w:tcBorders>
                    <w:tl2br w:val="nil"/>
                    <w:tr2bl w:val="nil"/>
                  </w:tcBorders>
                  <w:shd w:val="clear" w:color="auto" w:fill="auto"/>
                  <w:noWrap/>
                  <w:vAlign w:val="center"/>
                </w:tcPr>
                <w:p w14:paraId="4A560FC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300</w:t>
                  </w:r>
                </w:p>
              </w:tc>
              <w:tc>
                <w:tcPr>
                  <w:tcW w:w="459" w:type="pct"/>
                  <w:vMerge w:val="continue"/>
                  <w:tcBorders>
                    <w:tl2br w:val="nil"/>
                    <w:tr2bl w:val="nil"/>
                  </w:tcBorders>
                  <w:vAlign w:val="center"/>
                </w:tcPr>
                <w:p w14:paraId="1AB9B696">
                  <w:pPr>
                    <w:widowControl/>
                    <w:jc w:val="left"/>
                    <w:rPr>
                      <w:rFonts w:hint="default" w:ascii="Times New Roman" w:hAnsi="Times New Roman" w:cs="Times New Roman"/>
                      <w:kern w:val="0"/>
                      <w:szCs w:val="21"/>
                    </w:rPr>
                  </w:pPr>
                </w:p>
              </w:tc>
              <w:tc>
                <w:tcPr>
                  <w:tcW w:w="405" w:type="pct"/>
                  <w:vMerge w:val="restart"/>
                  <w:tcBorders>
                    <w:tl2br w:val="nil"/>
                    <w:tr2bl w:val="nil"/>
                  </w:tcBorders>
                  <w:shd w:val="clear" w:color="auto" w:fill="auto"/>
                  <w:vAlign w:val="center"/>
                </w:tcPr>
                <w:p w14:paraId="10CC968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化粪池</w:t>
                  </w:r>
                </w:p>
              </w:tc>
              <w:tc>
                <w:tcPr>
                  <w:tcW w:w="956" w:type="dxa"/>
                  <w:tcBorders>
                    <w:tl2br w:val="nil"/>
                    <w:tr2bl w:val="nil"/>
                  </w:tcBorders>
                  <w:shd w:val="clear" w:color="auto" w:fill="auto"/>
                  <w:noWrap/>
                  <w:vAlign w:val="center"/>
                </w:tcPr>
                <w:p w14:paraId="45C3A956">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0.0208 </w:t>
                  </w:r>
                </w:p>
              </w:tc>
              <w:tc>
                <w:tcPr>
                  <w:tcW w:w="640" w:type="pct"/>
                  <w:tcBorders>
                    <w:tl2br w:val="nil"/>
                    <w:tr2bl w:val="nil"/>
                  </w:tcBorders>
                  <w:shd w:val="clear" w:color="auto" w:fill="auto"/>
                  <w:noWrap/>
                  <w:vAlign w:val="center"/>
                </w:tcPr>
                <w:p w14:paraId="2807D243">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142.5</w:t>
                  </w:r>
                </w:p>
              </w:tc>
            </w:tr>
            <w:tr w14:paraId="7CF8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21" w:type="pct"/>
                  <w:vMerge w:val="continue"/>
                  <w:tcBorders>
                    <w:tl2br w:val="nil"/>
                    <w:tr2bl w:val="nil"/>
                  </w:tcBorders>
                  <w:vAlign w:val="center"/>
                </w:tcPr>
                <w:p w14:paraId="172C6C86">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7070CDF2">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5455BFB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BOD</w:t>
                  </w:r>
                  <w:r>
                    <w:rPr>
                      <w:rFonts w:hint="default" w:ascii="Times New Roman" w:hAnsi="Times New Roman" w:cs="Times New Roman"/>
                      <w:kern w:val="0"/>
                      <w:szCs w:val="21"/>
                      <w:vertAlign w:val="subscript"/>
                    </w:rPr>
                    <w:t>5</w:t>
                  </w:r>
                </w:p>
              </w:tc>
              <w:tc>
                <w:tcPr>
                  <w:tcW w:w="975" w:type="dxa"/>
                  <w:tcBorders>
                    <w:tl2br w:val="nil"/>
                    <w:tr2bl w:val="nil"/>
                  </w:tcBorders>
                  <w:shd w:val="clear" w:color="auto" w:fill="auto"/>
                  <w:vAlign w:val="center"/>
                </w:tcPr>
                <w:p w14:paraId="48C2ECCF">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0.0365 </w:t>
                  </w:r>
                </w:p>
              </w:tc>
              <w:tc>
                <w:tcPr>
                  <w:tcW w:w="628" w:type="pct"/>
                  <w:tcBorders>
                    <w:tl2br w:val="nil"/>
                    <w:tr2bl w:val="nil"/>
                  </w:tcBorders>
                  <w:shd w:val="clear" w:color="auto" w:fill="auto"/>
                  <w:noWrap/>
                  <w:vAlign w:val="center"/>
                </w:tcPr>
                <w:p w14:paraId="25F923E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250</w:t>
                  </w:r>
                </w:p>
              </w:tc>
              <w:tc>
                <w:tcPr>
                  <w:tcW w:w="459" w:type="pct"/>
                  <w:vMerge w:val="continue"/>
                  <w:tcBorders>
                    <w:tl2br w:val="nil"/>
                    <w:tr2bl w:val="nil"/>
                  </w:tcBorders>
                  <w:vAlign w:val="center"/>
                </w:tcPr>
                <w:p w14:paraId="1C95AAA4">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62F0F049">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78CEDD8F">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0.0132 </w:t>
                  </w:r>
                </w:p>
              </w:tc>
              <w:tc>
                <w:tcPr>
                  <w:tcW w:w="640" w:type="pct"/>
                  <w:tcBorders>
                    <w:tl2br w:val="nil"/>
                    <w:tr2bl w:val="nil"/>
                  </w:tcBorders>
                  <w:shd w:val="clear" w:color="auto" w:fill="auto"/>
                  <w:noWrap/>
                  <w:vAlign w:val="center"/>
                </w:tcPr>
                <w:p w14:paraId="1EC0BB8F">
                  <w:pPr>
                    <w:keepNext w:val="0"/>
                    <w:keepLines w:val="0"/>
                    <w:widowControl/>
                    <w:suppressLineNumbers w:val="0"/>
                    <w:jc w:val="center"/>
                    <w:textAlignment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90.3</w:t>
                  </w:r>
                </w:p>
              </w:tc>
            </w:tr>
            <w:tr w14:paraId="24B3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5EC0AE97">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11AE13A9">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623644CF">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SS</w:t>
                  </w:r>
                </w:p>
              </w:tc>
              <w:tc>
                <w:tcPr>
                  <w:tcW w:w="975" w:type="dxa"/>
                  <w:tcBorders>
                    <w:tl2br w:val="nil"/>
                    <w:tr2bl w:val="nil"/>
                  </w:tcBorders>
                  <w:shd w:val="clear" w:color="auto" w:fill="auto"/>
                  <w:vAlign w:val="center"/>
                </w:tcPr>
                <w:p w14:paraId="5F97F3DC">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0.0292 </w:t>
                  </w:r>
                </w:p>
              </w:tc>
              <w:tc>
                <w:tcPr>
                  <w:tcW w:w="628" w:type="pct"/>
                  <w:tcBorders>
                    <w:tl2br w:val="nil"/>
                    <w:tr2bl w:val="nil"/>
                  </w:tcBorders>
                  <w:shd w:val="clear" w:color="auto" w:fill="auto"/>
                  <w:noWrap/>
                  <w:vAlign w:val="center"/>
                </w:tcPr>
                <w:p w14:paraId="68A166C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200</w:t>
                  </w:r>
                </w:p>
              </w:tc>
              <w:tc>
                <w:tcPr>
                  <w:tcW w:w="459" w:type="pct"/>
                  <w:vMerge w:val="continue"/>
                  <w:tcBorders>
                    <w:tl2br w:val="nil"/>
                    <w:tr2bl w:val="nil"/>
                  </w:tcBorders>
                  <w:vAlign w:val="center"/>
                </w:tcPr>
                <w:p w14:paraId="7E9C5B4F">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634E49BE">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4B690A5D">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0.0146 </w:t>
                  </w:r>
                </w:p>
              </w:tc>
              <w:tc>
                <w:tcPr>
                  <w:tcW w:w="640" w:type="pct"/>
                  <w:tcBorders>
                    <w:tl2br w:val="nil"/>
                    <w:tr2bl w:val="nil"/>
                  </w:tcBorders>
                  <w:shd w:val="clear" w:color="auto" w:fill="auto"/>
                  <w:noWrap/>
                  <w:vAlign w:val="center"/>
                </w:tcPr>
                <w:p w14:paraId="0E5DEB2A">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r>
            <w:tr w14:paraId="157D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606D7910">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35009920">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06D4F46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氨氮</w:t>
                  </w:r>
                </w:p>
              </w:tc>
              <w:tc>
                <w:tcPr>
                  <w:tcW w:w="975" w:type="dxa"/>
                  <w:tcBorders>
                    <w:tl2br w:val="nil"/>
                    <w:tr2bl w:val="nil"/>
                  </w:tcBorders>
                  <w:shd w:val="clear" w:color="auto" w:fill="auto"/>
                  <w:vAlign w:val="center"/>
                </w:tcPr>
                <w:p w14:paraId="5D8BDDE1">
                  <w:pPr>
                    <w:keepNext w:val="0"/>
                    <w:keepLines w:val="0"/>
                    <w:widowControl/>
                    <w:suppressLineNumbers w:val="0"/>
                    <w:jc w:val="center"/>
                    <w:textAlignment w:val="center"/>
                    <w:rPr>
                      <w:rFonts w:hint="default" w:ascii="Times New Roman" w:hAnsi="Times New Roman" w:cs="Times New Roman"/>
                      <w:kern w:val="0"/>
                      <w:szCs w:val="21"/>
                    </w:rPr>
                  </w:pPr>
                  <w:r>
                    <w:rPr>
                      <w:rFonts w:hint="eastAsia" w:cs="Times New Roman"/>
                      <w:i w:val="0"/>
                      <w:iCs w:val="0"/>
                      <w:color w:val="000000"/>
                      <w:kern w:val="0"/>
                      <w:sz w:val="21"/>
                      <w:szCs w:val="21"/>
                      <w:u w:val="none"/>
                      <w:lang w:val="en-US" w:eastAsia="zh-CN" w:bidi="ar"/>
                    </w:rPr>
                    <w:t>0.0041</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28" w:type="pct"/>
                  <w:tcBorders>
                    <w:tl2br w:val="nil"/>
                    <w:tr2bl w:val="nil"/>
                  </w:tcBorders>
                  <w:shd w:val="clear" w:color="auto" w:fill="auto"/>
                  <w:noWrap/>
                  <w:vAlign w:val="center"/>
                </w:tcPr>
                <w:p w14:paraId="417C55BA">
                  <w:pPr>
                    <w:widowControl/>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28</w:t>
                  </w:r>
                </w:p>
              </w:tc>
              <w:tc>
                <w:tcPr>
                  <w:tcW w:w="459" w:type="pct"/>
                  <w:vMerge w:val="continue"/>
                  <w:tcBorders>
                    <w:tl2br w:val="nil"/>
                    <w:tr2bl w:val="nil"/>
                  </w:tcBorders>
                  <w:vAlign w:val="center"/>
                </w:tcPr>
                <w:p w14:paraId="237D6688">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29D33CB">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6D5AC668">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0.0039 </w:t>
                  </w:r>
                </w:p>
              </w:tc>
              <w:tc>
                <w:tcPr>
                  <w:tcW w:w="640" w:type="pct"/>
                  <w:tcBorders>
                    <w:tl2br w:val="nil"/>
                    <w:tr2bl w:val="nil"/>
                  </w:tcBorders>
                  <w:shd w:val="clear" w:color="auto" w:fill="auto"/>
                  <w:noWrap/>
                  <w:vAlign w:val="center"/>
                </w:tcPr>
                <w:p w14:paraId="6356B360">
                  <w:pPr>
                    <w:keepNext w:val="0"/>
                    <w:keepLines w:val="0"/>
                    <w:widowControl/>
                    <w:suppressLineNumbers w:val="0"/>
                    <w:jc w:val="center"/>
                    <w:textAlignment w:val="center"/>
                    <w:rPr>
                      <w:rFonts w:hint="eastAsia" w:ascii="Times New Roman" w:hAnsi="Times New Roman" w:eastAsia="宋体" w:cs="Times New Roman"/>
                      <w:kern w:val="0"/>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26.885</w:t>
                  </w:r>
                </w:p>
              </w:tc>
            </w:tr>
            <w:tr w14:paraId="773C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restart"/>
                  <w:tcBorders>
                    <w:tl2br w:val="nil"/>
                    <w:tr2bl w:val="nil"/>
                  </w:tcBorders>
                  <w:shd w:val="clear" w:color="auto" w:fill="auto"/>
                  <w:noWrap/>
                  <w:vAlign w:val="center"/>
                </w:tcPr>
                <w:p w14:paraId="6E2A1D8D">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821" w:type="pct"/>
                  <w:vMerge w:val="restart"/>
                  <w:tcBorders>
                    <w:tl2br w:val="nil"/>
                    <w:tr2bl w:val="nil"/>
                  </w:tcBorders>
                  <w:shd w:val="clear" w:color="auto" w:fill="auto"/>
                  <w:vAlign w:val="center"/>
                </w:tcPr>
                <w:p w14:paraId="5092E399">
                  <w:pPr>
                    <w:widowControl/>
                    <w:jc w:val="center"/>
                    <w:rPr>
                      <w:rFonts w:hint="default" w:ascii="Times New Roman" w:hAnsi="Times New Roman" w:cs="Times New Roman"/>
                      <w:kern w:val="0"/>
                      <w:szCs w:val="21"/>
                    </w:rPr>
                  </w:pPr>
                  <w:r>
                    <w:rPr>
                      <w:rFonts w:hint="eastAsia" w:cs="Times New Roman"/>
                      <w:kern w:val="0"/>
                      <w:szCs w:val="21"/>
                      <w:lang w:eastAsia="zh-CN"/>
                    </w:rPr>
                    <w:t>地面清洁废水</w:t>
                  </w:r>
                  <w:r>
                    <w:rPr>
                      <w:rFonts w:hint="eastAsia" w:cs="Times New Roman"/>
                      <w:kern w:val="0"/>
                      <w:szCs w:val="21"/>
                      <w:lang w:val="en-US" w:eastAsia="zh-CN"/>
                    </w:rPr>
                    <w:t>25.04</w:t>
                  </w:r>
                  <w:r>
                    <w:rPr>
                      <w:rFonts w:hint="default" w:ascii="Times New Roman" w:hAnsi="Times New Roman" w:cs="Times New Roman"/>
                      <w:kern w:val="0"/>
                      <w:szCs w:val="21"/>
                    </w:rPr>
                    <w:t>m³/a</w:t>
                  </w:r>
                </w:p>
              </w:tc>
              <w:tc>
                <w:tcPr>
                  <w:tcW w:w="686" w:type="pct"/>
                  <w:tcBorders>
                    <w:tl2br w:val="nil"/>
                    <w:tr2bl w:val="nil"/>
                  </w:tcBorders>
                  <w:shd w:val="clear" w:color="auto" w:fill="auto"/>
                  <w:noWrap/>
                  <w:vAlign w:val="center"/>
                </w:tcPr>
                <w:p w14:paraId="39F67C7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SS</w:t>
                  </w:r>
                </w:p>
              </w:tc>
              <w:tc>
                <w:tcPr>
                  <w:tcW w:w="975" w:type="dxa"/>
                  <w:tcBorders>
                    <w:tl2br w:val="nil"/>
                    <w:tr2bl w:val="nil"/>
                  </w:tcBorders>
                  <w:shd w:val="clear" w:color="auto" w:fill="auto"/>
                  <w:vAlign w:val="center"/>
                </w:tcPr>
                <w:p w14:paraId="0335D934">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0.0050 </w:t>
                  </w:r>
                </w:p>
              </w:tc>
              <w:tc>
                <w:tcPr>
                  <w:tcW w:w="628" w:type="pct"/>
                  <w:tcBorders>
                    <w:tl2br w:val="nil"/>
                    <w:tr2bl w:val="nil"/>
                  </w:tcBorders>
                  <w:shd w:val="clear" w:color="auto" w:fill="auto"/>
                  <w:vAlign w:val="center"/>
                </w:tcPr>
                <w:p w14:paraId="29C4BB84">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200</w:t>
                  </w:r>
                </w:p>
              </w:tc>
              <w:tc>
                <w:tcPr>
                  <w:tcW w:w="459" w:type="pct"/>
                  <w:vMerge w:val="continue"/>
                  <w:tcBorders>
                    <w:tl2br w:val="nil"/>
                    <w:tr2bl w:val="nil"/>
                  </w:tcBorders>
                  <w:vAlign w:val="center"/>
                </w:tcPr>
                <w:p w14:paraId="40E1D9B3">
                  <w:pPr>
                    <w:widowControl/>
                    <w:jc w:val="left"/>
                    <w:rPr>
                      <w:rFonts w:hint="default" w:ascii="Times New Roman" w:hAnsi="Times New Roman" w:cs="Times New Roman"/>
                      <w:kern w:val="0"/>
                      <w:szCs w:val="21"/>
                    </w:rPr>
                  </w:pPr>
                </w:p>
              </w:tc>
              <w:tc>
                <w:tcPr>
                  <w:tcW w:w="405" w:type="pct"/>
                  <w:vMerge w:val="restart"/>
                  <w:tcBorders>
                    <w:tl2br w:val="nil"/>
                    <w:tr2bl w:val="nil"/>
                  </w:tcBorders>
                  <w:shd w:val="clear" w:color="auto" w:fill="auto"/>
                  <w:vAlign w:val="center"/>
                </w:tcPr>
                <w:p w14:paraId="6A97B36E">
                  <w:pPr>
                    <w:widowControl/>
                    <w:jc w:val="left"/>
                    <w:rPr>
                      <w:rFonts w:hint="default" w:ascii="Times New Roman" w:hAnsi="Times New Roman" w:cs="Times New Roman"/>
                      <w:kern w:val="0"/>
                      <w:szCs w:val="21"/>
                    </w:rPr>
                  </w:pPr>
                  <w:r>
                    <w:rPr>
                      <w:rFonts w:hint="default" w:ascii="Times New Roman" w:hAnsi="Times New Roman" w:cs="Times New Roman"/>
                      <w:kern w:val="0"/>
                      <w:szCs w:val="21"/>
                    </w:rPr>
                    <w:t>隔油沉淀池</w:t>
                  </w:r>
                </w:p>
              </w:tc>
              <w:tc>
                <w:tcPr>
                  <w:tcW w:w="956" w:type="dxa"/>
                  <w:tcBorders>
                    <w:tl2br w:val="nil"/>
                    <w:tr2bl w:val="nil"/>
                  </w:tcBorders>
                  <w:shd w:val="clear" w:color="auto" w:fill="auto"/>
                  <w:noWrap/>
                  <w:vAlign w:val="center"/>
                </w:tcPr>
                <w:p w14:paraId="5888C3D1">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0.0013 </w:t>
                  </w:r>
                </w:p>
              </w:tc>
              <w:tc>
                <w:tcPr>
                  <w:tcW w:w="640" w:type="pct"/>
                  <w:tcBorders>
                    <w:tl2br w:val="nil"/>
                    <w:tr2bl w:val="nil"/>
                  </w:tcBorders>
                  <w:shd w:val="clear" w:color="auto" w:fill="auto"/>
                  <w:noWrap/>
                  <w:vAlign w:val="center"/>
                </w:tcPr>
                <w:p w14:paraId="129BD0AA">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3E44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19E9CD5A">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055D334B">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623889D1">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石油类</w:t>
                  </w:r>
                </w:p>
              </w:tc>
              <w:tc>
                <w:tcPr>
                  <w:tcW w:w="975" w:type="dxa"/>
                  <w:tcBorders>
                    <w:tl2br w:val="nil"/>
                    <w:tr2bl w:val="nil"/>
                  </w:tcBorders>
                  <w:shd w:val="clear" w:color="auto" w:fill="auto"/>
                  <w:vAlign w:val="center"/>
                </w:tcPr>
                <w:p w14:paraId="51B9193A">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0.0013 </w:t>
                  </w:r>
                </w:p>
              </w:tc>
              <w:tc>
                <w:tcPr>
                  <w:tcW w:w="628" w:type="pct"/>
                  <w:tcBorders>
                    <w:tl2br w:val="nil"/>
                    <w:tr2bl w:val="nil"/>
                  </w:tcBorders>
                  <w:shd w:val="clear" w:color="auto" w:fill="auto"/>
                  <w:vAlign w:val="center"/>
                </w:tcPr>
                <w:p w14:paraId="58B60274">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459" w:type="pct"/>
                  <w:vMerge w:val="continue"/>
                  <w:tcBorders>
                    <w:tl2br w:val="nil"/>
                    <w:tr2bl w:val="nil"/>
                  </w:tcBorders>
                  <w:vAlign w:val="center"/>
                </w:tcPr>
                <w:p w14:paraId="2B97C491">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6CF40474">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292342BE">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640" w:type="pct"/>
                  <w:tcBorders>
                    <w:tl2br w:val="nil"/>
                    <w:tr2bl w:val="nil"/>
                  </w:tcBorders>
                  <w:shd w:val="clear" w:color="auto" w:fill="auto"/>
                  <w:noWrap/>
                  <w:vAlign w:val="center"/>
                </w:tcPr>
                <w:p w14:paraId="7596C808">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12.5</w:t>
                  </w:r>
                </w:p>
              </w:tc>
            </w:tr>
            <w:tr w14:paraId="4139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restart"/>
                  <w:tcBorders>
                    <w:tl2br w:val="nil"/>
                    <w:tr2bl w:val="nil"/>
                  </w:tcBorders>
                  <w:shd w:val="clear" w:color="auto" w:fill="auto"/>
                  <w:noWrap/>
                  <w:vAlign w:val="center"/>
                </w:tcPr>
                <w:p w14:paraId="31FA4970">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4</w:t>
                  </w:r>
                </w:p>
              </w:tc>
              <w:tc>
                <w:tcPr>
                  <w:tcW w:w="821" w:type="pct"/>
                  <w:vMerge w:val="restart"/>
                  <w:tcBorders>
                    <w:tl2br w:val="nil"/>
                    <w:tr2bl w:val="nil"/>
                  </w:tcBorders>
                  <w:shd w:val="clear" w:color="auto" w:fill="auto"/>
                  <w:vAlign w:val="center"/>
                </w:tcPr>
                <w:p w14:paraId="19601A3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初期雨水</w:t>
                  </w:r>
                  <w:r>
                    <w:rPr>
                      <w:rFonts w:hint="eastAsia" w:cs="Times New Roman"/>
                      <w:kern w:val="0"/>
                      <w:szCs w:val="21"/>
                      <w:lang w:val="en-US" w:eastAsia="zh-CN"/>
                    </w:rPr>
                    <w:t>370.44</w:t>
                  </w: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/a</w:t>
                  </w:r>
                </w:p>
              </w:tc>
              <w:tc>
                <w:tcPr>
                  <w:tcW w:w="686" w:type="pct"/>
                  <w:tcBorders>
                    <w:tl2br w:val="nil"/>
                    <w:tr2bl w:val="nil"/>
                  </w:tcBorders>
                  <w:shd w:val="clear" w:color="auto" w:fill="auto"/>
                  <w:noWrap/>
                  <w:vAlign w:val="center"/>
                </w:tcPr>
                <w:p w14:paraId="3F174F95">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SS</w:t>
                  </w:r>
                </w:p>
              </w:tc>
              <w:tc>
                <w:tcPr>
                  <w:tcW w:w="975" w:type="dxa"/>
                  <w:tcBorders>
                    <w:tl2br w:val="nil"/>
                    <w:tr2bl w:val="nil"/>
                  </w:tcBorders>
                  <w:shd w:val="clear" w:color="auto" w:fill="auto"/>
                  <w:vAlign w:val="center"/>
                </w:tcPr>
                <w:p w14:paraId="3132324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0.1667 </w:t>
                  </w:r>
                </w:p>
              </w:tc>
              <w:tc>
                <w:tcPr>
                  <w:tcW w:w="628" w:type="pct"/>
                  <w:tcBorders>
                    <w:tl2br w:val="nil"/>
                    <w:tr2bl w:val="nil"/>
                  </w:tcBorders>
                  <w:shd w:val="clear" w:color="auto" w:fill="auto"/>
                  <w:noWrap/>
                  <w:vAlign w:val="center"/>
                </w:tcPr>
                <w:p w14:paraId="1C945017">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450</w:t>
                  </w:r>
                </w:p>
              </w:tc>
              <w:tc>
                <w:tcPr>
                  <w:tcW w:w="459" w:type="pct"/>
                  <w:vMerge w:val="continue"/>
                  <w:tcBorders>
                    <w:tl2br w:val="nil"/>
                    <w:tr2bl w:val="nil"/>
                  </w:tcBorders>
                  <w:vAlign w:val="center"/>
                </w:tcPr>
                <w:p w14:paraId="36BA6BD7">
                  <w:pPr>
                    <w:widowControl/>
                    <w:jc w:val="left"/>
                    <w:rPr>
                      <w:rFonts w:hint="default" w:ascii="Times New Roman" w:hAnsi="Times New Roman" w:cs="Times New Roman"/>
                      <w:kern w:val="0"/>
                      <w:szCs w:val="21"/>
                    </w:rPr>
                  </w:pPr>
                </w:p>
              </w:tc>
              <w:tc>
                <w:tcPr>
                  <w:tcW w:w="405" w:type="pct"/>
                  <w:vMerge w:val="continue"/>
                  <w:tcBorders>
                    <w:tl2br w:val="nil"/>
                    <w:tr2bl w:val="nil"/>
                  </w:tcBorders>
                  <w:shd w:val="clear" w:color="auto" w:fill="auto"/>
                  <w:vAlign w:val="center"/>
                </w:tcPr>
                <w:p w14:paraId="090B5C41">
                  <w:pPr>
                    <w:widowControl/>
                    <w:jc w:val="center"/>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13E5E644">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0.0417 </w:t>
                  </w:r>
                </w:p>
              </w:tc>
              <w:tc>
                <w:tcPr>
                  <w:tcW w:w="640" w:type="pct"/>
                  <w:tcBorders>
                    <w:tl2br w:val="nil"/>
                    <w:tr2bl w:val="nil"/>
                  </w:tcBorders>
                  <w:shd w:val="clear" w:color="auto" w:fill="auto"/>
                  <w:noWrap/>
                  <w:vAlign w:val="center"/>
                </w:tcPr>
                <w:p w14:paraId="5D727FB2">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112.5</w:t>
                  </w:r>
                </w:p>
              </w:tc>
            </w:tr>
            <w:tr w14:paraId="224B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074D165A">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7D711E85">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3A73AF1E">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石油类</w:t>
                  </w:r>
                </w:p>
              </w:tc>
              <w:tc>
                <w:tcPr>
                  <w:tcW w:w="975" w:type="dxa"/>
                  <w:tcBorders>
                    <w:tl2br w:val="nil"/>
                    <w:tr2bl w:val="nil"/>
                  </w:tcBorders>
                  <w:shd w:val="clear" w:color="auto" w:fill="auto"/>
                  <w:vAlign w:val="center"/>
                </w:tcPr>
                <w:p w14:paraId="66A27841">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0.0167 </w:t>
                  </w:r>
                </w:p>
              </w:tc>
              <w:tc>
                <w:tcPr>
                  <w:tcW w:w="628" w:type="pct"/>
                  <w:tcBorders>
                    <w:tl2br w:val="nil"/>
                    <w:tr2bl w:val="nil"/>
                  </w:tcBorders>
                  <w:shd w:val="clear" w:color="auto" w:fill="auto"/>
                  <w:noWrap/>
                  <w:vAlign w:val="center"/>
                </w:tcPr>
                <w:p w14:paraId="7E3A90D9">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45</w:t>
                  </w:r>
                </w:p>
              </w:tc>
              <w:tc>
                <w:tcPr>
                  <w:tcW w:w="459" w:type="pct"/>
                  <w:vMerge w:val="continue"/>
                  <w:tcBorders>
                    <w:tl2br w:val="nil"/>
                    <w:tr2bl w:val="nil"/>
                  </w:tcBorders>
                  <w:vAlign w:val="center"/>
                </w:tcPr>
                <w:p w14:paraId="28BF489B">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6914251C">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3F15A553">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0.0042 </w:t>
                  </w:r>
                </w:p>
              </w:tc>
              <w:tc>
                <w:tcPr>
                  <w:tcW w:w="640" w:type="pct"/>
                  <w:tcBorders>
                    <w:tl2br w:val="nil"/>
                    <w:tr2bl w:val="nil"/>
                  </w:tcBorders>
                  <w:shd w:val="clear" w:color="auto" w:fill="auto"/>
                  <w:noWrap/>
                  <w:vAlign w:val="center"/>
                </w:tcPr>
                <w:p w14:paraId="2BC2FBA5">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11.25</w:t>
                  </w:r>
                </w:p>
              </w:tc>
            </w:tr>
            <w:tr w14:paraId="6F88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restart"/>
                  <w:tcBorders>
                    <w:tl2br w:val="nil"/>
                    <w:tr2bl w:val="nil"/>
                  </w:tcBorders>
                  <w:vAlign w:val="center"/>
                </w:tcPr>
                <w:p w14:paraId="1016850F">
                  <w:pPr>
                    <w:widowControl/>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5</w:t>
                  </w:r>
                </w:p>
              </w:tc>
              <w:tc>
                <w:tcPr>
                  <w:tcW w:w="821" w:type="pct"/>
                  <w:vMerge w:val="restart"/>
                  <w:tcBorders>
                    <w:tl2br w:val="nil"/>
                    <w:tr2bl w:val="nil"/>
                  </w:tcBorders>
                  <w:vAlign w:val="center"/>
                </w:tcPr>
                <w:p w14:paraId="3C8FC29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洗车废水325.22m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/a</w:t>
                  </w:r>
                </w:p>
              </w:tc>
              <w:tc>
                <w:tcPr>
                  <w:tcW w:w="686" w:type="pct"/>
                  <w:tcBorders>
                    <w:tl2br w:val="nil"/>
                    <w:tr2bl w:val="nil"/>
                  </w:tcBorders>
                  <w:shd w:val="clear" w:color="auto" w:fill="auto"/>
                  <w:noWrap/>
                  <w:vAlign w:val="center"/>
                </w:tcPr>
                <w:p w14:paraId="39269673">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975" w:type="dxa"/>
                  <w:tcBorders>
                    <w:tl2br w:val="nil"/>
                    <w:tr2bl w:val="nil"/>
                  </w:tcBorders>
                  <w:shd w:val="clear" w:color="auto" w:fill="auto"/>
                  <w:vAlign w:val="center"/>
                </w:tcPr>
                <w:p w14:paraId="3A7836B7">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0.1171 </w:t>
                  </w:r>
                </w:p>
              </w:tc>
              <w:tc>
                <w:tcPr>
                  <w:tcW w:w="628" w:type="pct"/>
                  <w:tcBorders>
                    <w:tl2br w:val="nil"/>
                    <w:tr2bl w:val="nil"/>
                  </w:tcBorders>
                  <w:shd w:val="clear" w:color="auto" w:fill="auto"/>
                  <w:noWrap/>
                  <w:vAlign w:val="center"/>
                </w:tcPr>
                <w:p w14:paraId="5F04725D">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459" w:type="pct"/>
                  <w:vMerge w:val="continue"/>
                  <w:tcBorders>
                    <w:tl2br w:val="nil"/>
                    <w:tr2bl w:val="nil"/>
                  </w:tcBorders>
                  <w:vAlign w:val="center"/>
                </w:tcPr>
                <w:p w14:paraId="5C30C1BB">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0A3E1051">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14473105">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0.0293 </w:t>
                  </w:r>
                </w:p>
              </w:tc>
              <w:tc>
                <w:tcPr>
                  <w:tcW w:w="640" w:type="pct"/>
                  <w:tcBorders>
                    <w:tl2br w:val="nil"/>
                    <w:tr2bl w:val="nil"/>
                  </w:tcBorders>
                  <w:shd w:val="clear" w:color="auto" w:fill="auto"/>
                  <w:noWrap/>
                  <w:vAlign w:val="center"/>
                </w:tcPr>
                <w:p w14:paraId="52A564DD">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90</w:t>
                  </w:r>
                </w:p>
              </w:tc>
            </w:tr>
            <w:tr w14:paraId="044C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3DCC9F93">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18C0F4E9">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347DE5A2">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eastAsia" w:ascii="宋体" w:hAnsi="宋体" w:eastAsia="宋体" w:cs="宋体"/>
                      <w:i w:val="0"/>
                      <w:iCs w:val="0"/>
                      <w:color w:val="000000"/>
                      <w:kern w:val="0"/>
                      <w:sz w:val="21"/>
                      <w:szCs w:val="21"/>
                      <w:u w:val="none"/>
                      <w:lang w:val="en-US" w:eastAsia="zh-CN" w:bidi="ar"/>
                    </w:rPr>
                    <w:t>石油类</w:t>
                  </w:r>
                </w:p>
              </w:tc>
              <w:tc>
                <w:tcPr>
                  <w:tcW w:w="975" w:type="dxa"/>
                  <w:tcBorders>
                    <w:tl2br w:val="nil"/>
                    <w:tr2bl w:val="nil"/>
                  </w:tcBorders>
                  <w:shd w:val="clear" w:color="auto" w:fill="auto"/>
                  <w:vAlign w:val="center"/>
                </w:tcPr>
                <w:p w14:paraId="4C0E720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0.0007 </w:t>
                  </w:r>
                </w:p>
              </w:tc>
              <w:tc>
                <w:tcPr>
                  <w:tcW w:w="628" w:type="pct"/>
                  <w:tcBorders>
                    <w:tl2br w:val="nil"/>
                    <w:tr2bl w:val="nil"/>
                  </w:tcBorders>
                  <w:shd w:val="clear" w:color="auto" w:fill="auto"/>
                  <w:noWrap/>
                  <w:vAlign w:val="center"/>
                </w:tcPr>
                <w:p w14:paraId="516BC21E">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9" w:type="pct"/>
                  <w:vMerge w:val="continue"/>
                  <w:tcBorders>
                    <w:tl2br w:val="nil"/>
                    <w:tr2bl w:val="nil"/>
                  </w:tcBorders>
                  <w:vAlign w:val="center"/>
                </w:tcPr>
                <w:p w14:paraId="306C5F6B">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2ADB182">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6DA83127">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640" w:type="pct"/>
                  <w:tcBorders>
                    <w:tl2br w:val="nil"/>
                    <w:tr2bl w:val="nil"/>
                  </w:tcBorders>
                  <w:shd w:val="clear" w:color="auto" w:fill="auto"/>
                  <w:noWrap/>
                  <w:vAlign w:val="center"/>
                </w:tcPr>
                <w:p w14:paraId="4B5BC3EB">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0.6</w:t>
                  </w:r>
                </w:p>
              </w:tc>
            </w:tr>
            <w:tr w14:paraId="0074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472AC36B">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31C49BF3">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1949489D">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LAS</w:t>
                  </w:r>
                </w:p>
              </w:tc>
              <w:tc>
                <w:tcPr>
                  <w:tcW w:w="975" w:type="dxa"/>
                  <w:tcBorders>
                    <w:tl2br w:val="nil"/>
                    <w:tr2bl w:val="nil"/>
                  </w:tcBorders>
                  <w:shd w:val="clear" w:color="auto" w:fill="auto"/>
                  <w:vAlign w:val="center"/>
                </w:tcPr>
                <w:p w14:paraId="5CEDC8C1">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0.0008 </w:t>
                  </w:r>
                </w:p>
              </w:tc>
              <w:tc>
                <w:tcPr>
                  <w:tcW w:w="628" w:type="pct"/>
                  <w:tcBorders>
                    <w:tl2br w:val="nil"/>
                    <w:tr2bl w:val="nil"/>
                  </w:tcBorders>
                  <w:shd w:val="clear" w:color="auto" w:fill="auto"/>
                  <w:noWrap/>
                  <w:vAlign w:val="center"/>
                </w:tcPr>
                <w:p w14:paraId="4879A154">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9" w:type="pct"/>
                  <w:vMerge w:val="continue"/>
                  <w:tcBorders>
                    <w:tl2br w:val="nil"/>
                    <w:tr2bl w:val="nil"/>
                  </w:tcBorders>
                  <w:vAlign w:val="center"/>
                </w:tcPr>
                <w:p w14:paraId="46147556">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43225B32">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77A19B95">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640" w:type="pct"/>
                  <w:tcBorders>
                    <w:tl2br w:val="nil"/>
                    <w:tr2bl w:val="nil"/>
                  </w:tcBorders>
                  <w:shd w:val="clear" w:color="auto" w:fill="auto"/>
                  <w:noWrap/>
                  <w:vAlign w:val="center"/>
                </w:tcPr>
                <w:p w14:paraId="5A441720">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0.78</w:t>
                  </w:r>
                </w:p>
              </w:tc>
            </w:tr>
            <w:tr w14:paraId="10AC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1" w:type="pct"/>
                  <w:vMerge w:val="continue"/>
                  <w:tcBorders>
                    <w:tl2br w:val="nil"/>
                    <w:tr2bl w:val="nil"/>
                  </w:tcBorders>
                  <w:vAlign w:val="center"/>
                </w:tcPr>
                <w:p w14:paraId="191F4F95">
                  <w:pPr>
                    <w:widowControl/>
                    <w:jc w:val="left"/>
                    <w:rPr>
                      <w:rFonts w:hint="default" w:ascii="Times New Roman" w:hAnsi="Times New Roman" w:cs="Times New Roman"/>
                      <w:kern w:val="0"/>
                      <w:szCs w:val="21"/>
                    </w:rPr>
                  </w:pPr>
                </w:p>
              </w:tc>
              <w:tc>
                <w:tcPr>
                  <w:tcW w:w="821" w:type="pct"/>
                  <w:vMerge w:val="continue"/>
                  <w:tcBorders>
                    <w:tl2br w:val="nil"/>
                    <w:tr2bl w:val="nil"/>
                  </w:tcBorders>
                  <w:vAlign w:val="center"/>
                </w:tcPr>
                <w:p w14:paraId="4F422AC4">
                  <w:pPr>
                    <w:widowControl/>
                    <w:jc w:val="left"/>
                    <w:rPr>
                      <w:rFonts w:hint="default" w:ascii="Times New Roman" w:hAnsi="Times New Roman" w:cs="Times New Roman"/>
                      <w:kern w:val="0"/>
                      <w:szCs w:val="21"/>
                    </w:rPr>
                  </w:pPr>
                </w:p>
              </w:tc>
              <w:tc>
                <w:tcPr>
                  <w:tcW w:w="686" w:type="pct"/>
                  <w:tcBorders>
                    <w:tl2br w:val="nil"/>
                    <w:tr2bl w:val="nil"/>
                  </w:tcBorders>
                  <w:shd w:val="clear" w:color="auto" w:fill="auto"/>
                  <w:noWrap/>
                  <w:vAlign w:val="center"/>
                </w:tcPr>
                <w:p w14:paraId="4116696E">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975" w:type="dxa"/>
                  <w:tcBorders>
                    <w:tl2br w:val="nil"/>
                    <w:tr2bl w:val="nil"/>
                  </w:tcBorders>
                  <w:shd w:val="clear" w:color="auto" w:fill="auto"/>
                  <w:vAlign w:val="center"/>
                </w:tcPr>
                <w:p w14:paraId="778A928B">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0.0794 </w:t>
                  </w:r>
                </w:p>
              </w:tc>
              <w:tc>
                <w:tcPr>
                  <w:tcW w:w="628" w:type="pct"/>
                  <w:tcBorders>
                    <w:tl2br w:val="nil"/>
                    <w:tr2bl w:val="nil"/>
                  </w:tcBorders>
                  <w:shd w:val="clear" w:color="auto" w:fill="auto"/>
                  <w:noWrap/>
                  <w:vAlign w:val="center"/>
                </w:tcPr>
                <w:p w14:paraId="209E96AA">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459" w:type="pct"/>
                  <w:vMerge w:val="continue"/>
                  <w:tcBorders>
                    <w:tl2br w:val="nil"/>
                    <w:tr2bl w:val="nil"/>
                  </w:tcBorders>
                  <w:vAlign w:val="center"/>
                </w:tcPr>
                <w:p w14:paraId="36936E6B">
                  <w:pPr>
                    <w:widowControl/>
                    <w:jc w:val="left"/>
                    <w:rPr>
                      <w:rFonts w:hint="default" w:ascii="Times New Roman" w:hAnsi="Times New Roman" w:cs="Times New Roman"/>
                      <w:kern w:val="0"/>
                      <w:szCs w:val="21"/>
                    </w:rPr>
                  </w:pPr>
                </w:p>
              </w:tc>
              <w:tc>
                <w:tcPr>
                  <w:tcW w:w="405" w:type="pct"/>
                  <w:vMerge w:val="continue"/>
                  <w:tcBorders>
                    <w:tl2br w:val="nil"/>
                    <w:tr2bl w:val="nil"/>
                  </w:tcBorders>
                  <w:vAlign w:val="center"/>
                </w:tcPr>
                <w:p w14:paraId="76263F53">
                  <w:pPr>
                    <w:widowControl/>
                    <w:jc w:val="left"/>
                    <w:rPr>
                      <w:rFonts w:hint="default" w:ascii="Times New Roman" w:hAnsi="Times New Roman" w:cs="Times New Roman"/>
                      <w:kern w:val="0"/>
                      <w:szCs w:val="21"/>
                    </w:rPr>
                  </w:pPr>
                </w:p>
              </w:tc>
              <w:tc>
                <w:tcPr>
                  <w:tcW w:w="956" w:type="dxa"/>
                  <w:tcBorders>
                    <w:tl2br w:val="nil"/>
                    <w:tr2bl w:val="nil"/>
                  </w:tcBorders>
                  <w:shd w:val="clear" w:color="auto" w:fill="auto"/>
                  <w:noWrap/>
                  <w:vAlign w:val="center"/>
                </w:tcPr>
                <w:p w14:paraId="46FB0102">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0.0794 </w:t>
                  </w:r>
                </w:p>
              </w:tc>
              <w:tc>
                <w:tcPr>
                  <w:tcW w:w="640" w:type="pct"/>
                  <w:tcBorders>
                    <w:tl2br w:val="nil"/>
                    <w:tr2bl w:val="nil"/>
                  </w:tcBorders>
                  <w:shd w:val="clear" w:color="auto" w:fill="auto"/>
                  <w:noWrap/>
                  <w:vAlign w:val="center"/>
                </w:tcPr>
                <w:p w14:paraId="17ED03DC">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244</w:t>
                  </w:r>
                </w:p>
              </w:tc>
            </w:tr>
          </w:tbl>
          <w:p w14:paraId="522DB789">
            <w:pPr>
              <w:wordWrap w:val="0"/>
              <w:topLinePunct/>
              <w:adjustRightInd w:val="0"/>
              <w:snapToGrid w:val="0"/>
              <w:spacing w:line="360" w:lineRule="auto"/>
              <w:ind w:firstLine="480" w:firstLineChars="200"/>
              <w:rPr>
                <w:sz w:val="24"/>
                <w:szCs w:val="32"/>
              </w:rPr>
            </w:pPr>
            <w:r>
              <w:rPr>
                <w:sz w:val="24"/>
                <w:szCs w:val="32"/>
              </w:rPr>
              <w:t>本项目废水为间断性排放，非完全混合后再进行处理，故</w:t>
            </w:r>
            <w:r>
              <w:rPr>
                <w:rFonts w:hint="eastAsia"/>
                <w:sz w:val="24"/>
                <w:szCs w:val="32"/>
              </w:rPr>
              <w:t>环评不计算</w:t>
            </w:r>
            <w:r>
              <w:rPr>
                <w:sz w:val="24"/>
                <w:szCs w:val="32"/>
              </w:rPr>
              <w:t>混合后的浓度</w:t>
            </w:r>
            <w:r>
              <w:rPr>
                <w:rFonts w:hint="eastAsia"/>
                <w:sz w:val="24"/>
                <w:szCs w:val="32"/>
              </w:rPr>
              <w:t>。</w:t>
            </w:r>
          </w:p>
          <w:p w14:paraId="4D672996">
            <w:pPr>
              <w:wordWrap w:val="0"/>
              <w:topLinePunct/>
              <w:adjustRightInd w:val="0"/>
              <w:snapToGrid w:val="0"/>
              <w:spacing w:line="360" w:lineRule="auto"/>
              <w:rPr>
                <w:b/>
                <w:bCs/>
                <w:color w:val="auto"/>
                <w:sz w:val="24"/>
                <w:szCs w:val="32"/>
                <w:u w:val="none"/>
              </w:rPr>
            </w:pPr>
            <w:r>
              <w:rPr>
                <w:rFonts w:hint="eastAsia" w:ascii="Times New Roman" w:hAnsi="Times New Roman" w:eastAsia="宋体" w:cs="Times New Roman"/>
                <w:b/>
                <w:bCs/>
                <w:kern w:val="2"/>
                <w:sz w:val="24"/>
                <w:szCs w:val="24"/>
                <w:lang w:val="en-US" w:eastAsia="zh-CN" w:bidi="ar-SA"/>
              </w:rPr>
              <w:t xml:space="preserve">4.6.2 </w:t>
            </w:r>
            <w:r>
              <w:rPr>
                <w:b/>
                <w:bCs/>
                <w:color w:val="auto"/>
                <w:sz w:val="24"/>
                <w:szCs w:val="32"/>
                <w:u w:val="none"/>
              </w:rPr>
              <w:t>废水处理设施的可行性分析</w:t>
            </w:r>
          </w:p>
          <w:p w14:paraId="7699A0C0">
            <w:pPr>
              <w:wordWrap w:val="0"/>
              <w:topLinePunct/>
              <w:adjustRightInd w:val="0"/>
              <w:snapToGrid w:val="0"/>
              <w:spacing w:line="360" w:lineRule="auto"/>
              <w:ind w:firstLine="440" w:firstLineChars="200"/>
              <w:rPr>
                <w:bCs/>
                <w:color w:val="auto"/>
                <w:spacing w:val="-10"/>
                <w:sz w:val="24"/>
                <w:u w:val="none"/>
              </w:rPr>
            </w:pPr>
            <w:r>
              <w:rPr>
                <w:bCs/>
                <w:color w:val="auto"/>
                <w:spacing w:val="-10"/>
                <w:sz w:val="24"/>
                <w:u w:val="none"/>
              </w:rPr>
              <w:t>对照《排污许可证申请与核发技术规范 储油库、加油站》（HJ 1118-2020），本项目废水处理措施与该技术规范要求的措施符合性分析如下：</w:t>
            </w:r>
          </w:p>
          <w:p w14:paraId="1B9EC998">
            <w:pPr>
              <w:wordWrap w:val="0"/>
              <w:topLinePunct/>
              <w:adjustRightInd w:val="0"/>
              <w:snapToGrid w:val="0"/>
              <w:jc w:val="center"/>
              <w:rPr>
                <w:b/>
                <w:bCs/>
                <w:color w:val="auto"/>
                <w:sz w:val="24"/>
                <w:szCs w:val="24"/>
                <w:u w:val="none"/>
              </w:rPr>
            </w:pPr>
            <w:r>
              <w:rPr>
                <w:b/>
                <w:bCs/>
                <w:color w:val="auto"/>
                <w:sz w:val="24"/>
                <w:szCs w:val="24"/>
                <w:u w:val="none"/>
              </w:rPr>
              <w:t>表4-8 废水类别、污染物及污染治理设施表</w:t>
            </w:r>
          </w:p>
          <w:tbl>
            <w:tblPr>
              <w:tblStyle w:val="51"/>
              <w:tblW w:w="498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73"/>
              <w:gridCol w:w="823"/>
              <w:gridCol w:w="762"/>
              <w:gridCol w:w="875"/>
              <w:gridCol w:w="612"/>
              <w:gridCol w:w="853"/>
              <w:gridCol w:w="1018"/>
              <w:gridCol w:w="1002"/>
              <w:gridCol w:w="790"/>
              <w:gridCol w:w="677"/>
              <w:gridCol w:w="488"/>
            </w:tblGrid>
            <w:tr w14:paraId="00865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tblHeader/>
                <w:jc w:val="center"/>
              </w:trPr>
              <w:tc>
                <w:tcPr>
                  <w:tcW w:w="338" w:type="pct"/>
                  <w:vMerge w:val="restart"/>
                  <w:vAlign w:val="center"/>
                </w:tcPr>
                <w:p w14:paraId="2B166956">
                  <w:pPr>
                    <w:wordWrap w:val="0"/>
                    <w:topLinePunct/>
                    <w:adjustRightInd w:val="0"/>
                    <w:snapToGrid w:val="0"/>
                    <w:ind w:left="-105" w:leftChars="-50" w:right="-105" w:rightChars="-50"/>
                    <w:jc w:val="center"/>
                    <w:rPr>
                      <w:b/>
                      <w:color w:val="auto"/>
                      <w:szCs w:val="21"/>
                      <w:u w:val="none"/>
                    </w:rPr>
                  </w:pPr>
                  <w:r>
                    <w:rPr>
                      <w:b/>
                      <w:color w:val="auto"/>
                      <w:szCs w:val="21"/>
                      <w:u w:val="none"/>
                    </w:rPr>
                    <w:t>废水</w:t>
                  </w:r>
                </w:p>
                <w:p w14:paraId="0DBAB7B7">
                  <w:pPr>
                    <w:wordWrap w:val="0"/>
                    <w:topLinePunct/>
                    <w:adjustRightInd w:val="0"/>
                    <w:snapToGrid w:val="0"/>
                    <w:ind w:left="-105" w:leftChars="-50" w:right="-105" w:rightChars="-50"/>
                    <w:jc w:val="center"/>
                    <w:rPr>
                      <w:b/>
                      <w:color w:val="auto"/>
                      <w:szCs w:val="21"/>
                      <w:u w:val="none"/>
                    </w:rPr>
                  </w:pPr>
                  <w:r>
                    <w:rPr>
                      <w:b/>
                      <w:color w:val="auto"/>
                      <w:szCs w:val="21"/>
                      <w:u w:val="none"/>
                    </w:rPr>
                    <w:t>类别</w:t>
                  </w:r>
                </w:p>
              </w:tc>
              <w:tc>
                <w:tcPr>
                  <w:tcW w:w="485" w:type="pct"/>
                  <w:vMerge w:val="restart"/>
                  <w:vAlign w:val="center"/>
                </w:tcPr>
                <w:p w14:paraId="5F5C96B8">
                  <w:pPr>
                    <w:wordWrap w:val="0"/>
                    <w:topLinePunct/>
                    <w:adjustRightInd w:val="0"/>
                    <w:snapToGrid w:val="0"/>
                    <w:ind w:left="-105" w:leftChars="-50" w:right="-105" w:rightChars="-50"/>
                    <w:jc w:val="center"/>
                    <w:rPr>
                      <w:b/>
                      <w:color w:val="auto"/>
                      <w:szCs w:val="21"/>
                      <w:u w:val="none"/>
                    </w:rPr>
                  </w:pPr>
                  <w:r>
                    <w:rPr>
                      <w:b/>
                      <w:color w:val="auto"/>
                      <w:szCs w:val="21"/>
                      <w:u w:val="none"/>
                    </w:rPr>
                    <w:t>污染物</w:t>
                  </w:r>
                </w:p>
                <w:p w14:paraId="2A444418">
                  <w:pPr>
                    <w:wordWrap w:val="0"/>
                    <w:topLinePunct/>
                    <w:adjustRightInd w:val="0"/>
                    <w:snapToGrid w:val="0"/>
                    <w:ind w:left="-105" w:leftChars="-50" w:right="-105" w:rightChars="-50"/>
                    <w:jc w:val="center"/>
                    <w:rPr>
                      <w:b/>
                      <w:color w:val="auto"/>
                      <w:szCs w:val="21"/>
                      <w:u w:val="none"/>
                    </w:rPr>
                  </w:pPr>
                  <w:r>
                    <w:rPr>
                      <w:b/>
                      <w:color w:val="auto"/>
                      <w:szCs w:val="21"/>
                      <w:u w:val="none"/>
                    </w:rPr>
                    <w:t>种类</w:t>
                  </w:r>
                </w:p>
              </w:tc>
              <w:tc>
                <w:tcPr>
                  <w:tcW w:w="449" w:type="pct"/>
                  <w:vMerge w:val="restart"/>
                  <w:vAlign w:val="center"/>
                </w:tcPr>
                <w:p w14:paraId="069CE45E">
                  <w:pPr>
                    <w:wordWrap w:val="0"/>
                    <w:topLinePunct/>
                    <w:adjustRightInd w:val="0"/>
                    <w:snapToGrid w:val="0"/>
                    <w:ind w:left="-105" w:leftChars="-50" w:right="-105" w:rightChars="-50"/>
                    <w:jc w:val="center"/>
                    <w:rPr>
                      <w:b/>
                      <w:color w:val="auto"/>
                      <w:szCs w:val="21"/>
                      <w:u w:val="none"/>
                    </w:rPr>
                  </w:pPr>
                  <w:r>
                    <w:rPr>
                      <w:b/>
                      <w:color w:val="auto"/>
                      <w:szCs w:val="21"/>
                      <w:u w:val="none"/>
                    </w:rPr>
                    <w:t>排放</w:t>
                  </w:r>
                </w:p>
                <w:p w14:paraId="0AD15D5A">
                  <w:pPr>
                    <w:wordWrap w:val="0"/>
                    <w:topLinePunct/>
                    <w:adjustRightInd w:val="0"/>
                    <w:snapToGrid w:val="0"/>
                    <w:ind w:left="-105" w:leftChars="-50" w:right="-105" w:rightChars="-50"/>
                    <w:jc w:val="center"/>
                    <w:rPr>
                      <w:b/>
                      <w:color w:val="auto"/>
                      <w:szCs w:val="21"/>
                      <w:u w:val="none"/>
                    </w:rPr>
                  </w:pPr>
                  <w:r>
                    <w:rPr>
                      <w:b/>
                      <w:color w:val="auto"/>
                      <w:szCs w:val="21"/>
                      <w:u w:val="none"/>
                    </w:rPr>
                    <w:t>去向</w:t>
                  </w:r>
                </w:p>
              </w:tc>
              <w:tc>
                <w:tcPr>
                  <w:tcW w:w="516" w:type="pct"/>
                  <w:vMerge w:val="restart"/>
                  <w:vAlign w:val="center"/>
                </w:tcPr>
                <w:p w14:paraId="04560F44">
                  <w:pPr>
                    <w:wordWrap w:val="0"/>
                    <w:topLinePunct/>
                    <w:adjustRightInd w:val="0"/>
                    <w:snapToGrid w:val="0"/>
                    <w:ind w:left="-105" w:leftChars="-50" w:right="-105" w:rightChars="-50"/>
                    <w:jc w:val="center"/>
                    <w:rPr>
                      <w:b/>
                      <w:color w:val="auto"/>
                      <w:szCs w:val="21"/>
                      <w:u w:val="none"/>
                    </w:rPr>
                  </w:pPr>
                  <w:r>
                    <w:rPr>
                      <w:b/>
                      <w:color w:val="auto"/>
                      <w:szCs w:val="21"/>
                      <w:u w:val="none"/>
                    </w:rPr>
                    <w:t>排放</w:t>
                  </w:r>
                </w:p>
                <w:p w14:paraId="2606EE6E">
                  <w:pPr>
                    <w:wordWrap w:val="0"/>
                    <w:topLinePunct/>
                    <w:adjustRightInd w:val="0"/>
                    <w:snapToGrid w:val="0"/>
                    <w:ind w:left="-105" w:leftChars="-50" w:right="-105" w:rightChars="-50"/>
                    <w:jc w:val="center"/>
                    <w:rPr>
                      <w:b/>
                      <w:color w:val="auto"/>
                      <w:szCs w:val="21"/>
                      <w:u w:val="none"/>
                    </w:rPr>
                  </w:pPr>
                  <w:r>
                    <w:rPr>
                      <w:b/>
                      <w:color w:val="auto"/>
                      <w:szCs w:val="21"/>
                      <w:u w:val="none"/>
                    </w:rPr>
                    <w:t>规律</w:t>
                  </w:r>
                </w:p>
              </w:tc>
              <w:tc>
                <w:tcPr>
                  <w:tcW w:w="2055" w:type="pct"/>
                  <w:gridSpan w:val="4"/>
                  <w:vAlign w:val="center"/>
                </w:tcPr>
                <w:p w14:paraId="78A099D6">
                  <w:pPr>
                    <w:wordWrap w:val="0"/>
                    <w:topLinePunct/>
                    <w:adjustRightInd w:val="0"/>
                    <w:snapToGrid w:val="0"/>
                    <w:ind w:left="-105" w:leftChars="-50" w:right="-105" w:rightChars="-50"/>
                    <w:jc w:val="center"/>
                    <w:rPr>
                      <w:b/>
                      <w:color w:val="auto"/>
                      <w:szCs w:val="21"/>
                      <w:u w:val="none"/>
                    </w:rPr>
                  </w:pPr>
                  <w:r>
                    <w:rPr>
                      <w:b/>
                      <w:color w:val="auto"/>
                      <w:szCs w:val="21"/>
                      <w:u w:val="none"/>
                    </w:rPr>
                    <w:t>污染治理设施</w:t>
                  </w:r>
                </w:p>
              </w:tc>
              <w:tc>
                <w:tcPr>
                  <w:tcW w:w="466" w:type="pct"/>
                  <w:vMerge w:val="restart"/>
                  <w:vAlign w:val="center"/>
                </w:tcPr>
                <w:p w14:paraId="4D903ACD">
                  <w:pPr>
                    <w:wordWrap w:val="0"/>
                    <w:topLinePunct/>
                    <w:adjustRightInd w:val="0"/>
                    <w:snapToGrid w:val="0"/>
                    <w:ind w:left="-105" w:leftChars="-50" w:right="-105" w:rightChars="-50"/>
                    <w:jc w:val="center"/>
                    <w:rPr>
                      <w:b/>
                      <w:color w:val="auto"/>
                      <w:szCs w:val="21"/>
                      <w:u w:val="none"/>
                    </w:rPr>
                  </w:pPr>
                  <w:r>
                    <w:rPr>
                      <w:b/>
                      <w:color w:val="auto"/>
                      <w:szCs w:val="21"/>
                      <w:u w:val="none"/>
                    </w:rPr>
                    <w:t>排放口编号</w:t>
                  </w:r>
                </w:p>
              </w:tc>
              <w:tc>
                <w:tcPr>
                  <w:tcW w:w="399" w:type="pct"/>
                  <w:vMerge w:val="restart"/>
                  <w:vAlign w:val="center"/>
                </w:tcPr>
                <w:p w14:paraId="671CA137">
                  <w:pPr>
                    <w:wordWrap w:val="0"/>
                    <w:topLinePunct/>
                    <w:adjustRightInd w:val="0"/>
                    <w:snapToGrid w:val="0"/>
                    <w:ind w:left="-105" w:leftChars="-50" w:right="-105" w:rightChars="-50"/>
                    <w:jc w:val="center"/>
                    <w:rPr>
                      <w:b/>
                      <w:color w:val="auto"/>
                      <w:szCs w:val="21"/>
                      <w:u w:val="none"/>
                    </w:rPr>
                  </w:pPr>
                  <w:r>
                    <w:rPr>
                      <w:b/>
                      <w:color w:val="auto"/>
                      <w:szCs w:val="21"/>
                      <w:u w:val="none"/>
                    </w:rPr>
                    <w:t>是否为可行技术</w:t>
                  </w:r>
                </w:p>
              </w:tc>
              <w:tc>
                <w:tcPr>
                  <w:tcW w:w="287" w:type="pct"/>
                  <w:vMerge w:val="restart"/>
                  <w:vAlign w:val="center"/>
                </w:tcPr>
                <w:p w14:paraId="25423156">
                  <w:pPr>
                    <w:wordWrap w:val="0"/>
                    <w:topLinePunct/>
                    <w:adjustRightInd w:val="0"/>
                    <w:snapToGrid w:val="0"/>
                    <w:ind w:left="-105" w:leftChars="-50" w:right="-105" w:rightChars="-50"/>
                    <w:jc w:val="center"/>
                    <w:rPr>
                      <w:b/>
                      <w:color w:val="auto"/>
                      <w:szCs w:val="21"/>
                      <w:u w:val="none"/>
                    </w:rPr>
                  </w:pPr>
                  <w:r>
                    <w:rPr>
                      <w:b/>
                      <w:color w:val="auto"/>
                      <w:szCs w:val="21"/>
                      <w:u w:val="none"/>
                    </w:rPr>
                    <w:t>排放</w:t>
                  </w:r>
                </w:p>
                <w:p w14:paraId="3ED93A60">
                  <w:pPr>
                    <w:wordWrap w:val="0"/>
                    <w:topLinePunct/>
                    <w:adjustRightInd w:val="0"/>
                    <w:snapToGrid w:val="0"/>
                    <w:ind w:left="-105" w:leftChars="-50" w:right="-105" w:rightChars="-50"/>
                    <w:jc w:val="center"/>
                    <w:rPr>
                      <w:b/>
                      <w:color w:val="auto"/>
                      <w:szCs w:val="21"/>
                      <w:u w:val="none"/>
                    </w:rPr>
                  </w:pPr>
                  <w:r>
                    <w:rPr>
                      <w:b/>
                      <w:color w:val="auto"/>
                      <w:szCs w:val="21"/>
                      <w:u w:val="none"/>
                    </w:rPr>
                    <w:t>口类</w:t>
                  </w:r>
                </w:p>
                <w:p w14:paraId="3D72E5B1">
                  <w:pPr>
                    <w:wordWrap w:val="0"/>
                    <w:topLinePunct/>
                    <w:adjustRightInd w:val="0"/>
                    <w:snapToGrid w:val="0"/>
                    <w:ind w:left="-105" w:leftChars="-50" w:right="-105" w:rightChars="-50"/>
                    <w:jc w:val="center"/>
                    <w:rPr>
                      <w:b/>
                      <w:color w:val="auto"/>
                      <w:szCs w:val="21"/>
                      <w:u w:val="none"/>
                    </w:rPr>
                  </w:pPr>
                  <w:r>
                    <w:rPr>
                      <w:b/>
                      <w:color w:val="auto"/>
                      <w:szCs w:val="21"/>
                      <w:u w:val="none"/>
                    </w:rPr>
                    <w:t>型</w:t>
                  </w:r>
                </w:p>
              </w:tc>
            </w:tr>
            <w:tr w14:paraId="72DD9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338" w:type="pct"/>
                  <w:vMerge w:val="continue"/>
                  <w:vAlign w:val="center"/>
                </w:tcPr>
                <w:p w14:paraId="45F1A9BB">
                  <w:pPr>
                    <w:wordWrap w:val="0"/>
                    <w:topLinePunct/>
                    <w:adjustRightInd w:val="0"/>
                    <w:snapToGrid w:val="0"/>
                    <w:ind w:left="-105" w:leftChars="-50" w:right="-105" w:rightChars="-50"/>
                    <w:jc w:val="center"/>
                    <w:rPr>
                      <w:color w:val="auto"/>
                      <w:szCs w:val="21"/>
                      <w:u w:val="none"/>
                    </w:rPr>
                  </w:pPr>
                </w:p>
              </w:tc>
              <w:tc>
                <w:tcPr>
                  <w:tcW w:w="485" w:type="pct"/>
                  <w:vMerge w:val="continue"/>
                  <w:vAlign w:val="center"/>
                </w:tcPr>
                <w:p w14:paraId="1310E6A7">
                  <w:pPr>
                    <w:wordWrap w:val="0"/>
                    <w:topLinePunct/>
                    <w:adjustRightInd w:val="0"/>
                    <w:snapToGrid w:val="0"/>
                    <w:ind w:left="-105" w:leftChars="-50" w:right="-105" w:rightChars="-50"/>
                    <w:jc w:val="center"/>
                    <w:rPr>
                      <w:color w:val="auto"/>
                      <w:szCs w:val="21"/>
                      <w:u w:val="none"/>
                    </w:rPr>
                  </w:pPr>
                </w:p>
              </w:tc>
              <w:tc>
                <w:tcPr>
                  <w:tcW w:w="449" w:type="pct"/>
                  <w:vMerge w:val="continue"/>
                  <w:vAlign w:val="center"/>
                </w:tcPr>
                <w:p w14:paraId="5565DC9E">
                  <w:pPr>
                    <w:wordWrap w:val="0"/>
                    <w:topLinePunct/>
                    <w:adjustRightInd w:val="0"/>
                    <w:snapToGrid w:val="0"/>
                    <w:ind w:left="-105" w:leftChars="-50" w:right="-105" w:rightChars="-50"/>
                    <w:jc w:val="center"/>
                    <w:rPr>
                      <w:color w:val="auto"/>
                      <w:szCs w:val="21"/>
                      <w:u w:val="none"/>
                    </w:rPr>
                  </w:pPr>
                </w:p>
              </w:tc>
              <w:tc>
                <w:tcPr>
                  <w:tcW w:w="516" w:type="pct"/>
                  <w:vMerge w:val="continue"/>
                  <w:vAlign w:val="center"/>
                </w:tcPr>
                <w:p w14:paraId="7C215FC2">
                  <w:pPr>
                    <w:wordWrap w:val="0"/>
                    <w:topLinePunct/>
                    <w:adjustRightInd w:val="0"/>
                    <w:snapToGrid w:val="0"/>
                    <w:ind w:left="-105" w:leftChars="-50" w:right="-105" w:rightChars="-50"/>
                    <w:jc w:val="center"/>
                    <w:rPr>
                      <w:color w:val="auto"/>
                      <w:szCs w:val="21"/>
                      <w:u w:val="none"/>
                    </w:rPr>
                  </w:pPr>
                </w:p>
              </w:tc>
              <w:tc>
                <w:tcPr>
                  <w:tcW w:w="361" w:type="pct"/>
                  <w:vAlign w:val="center"/>
                </w:tcPr>
                <w:p w14:paraId="4B54BA25">
                  <w:pPr>
                    <w:wordWrap w:val="0"/>
                    <w:topLinePunct/>
                    <w:adjustRightInd w:val="0"/>
                    <w:snapToGrid w:val="0"/>
                    <w:ind w:left="-105" w:leftChars="-50" w:right="-105" w:rightChars="-50"/>
                    <w:jc w:val="center"/>
                    <w:rPr>
                      <w:b/>
                      <w:color w:val="auto"/>
                      <w:szCs w:val="21"/>
                      <w:u w:val="none"/>
                    </w:rPr>
                  </w:pPr>
                  <w:r>
                    <w:rPr>
                      <w:b/>
                      <w:color w:val="auto"/>
                      <w:szCs w:val="21"/>
                      <w:u w:val="none"/>
                    </w:rPr>
                    <w:t>污染治理</w:t>
                  </w:r>
                </w:p>
                <w:p w14:paraId="1427DB54">
                  <w:pPr>
                    <w:wordWrap w:val="0"/>
                    <w:topLinePunct/>
                    <w:adjustRightInd w:val="0"/>
                    <w:snapToGrid w:val="0"/>
                    <w:ind w:left="-105" w:leftChars="-50" w:right="-105" w:rightChars="-50"/>
                    <w:jc w:val="center"/>
                    <w:rPr>
                      <w:b/>
                      <w:color w:val="auto"/>
                      <w:szCs w:val="21"/>
                      <w:u w:val="none"/>
                    </w:rPr>
                  </w:pPr>
                  <w:r>
                    <w:rPr>
                      <w:b/>
                      <w:color w:val="auto"/>
                      <w:szCs w:val="21"/>
                      <w:u w:val="none"/>
                    </w:rPr>
                    <w:t>设施编号</w:t>
                  </w:r>
                </w:p>
              </w:tc>
              <w:tc>
                <w:tcPr>
                  <w:tcW w:w="503" w:type="pct"/>
                  <w:vAlign w:val="center"/>
                </w:tcPr>
                <w:p w14:paraId="56A1BA6B">
                  <w:pPr>
                    <w:wordWrap w:val="0"/>
                    <w:topLinePunct/>
                    <w:adjustRightInd w:val="0"/>
                    <w:snapToGrid w:val="0"/>
                    <w:ind w:left="-105" w:leftChars="-50" w:right="-105" w:rightChars="-50"/>
                    <w:jc w:val="center"/>
                    <w:rPr>
                      <w:b/>
                      <w:color w:val="auto"/>
                      <w:szCs w:val="21"/>
                      <w:u w:val="none"/>
                    </w:rPr>
                  </w:pPr>
                  <w:r>
                    <w:rPr>
                      <w:b/>
                      <w:color w:val="auto"/>
                      <w:szCs w:val="21"/>
                      <w:u w:val="none"/>
                    </w:rPr>
                    <w:t>排放口经纬度</w:t>
                  </w:r>
                </w:p>
              </w:tc>
              <w:tc>
                <w:tcPr>
                  <w:tcW w:w="600" w:type="pct"/>
                  <w:vAlign w:val="center"/>
                </w:tcPr>
                <w:p w14:paraId="4A6C4D4E">
                  <w:pPr>
                    <w:wordWrap w:val="0"/>
                    <w:topLinePunct/>
                    <w:adjustRightInd w:val="0"/>
                    <w:snapToGrid w:val="0"/>
                    <w:ind w:left="-105" w:leftChars="-50" w:right="-105" w:rightChars="-50"/>
                    <w:jc w:val="center"/>
                    <w:rPr>
                      <w:b/>
                      <w:color w:val="auto"/>
                      <w:szCs w:val="21"/>
                      <w:u w:val="none"/>
                    </w:rPr>
                  </w:pPr>
                  <w:r>
                    <w:rPr>
                      <w:b/>
                      <w:color w:val="auto"/>
                      <w:szCs w:val="21"/>
                      <w:u w:val="none"/>
                    </w:rPr>
                    <w:t>污染治理</w:t>
                  </w:r>
                </w:p>
                <w:p w14:paraId="59E6773E">
                  <w:pPr>
                    <w:wordWrap w:val="0"/>
                    <w:topLinePunct/>
                    <w:adjustRightInd w:val="0"/>
                    <w:snapToGrid w:val="0"/>
                    <w:ind w:left="-105" w:leftChars="-50" w:right="-105" w:rightChars="-50"/>
                    <w:jc w:val="center"/>
                    <w:rPr>
                      <w:b/>
                      <w:color w:val="auto"/>
                      <w:szCs w:val="21"/>
                      <w:u w:val="none"/>
                    </w:rPr>
                  </w:pPr>
                  <w:r>
                    <w:rPr>
                      <w:b/>
                      <w:color w:val="auto"/>
                      <w:szCs w:val="21"/>
                      <w:u w:val="none"/>
                    </w:rPr>
                    <w:t>设施名称</w:t>
                  </w:r>
                </w:p>
              </w:tc>
              <w:tc>
                <w:tcPr>
                  <w:tcW w:w="590" w:type="pct"/>
                  <w:vAlign w:val="center"/>
                </w:tcPr>
                <w:p w14:paraId="771C57B2">
                  <w:pPr>
                    <w:wordWrap w:val="0"/>
                    <w:topLinePunct/>
                    <w:adjustRightInd w:val="0"/>
                    <w:snapToGrid w:val="0"/>
                    <w:ind w:left="-105" w:leftChars="-50" w:right="-105" w:rightChars="-50"/>
                    <w:jc w:val="center"/>
                    <w:rPr>
                      <w:b/>
                      <w:color w:val="auto"/>
                      <w:szCs w:val="21"/>
                      <w:u w:val="none"/>
                    </w:rPr>
                  </w:pPr>
                  <w:r>
                    <w:rPr>
                      <w:b/>
                      <w:color w:val="auto"/>
                      <w:szCs w:val="21"/>
                      <w:u w:val="none"/>
                    </w:rPr>
                    <w:t>污染治理</w:t>
                  </w:r>
                </w:p>
                <w:p w14:paraId="239299FD">
                  <w:pPr>
                    <w:wordWrap w:val="0"/>
                    <w:topLinePunct/>
                    <w:adjustRightInd w:val="0"/>
                    <w:snapToGrid w:val="0"/>
                    <w:ind w:left="-105" w:leftChars="-50" w:right="-105" w:rightChars="-50"/>
                    <w:jc w:val="center"/>
                    <w:rPr>
                      <w:b/>
                      <w:color w:val="auto"/>
                      <w:szCs w:val="21"/>
                      <w:u w:val="none"/>
                    </w:rPr>
                  </w:pPr>
                  <w:r>
                    <w:rPr>
                      <w:b/>
                      <w:color w:val="auto"/>
                      <w:szCs w:val="21"/>
                      <w:u w:val="none"/>
                    </w:rPr>
                    <w:t>设施工艺</w:t>
                  </w:r>
                </w:p>
              </w:tc>
              <w:tc>
                <w:tcPr>
                  <w:tcW w:w="466" w:type="pct"/>
                  <w:vMerge w:val="continue"/>
                  <w:vAlign w:val="center"/>
                </w:tcPr>
                <w:p w14:paraId="7EC57751">
                  <w:pPr>
                    <w:wordWrap w:val="0"/>
                    <w:topLinePunct/>
                    <w:adjustRightInd w:val="0"/>
                    <w:snapToGrid w:val="0"/>
                    <w:ind w:left="-105" w:leftChars="-50" w:right="-105" w:rightChars="-50"/>
                    <w:jc w:val="center"/>
                    <w:rPr>
                      <w:color w:val="auto"/>
                      <w:szCs w:val="21"/>
                      <w:u w:val="none"/>
                    </w:rPr>
                  </w:pPr>
                </w:p>
              </w:tc>
              <w:tc>
                <w:tcPr>
                  <w:tcW w:w="399" w:type="pct"/>
                  <w:vMerge w:val="continue"/>
                  <w:vAlign w:val="center"/>
                </w:tcPr>
                <w:p w14:paraId="1688FD95">
                  <w:pPr>
                    <w:wordWrap w:val="0"/>
                    <w:topLinePunct/>
                    <w:adjustRightInd w:val="0"/>
                    <w:snapToGrid w:val="0"/>
                    <w:ind w:left="-105" w:leftChars="-50" w:right="-105" w:rightChars="-50"/>
                    <w:jc w:val="center"/>
                    <w:rPr>
                      <w:color w:val="auto"/>
                      <w:szCs w:val="21"/>
                      <w:u w:val="none"/>
                    </w:rPr>
                  </w:pPr>
                </w:p>
              </w:tc>
              <w:tc>
                <w:tcPr>
                  <w:tcW w:w="287" w:type="pct"/>
                  <w:vMerge w:val="continue"/>
                  <w:vAlign w:val="center"/>
                </w:tcPr>
                <w:p w14:paraId="2C8151E8">
                  <w:pPr>
                    <w:wordWrap w:val="0"/>
                    <w:topLinePunct/>
                    <w:adjustRightInd w:val="0"/>
                    <w:snapToGrid w:val="0"/>
                    <w:ind w:left="-105" w:leftChars="-50" w:right="-105" w:rightChars="-50"/>
                    <w:jc w:val="center"/>
                    <w:rPr>
                      <w:color w:val="auto"/>
                      <w:szCs w:val="21"/>
                      <w:u w:val="none"/>
                    </w:rPr>
                  </w:pPr>
                </w:p>
              </w:tc>
            </w:tr>
            <w:tr w14:paraId="46FF02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23" w:hRule="atLeast"/>
                <w:jc w:val="center"/>
              </w:trPr>
              <w:tc>
                <w:tcPr>
                  <w:tcW w:w="338" w:type="pct"/>
                  <w:vAlign w:val="center"/>
                </w:tcPr>
                <w:p w14:paraId="26B32DB5">
                  <w:pPr>
                    <w:wordWrap w:val="0"/>
                    <w:topLinePunct/>
                    <w:adjustRightInd w:val="0"/>
                    <w:snapToGrid w:val="0"/>
                    <w:ind w:left="-105" w:leftChars="-50" w:right="-105" w:rightChars="-50"/>
                    <w:jc w:val="center"/>
                    <w:rPr>
                      <w:color w:val="auto"/>
                      <w:kern w:val="0"/>
                      <w:szCs w:val="21"/>
                      <w:u w:val="none"/>
                    </w:rPr>
                  </w:pPr>
                  <w:r>
                    <w:rPr>
                      <w:color w:val="auto"/>
                      <w:kern w:val="0"/>
                      <w:szCs w:val="21"/>
                      <w:u w:val="none"/>
                    </w:rPr>
                    <w:t>生活</w:t>
                  </w:r>
                </w:p>
                <w:p w14:paraId="2CFEC776">
                  <w:pPr>
                    <w:wordWrap w:val="0"/>
                    <w:topLinePunct/>
                    <w:adjustRightInd w:val="0"/>
                    <w:snapToGrid w:val="0"/>
                    <w:ind w:left="-105" w:leftChars="-50" w:right="-105" w:rightChars="-50"/>
                    <w:jc w:val="center"/>
                    <w:rPr>
                      <w:color w:val="auto"/>
                      <w:szCs w:val="21"/>
                      <w:u w:val="none"/>
                    </w:rPr>
                  </w:pPr>
                  <w:r>
                    <w:rPr>
                      <w:color w:val="auto"/>
                      <w:kern w:val="0"/>
                      <w:szCs w:val="21"/>
                      <w:u w:val="none"/>
                    </w:rPr>
                    <w:t>污水</w:t>
                  </w:r>
                </w:p>
              </w:tc>
              <w:tc>
                <w:tcPr>
                  <w:tcW w:w="485" w:type="pct"/>
                  <w:vAlign w:val="center"/>
                </w:tcPr>
                <w:p w14:paraId="218651C9">
                  <w:pPr>
                    <w:wordWrap w:val="0"/>
                    <w:topLinePunct/>
                    <w:adjustRightInd w:val="0"/>
                    <w:snapToGrid w:val="0"/>
                    <w:ind w:left="-105" w:leftChars="-50" w:right="-63" w:rightChars="-30"/>
                    <w:jc w:val="center"/>
                    <w:rPr>
                      <w:color w:val="auto"/>
                      <w:szCs w:val="21"/>
                      <w:u w:val="none"/>
                    </w:rPr>
                  </w:pPr>
                  <w:r>
                    <w:rPr>
                      <w:color w:val="auto"/>
                      <w:szCs w:val="21"/>
                      <w:u w:val="none"/>
                    </w:rPr>
                    <w:t>COD</w:t>
                  </w:r>
                  <w:r>
                    <w:rPr>
                      <w:color w:val="auto"/>
                      <w:szCs w:val="21"/>
                      <w:u w:val="none"/>
                      <w:vertAlign w:val="subscript"/>
                    </w:rPr>
                    <w:t>cr、</w:t>
                  </w:r>
                  <w:r>
                    <w:rPr>
                      <w:color w:val="auto"/>
                      <w:szCs w:val="21"/>
                      <w:u w:val="none"/>
                    </w:rPr>
                    <w:t>BOD</w:t>
                  </w:r>
                  <w:r>
                    <w:rPr>
                      <w:color w:val="auto"/>
                      <w:szCs w:val="21"/>
                      <w:u w:val="none"/>
                      <w:vertAlign w:val="subscript"/>
                    </w:rPr>
                    <w:t>5、</w:t>
                  </w:r>
                  <w:r>
                    <w:rPr>
                      <w:color w:val="auto"/>
                      <w:szCs w:val="21"/>
                      <w:u w:val="none"/>
                    </w:rPr>
                    <w:t>氨氮、SS、动植物油、PH</w:t>
                  </w:r>
                </w:p>
              </w:tc>
              <w:tc>
                <w:tcPr>
                  <w:tcW w:w="449" w:type="pct"/>
                  <w:vAlign w:val="center"/>
                </w:tcPr>
                <w:p w14:paraId="7FD18230">
                  <w:pPr>
                    <w:wordWrap w:val="0"/>
                    <w:topLinePunct/>
                    <w:adjustRightInd w:val="0"/>
                    <w:snapToGrid w:val="0"/>
                    <w:ind w:left="-105" w:leftChars="-50" w:right="-105" w:rightChars="-50"/>
                    <w:jc w:val="center"/>
                    <w:rPr>
                      <w:rFonts w:hint="default" w:eastAsia="宋体"/>
                      <w:color w:val="auto"/>
                      <w:szCs w:val="21"/>
                      <w:u w:val="none"/>
                      <w:lang w:val="en-US" w:eastAsia="zh-CN"/>
                    </w:rPr>
                  </w:pPr>
                  <w:r>
                    <w:rPr>
                      <w:color w:val="auto"/>
                      <w:szCs w:val="21"/>
                      <w:u w:val="none"/>
                    </w:rPr>
                    <w:t>间接排放，排入</w:t>
                  </w:r>
                  <w:r>
                    <w:rPr>
                      <w:rFonts w:hint="eastAsia"/>
                      <w:color w:val="auto"/>
                      <w:szCs w:val="21"/>
                      <w:u w:val="none"/>
                      <w:lang w:val="en-US" w:eastAsia="zh-CN"/>
                    </w:rPr>
                    <w:t>祁水</w:t>
                  </w:r>
                </w:p>
              </w:tc>
              <w:tc>
                <w:tcPr>
                  <w:tcW w:w="516" w:type="pct"/>
                  <w:vAlign w:val="center"/>
                </w:tcPr>
                <w:p w14:paraId="2678E5E3">
                  <w:pPr>
                    <w:wordWrap w:val="0"/>
                    <w:topLinePunct/>
                    <w:adjustRightInd w:val="0"/>
                    <w:snapToGrid w:val="0"/>
                    <w:ind w:left="-105" w:leftChars="-50" w:right="-105" w:rightChars="-50"/>
                    <w:jc w:val="center"/>
                    <w:rPr>
                      <w:color w:val="auto"/>
                      <w:szCs w:val="21"/>
                      <w:u w:val="none"/>
                    </w:rPr>
                  </w:pPr>
                  <w:r>
                    <w:rPr>
                      <w:color w:val="auto"/>
                      <w:szCs w:val="21"/>
                      <w:u w:val="none"/>
                    </w:rPr>
                    <w:t>间断排放，排放期间流量稳定</w:t>
                  </w:r>
                </w:p>
              </w:tc>
              <w:tc>
                <w:tcPr>
                  <w:tcW w:w="361" w:type="pct"/>
                  <w:vAlign w:val="center"/>
                </w:tcPr>
                <w:p w14:paraId="1B15412B">
                  <w:pPr>
                    <w:wordWrap w:val="0"/>
                    <w:topLinePunct/>
                    <w:adjustRightInd w:val="0"/>
                    <w:snapToGrid w:val="0"/>
                    <w:ind w:left="-105" w:leftChars="-50" w:right="-105" w:rightChars="-50"/>
                    <w:jc w:val="center"/>
                    <w:rPr>
                      <w:color w:val="auto"/>
                      <w:szCs w:val="21"/>
                      <w:u w:val="none"/>
                    </w:rPr>
                  </w:pPr>
                  <w:r>
                    <w:rPr>
                      <w:color w:val="auto"/>
                      <w:szCs w:val="21"/>
                      <w:u w:val="none"/>
                    </w:rPr>
                    <w:t>TW001</w:t>
                  </w:r>
                </w:p>
              </w:tc>
              <w:tc>
                <w:tcPr>
                  <w:tcW w:w="503" w:type="pct"/>
                  <w:vMerge w:val="restart"/>
                  <w:vAlign w:val="center"/>
                </w:tcPr>
                <w:p w14:paraId="07884635">
                  <w:pPr>
                    <w:wordWrap w:val="0"/>
                    <w:topLinePunct/>
                    <w:adjustRightInd w:val="0"/>
                    <w:snapToGrid w:val="0"/>
                    <w:ind w:left="-105" w:leftChars="-50" w:right="-105" w:rightChars="-50"/>
                    <w:jc w:val="center"/>
                    <w:rPr>
                      <w:color w:val="auto"/>
                      <w:szCs w:val="21"/>
                      <w:u w:val="none"/>
                    </w:rPr>
                  </w:pPr>
                  <w:r>
                    <w:rPr>
                      <w:color w:val="auto"/>
                      <w:szCs w:val="21"/>
                      <w:u w:val="none"/>
                    </w:rPr>
                    <w:t>东经</w:t>
                  </w:r>
                  <w:r>
                    <w:rPr>
                      <w:rFonts w:hint="eastAsia"/>
                      <w:color w:val="auto"/>
                      <w:szCs w:val="21"/>
                      <w:u w:val="none"/>
                    </w:rPr>
                    <w:t>111.830364</w:t>
                  </w:r>
                  <w:r>
                    <w:rPr>
                      <w:rFonts w:hint="eastAsia"/>
                      <w:color w:val="auto"/>
                      <w:szCs w:val="21"/>
                      <w:u w:val="none"/>
                      <w:lang w:eastAsia="zh-CN"/>
                    </w:rPr>
                    <w:t>，</w:t>
                  </w:r>
                  <w:r>
                    <w:rPr>
                      <w:color w:val="auto"/>
                      <w:szCs w:val="21"/>
                      <w:u w:val="none"/>
                    </w:rPr>
                    <w:t>北纬</w:t>
                  </w:r>
                  <w:r>
                    <w:rPr>
                      <w:rFonts w:hint="eastAsia"/>
                      <w:color w:val="auto"/>
                      <w:szCs w:val="21"/>
                      <w:u w:val="none"/>
                    </w:rPr>
                    <w:t>26.616837</w:t>
                  </w:r>
                </w:p>
              </w:tc>
              <w:tc>
                <w:tcPr>
                  <w:tcW w:w="600" w:type="pct"/>
                  <w:vAlign w:val="center"/>
                </w:tcPr>
                <w:p w14:paraId="1615E2AC">
                  <w:pPr>
                    <w:wordWrap w:val="0"/>
                    <w:topLinePunct/>
                    <w:adjustRightInd w:val="0"/>
                    <w:snapToGrid w:val="0"/>
                    <w:ind w:left="-105" w:leftChars="-50" w:right="-105" w:rightChars="-50"/>
                    <w:jc w:val="center"/>
                    <w:rPr>
                      <w:color w:val="auto"/>
                      <w:kern w:val="0"/>
                      <w:szCs w:val="21"/>
                      <w:u w:val="none"/>
                    </w:rPr>
                  </w:pPr>
                  <w:r>
                    <w:rPr>
                      <w:rFonts w:hint="eastAsia"/>
                      <w:color w:val="auto"/>
                      <w:kern w:val="0"/>
                      <w:szCs w:val="21"/>
                      <w:u w:val="none"/>
                      <w:lang w:val="en-US" w:eastAsia="zh-CN"/>
                    </w:rPr>
                    <w:t>隔油池+</w:t>
                  </w:r>
                  <w:r>
                    <w:rPr>
                      <w:color w:val="auto"/>
                      <w:kern w:val="0"/>
                      <w:szCs w:val="21"/>
                      <w:u w:val="none"/>
                    </w:rPr>
                    <w:t>化粪池</w:t>
                  </w:r>
                </w:p>
              </w:tc>
              <w:tc>
                <w:tcPr>
                  <w:tcW w:w="590" w:type="pct"/>
                  <w:vAlign w:val="center"/>
                </w:tcPr>
                <w:p w14:paraId="33C7113D">
                  <w:pPr>
                    <w:wordWrap w:val="0"/>
                    <w:topLinePunct/>
                    <w:adjustRightInd w:val="0"/>
                    <w:snapToGrid w:val="0"/>
                    <w:ind w:left="-105" w:leftChars="-50" w:right="-105" w:rightChars="-50"/>
                    <w:jc w:val="center"/>
                    <w:rPr>
                      <w:color w:val="auto"/>
                      <w:szCs w:val="21"/>
                      <w:u w:val="none"/>
                    </w:rPr>
                  </w:pPr>
                  <w:r>
                    <w:rPr>
                      <w:color w:val="auto"/>
                      <w:szCs w:val="21"/>
                      <w:u w:val="none"/>
                    </w:rPr>
                    <w:t>厌氧处理</w:t>
                  </w:r>
                </w:p>
              </w:tc>
              <w:tc>
                <w:tcPr>
                  <w:tcW w:w="466" w:type="pct"/>
                  <w:vAlign w:val="center"/>
                </w:tcPr>
                <w:p w14:paraId="1C041607">
                  <w:pPr>
                    <w:wordWrap w:val="0"/>
                    <w:topLinePunct/>
                    <w:adjustRightInd w:val="0"/>
                    <w:snapToGrid w:val="0"/>
                    <w:ind w:left="-105" w:leftChars="-50" w:right="-105" w:rightChars="-50"/>
                    <w:jc w:val="center"/>
                    <w:rPr>
                      <w:color w:val="auto"/>
                      <w:szCs w:val="21"/>
                      <w:u w:val="none"/>
                    </w:rPr>
                  </w:pPr>
                  <w:r>
                    <w:rPr>
                      <w:color w:val="auto"/>
                      <w:szCs w:val="21"/>
                      <w:u w:val="none"/>
                    </w:rPr>
                    <w:t>DW001</w:t>
                  </w:r>
                </w:p>
              </w:tc>
              <w:tc>
                <w:tcPr>
                  <w:tcW w:w="399" w:type="pct"/>
                  <w:vAlign w:val="center"/>
                </w:tcPr>
                <w:p w14:paraId="0B34C755">
                  <w:pPr>
                    <w:wordWrap w:val="0"/>
                    <w:topLinePunct/>
                    <w:adjustRightInd w:val="0"/>
                    <w:snapToGrid w:val="0"/>
                    <w:ind w:left="-105" w:leftChars="-50" w:right="-105" w:rightChars="-50"/>
                    <w:jc w:val="center"/>
                    <w:rPr>
                      <w:color w:val="auto"/>
                      <w:szCs w:val="21"/>
                      <w:u w:val="none"/>
                    </w:rPr>
                  </w:pPr>
                  <w:r>
                    <w:rPr>
                      <w:color w:val="auto"/>
                      <w:szCs w:val="21"/>
                      <w:u w:val="none"/>
                    </w:rPr>
                    <w:t>是</w:t>
                  </w:r>
                </w:p>
              </w:tc>
              <w:tc>
                <w:tcPr>
                  <w:tcW w:w="287" w:type="pct"/>
                  <w:vAlign w:val="center"/>
                </w:tcPr>
                <w:p w14:paraId="1531832E">
                  <w:pPr>
                    <w:wordWrap w:val="0"/>
                    <w:topLinePunct/>
                    <w:adjustRightInd w:val="0"/>
                    <w:snapToGrid w:val="0"/>
                    <w:ind w:left="-105" w:leftChars="-50" w:right="-105" w:rightChars="-50"/>
                    <w:jc w:val="center"/>
                    <w:rPr>
                      <w:color w:val="auto"/>
                      <w:szCs w:val="21"/>
                      <w:u w:val="none"/>
                    </w:rPr>
                  </w:pPr>
                  <w:r>
                    <w:rPr>
                      <w:color w:val="auto"/>
                      <w:szCs w:val="21"/>
                      <w:u w:val="none"/>
                    </w:rPr>
                    <w:t>一般排放</w:t>
                  </w:r>
                </w:p>
              </w:tc>
            </w:tr>
            <w:tr w14:paraId="1C6C8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338" w:type="pct"/>
                  <w:vAlign w:val="center"/>
                </w:tcPr>
                <w:p w14:paraId="106CB3D3">
                  <w:pPr>
                    <w:wordWrap w:val="0"/>
                    <w:topLinePunct/>
                    <w:adjustRightInd w:val="0"/>
                    <w:snapToGrid w:val="0"/>
                    <w:ind w:left="-105" w:leftChars="-50" w:right="-105" w:rightChars="-50"/>
                    <w:jc w:val="center"/>
                    <w:rPr>
                      <w:rFonts w:hint="eastAsia" w:eastAsia="宋体"/>
                      <w:color w:val="auto"/>
                      <w:kern w:val="0"/>
                      <w:szCs w:val="21"/>
                      <w:u w:val="none"/>
                      <w:lang w:eastAsia="zh-CN"/>
                    </w:rPr>
                  </w:pPr>
                  <w:r>
                    <w:rPr>
                      <w:rFonts w:hint="eastAsia"/>
                      <w:color w:val="auto"/>
                      <w:kern w:val="0"/>
                      <w:szCs w:val="21"/>
                      <w:u w:val="none"/>
                      <w:lang w:eastAsia="zh-CN"/>
                    </w:rPr>
                    <w:t>公共卫生间废水</w:t>
                  </w:r>
                </w:p>
              </w:tc>
              <w:tc>
                <w:tcPr>
                  <w:tcW w:w="485" w:type="pct"/>
                  <w:vAlign w:val="center"/>
                </w:tcPr>
                <w:p w14:paraId="275F85B6">
                  <w:pPr>
                    <w:wordWrap w:val="0"/>
                    <w:topLinePunct/>
                    <w:adjustRightInd w:val="0"/>
                    <w:snapToGrid w:val="0"/>
                    <w:ind w:left="-105" w:leftChars="-50" w:right="-63" w:rightChars="-30"/>
                    <w:jc w:val="center"/>
                    <w:rPr>
                      <w:color w:val="auto"/>
                      <w:szCs w:val="21"/>
                      <w:u w:val="none"/>
                    </w:rPr>
                  </w:pPr>
                  <w:r>
                    <w:rPr>
                      <w:color w:val="auto"/>
                      <w:szCs w:val="21"/>
                      <w:u w:val="none"/>
                    </w:rPr>
                    <w:t>COD</w:t>
                  </w:r>
                  <w:r>
                    <w:rPr>
                      <w:color w:val="auto"/>
                      <w:szCs w:val="21"/>
                      <w:u w:val="none"/>
                      <w:vertAlign w:val="subscript"/>
                    </w:rPr>
                    <w:t>cr、</w:t>
                  </w:r>
                  <w:r>
                    <w:rPr>
                      <w:color w:val="auto"/>
                      <w:szCs w:val="21"/>
                      <w:u w:val="none"/>
                    </w:rPr>
                    <w:t>BOD</w:t>
                  </w:r>
                  <w:r>
                    <w:rPr>
                      <w:color w:val="auto"/>
                      <w:szCs w:val="21"/>
                      <w:u w:val="none"/>
                      <w:vertAlign w:val="subscript"/>
                    </w:rPr>
                    <w:t>5、</w:t>
                  </w:r>
                  <w:r>
                    <w:rPr>
                      <w:color w:val="auto"/>
                      <w:szCs w:val="21"/>
                      <w:u w:val="none"/>
                    </w:rPr>
                    <w:t>氨氮、SS、PH</w:t>
                  </w:r>
                </w:p>
              </w:tc>
              <w:tc>
                <w:tcPr>
                  <w:tcW w:w="449" w:type="pct"/>
                  <w:vAlign w:val="center"/>
                </w:tcPr>
                <w:p w14:paraId="069FE7F1">
                  <w:pPr>
                    <w:wordWrap w:val="0"/>
                    <w:topLinePunct/>
                    <w:adjustRightInd w:val="0"/>
                    <w:snapToGrid w:val="0"/>
                    <w:ind w:left="-105" w:leftChars="-50" w:right="-105" w:rightChars="-50"/>
                    <w:jc w:val="center"/>
                    <w:rPr>
                      <w:rFonts w:hint="eastAsia" w:eastAsia="宋体"/>
                      <w:color w:val="auto"/>
                      <w:szCs w:val="21"/>
                      <w:u w:val="none"/>
                      <w:lang w:eastAsia="zh-CN"/>
                    </w:rPr>
                  </w:pPr>
                  <w:r>
                    <w:rPr>
                      <w:color w:val="auto"/>
                      <w:szCs w:val="21"/>
                      <w:u w:val="none"/>
                    </w:rPr>
                    <w:t>间接排放，排入</w:t>
                  </w:r>
                  <w:r>
                    <w:rPr>
                      <w:rFonts w:hint="eastAsia"/>
                      <w:color w:val="auto"/>
                      <w:szCs w:val="21"/>
                      <w:u w:val="none"/>
                      <w:lang w:eastAsia="zh-CN"/>
                    </w:rPr>
                    <w:t>祁水</w:t>
                  </w:r>
                </w:p>
              </w:tc>
              <w:tc>
                <w:tcPr>
                  <w:tcW w:w="516" w:type="pct"/>
                  <w:vAlign w:val="center"/>
                </w:tcPr>
                <w:p w14:paraId="3BE61CB1">
                  <w:pPr>
                    <w:wordWrap w:val="0"/>
                    <w:topLinePunct/>
                    <w:adjustRightInd w:val="0"/>
                    <w:snapToGrid w:val="0"/>
                    <w:ind w:left="-105" w:leftChars="-50" w:right="-105" w:rightChars="-50"/>
                    <w:jc w:val="center"/>
                    <w:rPr>
                      <w:color w:val="auto"/>
                      <w:szCs w:val="21"/>
                      <w:u w:val="none"/>
                    </w:rPr>
                  </w:pPr>
                  <w:r>
                    <w:rPr>
                      <w:color w:val="auto"/>
                      <w:szCs w:val="21"/>
                      <w:u w:val="none"/>
                    </w:rPr>
                    <w:t>间断排放，排放期间流量稳定</w:t>
                  </w:r>
                </w:p>
              </w:tc>
              <w:tc>
                <w:tcPr>
                  <w:tcW w:w="361" w:type="pct"/>
                  <w:vAlign w:val="center"/>
                </w:tcPr>
                <w:p w14:paraId="6C5FA61E">
                  <w:pPr>
                    <w:wordWrap w:val="0"/>
                    <w:topLinePunct/>
                    <w:adjustRightInd w:val="0"/>
                    <w:snapToGrid w:val="0"/>
                    <w:ind w:left="-105" w:leftChars="-50" w:right="-105" w:rightChars="-50"/>
                    <w:jc w:val="center"/>
                    <w:rPr>
                      <w:color w:val="auto"/>
                      <w:szCs w:val="21"/>
                      <w:u w:val="none"/>
                    </w:rPr>
                  </w:pPr>
                  <w:r>
                    <w:rPr>
                      <w:color w:val="auto"/>
                      <w:szCs w:val="21"/>
                      <w:u w:val="none"/>
                    </w:rPr>
                    <w:t>TW001</w:t>
                  </w:r>
                </w:p>
              </w:tc>
              <w:tc>
                <w:tcPr>
                  <w:tcW w:w="503" w:type="pct"/>
                  <w:vMerge w:val="continue"/>
                  <w:vAlign w:val="center"/>
                </w:tcPr>
                <w:p w14:paraId="5CC2154B">
                  <w:pPr>
                    <w:wordWrap w:val="0"/>
                    <w:topLinePunct/>
                    <w:adjustRightInd w:val="0"/>
                    <w:snapToGrid w:val="0"/>
                    <w:ind w:left="-105" w:leftChars="-50" w:right="-105" w:rightChars="-50"/>
                    <w:jc w:val="center"/>
                    <w:rPr>
                      <w:color w:val="auto"/>
                      <w:szCs w:val="21"/>
                      <w:u w:val="none"/>
                    </w:rPr>
                  </w:pPr>
                </w:p>
              </w:tc>
              <w:tc>
                <w:tcPr>
                  <w:tcW w:w="600" w:type="pct"/>
                  <w:vAlign w:val="center"/>
                </w:tcPr>
                <w:p w14:paraId="75D7F74B">
                  <w:pPr>
                    <w:wordWrap w:val="0"/>
                    <w:topLinePunct/>
                    <w:adjustRightInd w:val="0"/>
                    <w:snapToGrid w:val="0"/>
                    <w:ind w:left="-105" w:leftChars="-50" w:right="-105" w:rightChars="-50"/>
                    <w:jc w:val="center"/>
                    <w:rPr>
                      <w:color w:val="auto"/>
                      <w:kern w:val="0"/>
                      <w:szCs w:val="21"/>
                      <w:u w:val="none"/>
                    </w:rPr>
                  </w:pPr>
                  <w:r>
                    <w:rPr>
                      <w:color w:val="auto"/>
                      <w:kern w:val="0"/>
                      <w:szCs w:val="21"/>
                      <w:u w:val="none"/>
                    </w:rPr>
                    <w:t>化粪池</w:t>
                  </w:r>
                </w:p>
              </w:tc>
              <w:tc>
                <w:tcPr>
                  <w:tcW w:w="590" w:type="pct"/>
                  <w:vAlign w:val="center"/>
                </w:tcPr>
                <w:p w14:paraId="244A2580">
                  <w:pPr>
                    <w:wordWrap w:val="0"/>
                    <w:topLinePunct/>
                    <w:adjustRightInd w:val="0"/>
                    <w:snapToGrid w:val="0"/>
                    <w:ind w:left="-105" w:leftChars="-50" w:right="-105" w:rightChars="-50"/>
                    <w:jc w:val="center"/>
                    <w:rPr>
                      <w:color w:val="auto"/>
                      <w:szCs w:val="21"/>
                      <w:u w:val="none"/>
                    </w:rPr>
                  </w:pPr>
                  <w:r>
                    <w:rPr>
                      <w:color w:val="auto"/>
                      <w:szCs w:val="21"/>
                      <w:u w:val="none"/>
                    </w:rPr>
                    <w:t>厌氧处理</w:t>
                  </w:r>
                </w:p>
              </w:tc>
              <w:tc>
                <w:tcPr>
                  <w:tcW w:w="466" w:type="pct"/>
                  <w:vAlign w:val="center"/>
                </w:tcPr>
                <w:p w14:paraId="70DBC7D3">
                  <w:pPr>
                    <w:wordWrap w:val="0"/>
                    <w:topLinePunct/>
                    <w:adjustRightInd w:val="0"/>
                    <w:snapToGrid w:val="0"/>
                    <w:ind w:left="-105" w:leftChars="-50" w:right="-105" w:rightChars="-50"/>
                    <w:jc w:val="center"/>
                    <w:rPr>
                      <w:color w:val="auto"/>
                      <w:szCs w:val="21"/>
                      <w:u w:val="none"/>
                    </w:rPr>
                  </w:pPr>
                  <w:r>
                    <w:rPr>
                      <w:color w:val="auto"/>
                      <w:szCs w:val="21"/>
                      <w:u w:val="none"/>
                    </w:rPr>
                    <w:t>DW001</w:t>
                  </w:r>
                </w:p>
              </w:tc>
              <w:tc>
                <w:tcPr>
                  <w:tcW w:w="399" w:type="pct"/>
                  <w:vAlign w:val="center"/>
                </w:tcPr>
                <w:p w14:paraId="04343CD0">
                  <w:pPr>
                    <w:wordWrap w:val="0"/>
                    <w:topLinePunct/>
                    <w:adjustRightInd w:val="0"/>
                    <w:snapToGrid w:val="0"/>
                    <w:ind w:left="-105" w:leftChars="-50" w:right="-105" w:rightChars="-50"/>
                    <w:jc w:val="center"/>
                    <w:rPr>
                      <w:color w:val="auto"/>
                      <w:szCs w:val="21"/>
                      <w:u w:val="none"/>
                    </w:rPr>
                  </w:pPr>
                  <w:r>
                    <w:rPr>
                      <w:color w:val="auto"/>
                      <w:szCs w:val="21"/>
                      <w:u w:val="none"/>
                    </w:rPr>
                    <w:t>是</w:t>
                  </w:r>
                </w:p>
              </w:tc>
              <w:tc>
                <w:tcPr>
                  <w:tcW w:w="287" w:type="pct"/>
                  <w:vAlign w:val="center"/>
                </w:tcPr>
                <w:p w14:paraId="7B318605">
                  <w:pPr>
                    <w:wordWrap w:val="0"/>
                    <w:topLinePunct/>
                    <w:adjustRightInd w:val="0"/>
                    <w:snapToGrid w:val="0"/>
                    <w:ind w:left="-105" w:leftChars="-50" w:right="-105" w:rightChars="-50"/>
                    <w:jc w:val="center"/>
                    <w:rPr>
                      <w:color w:val="auto"/>
                      <w:szCs w:val="21"/>
                      <w:u w:val="none"/>
                    </w:rPr>
                  </w:pPr>
                  <w:r>
                    <w:rPr>
                      <w:color w:val="auto"/>
                      <w:szCs w:val="21"/>
                      <w:u w:val="none"/>
                    </w:rPr>
                    <w:t>一般排放</w:t>
                  </w:r>
                </w:p>
              </w:tc>
            </w:tr>
            <w:tr w14:paraId="2246B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338" w:type="pct"/>
                  <w:vAlign w:val="center"/>
                </w:tcPr>
                <w:p w14:paraId="482BDA2B">
                  <w:pPr>
                    <w:wordWrap w:val="0"/>
                    <w:topLinePunct/>
                    <w:adjustRightInd w:val="0"/>
                    <w:snapToGrid w:val="0"/>
                    <w:ind w:left="-105" w:leftChars="-50" w:right="-105" w:rightChars="-50"/>
                    <w:jc w:val="center"/>
                    <w:rPr>
                      <w:rFonts w:hint="eastAsia" w:eastAsia="宋体"/>
                      <w:color w:val="auto"/>
                      <w:kern w:val="0"/>
                      <w:szCs w:val="21"/>
                      <w:u w:val="none"/>
                      <w:lang w:eastAsia="zh-CN"/>
                    </w:rPr>
                  </w:pPr>
                  <w:r>
                    <w:rPr>
                      <w:rFonts w:hint="eastAsia"/>
                      <w:color w:val="auto"/>
                      <w:kern w:val="21"/>
                      <w:szCs w:val="21"/>
                      <w:u w:val="none"/>
                      <w:lang w:eastAsia="zh-CN"/>
                    </w:rPr>
                    <w:t>地面清洁废水</w:t>
                  </w:r>
                </w:p>
              </w:tc>
              <w:tc>
                <w:tcPr>
                  <w:tcW w:w="485" w:type="pct"/>
                  <w:vAlign w:val="center"/>
                </w:tcPr>
                <w:p w14:paraId="7F82BC15">
                  <w:pPr>
                    <w:wordWrap w:val="0"/>
                    <w:topLinePunct/>
                    <w:adjustRightInd w:val="0"/>
                    <w:snapToGrid w:val="0"/>
                    <w:ind w:left="-105" w:leftChars="-50" w:right="-63" w:rightChars="-30"/>
                    <w:jc w:val="center"/>
                    <w:rPr>
                      <w:color w:val="auto"/>
                      <w:szCs w:val="21"/>
                      <w:u w:val="none"/>
                    </w:rPr>
                  </w:pPr>
                  <w:r>
                    <w:rPr>
                      <w:color w:val="auto"/>
                      <w:szCs w:val="21"/>
                      <w:u w:val="none"/>
                    </w:rPr>
                    <w:t>SS、石油类、PH</w:t>
                  </w:r>
                </w:p>
              </w:tc>
              <w:tc>
                <w:tcPr>
                  <w:tcW w:w="449" w:type="pct"/>
                  <w:vAlign w:val="center"/>
                </w:tcPr>
                <w:p w14:paraId="3400E548">
                  <w:pPr>
                    <w:wordWrap w:val="0"/>
                    <w:topLinePunct/>
                    <w:adjustRightInd w:val="0"/>
                    <w:snapToGrid w:val="0"/>
                    <w:ind w:left="-105" w:leftChars="-50" w:right="-105" w:rightChars="-50"/>
                    <w:jc w:val="center"/>
                    <w:rPr>
                      <w:rFonts w:hint="eastAsia" w:eastAsia="宋体"/>
                      <w:color w:val="auto"/>
                      <w:szCs w:val="21"/>
                      <w:u w:val="none"/>
                      <w:lang w:eastAsia="zh-CN"/>
                    </w:rPr>
                  </w:pPr>
                  <w:r>
                    <w:rPr>
                      <w:color w:val="auto"/>
                      <w:szCs w:val="21"/>
                      <w:u w:val="none"/>
                    </w:rPr>
                    <w:t>间接排放，排入</w:t>
                  </w:r>
                  <w:r>
                    <w:rPr>
                      <w:rFonts w:hint="eastAsia"/>
                      <w:color w:val="auto"/>
                      <w:szCs w:val="21"/>
                      <w:u w:val="none"/>
                      <w:lang w:eastAsia="zh-CN"/>
                    </w:rPr>
                    <w:t>祁水</w:t>
                  </w:r>
                </w:p>
              </w:tc>
              <w:tc>
                <w:tcPr>
                  <w:tcW w:w="516" w:type="pct"/>
                  <w:vAlign w:val="center"/>
                </w:tcPr>
                <w:p w14:paraId="29CFF2CC">
                  <w:pPr>
                    <w:wordWrap w:val="0"/>
                    <w:topLinePunct/>
                    <w:adjustRightInd w:val="0"/>
                    <w:snapToGrid w:val="0"/>
                    <w:ind w:left="-105" w:leftChars="-50" w:right="-105" w:rightChars="-50"/>
                    <w:jc w:val="center"/>
                    <w:rPr>
                      <w:color w:val="auto"/>
                      <w:szCs w:val="21"/>
                      <w:u w:val="none"/>
                    </w:rPr>
                  </w:pPr>
                  <w:r>
                    <w:rPr>
                      <w:color w:val="auto"/>
                      <w:szCs w:val="21"/>
                      <w:u w:val="none"/>
                    </w:rPr>
                    <w:t>间断排放，排放期间流量稳定</w:t>
                  </w:r>
                </w:p>
              </w:tc>
              <w:tc>
                <w:tcPr>
                  <w:tcW w:w="361" w:type="pct"/>
                  <w:vAlign w:val="center"/>
                </w:tcPr>
                <w:p w14:paraId="613450DC">
                  <w:pPr>
                    <w:wordWrap w:val="0"/>
                    <w:topLinePunct/>
                    <w:adjustRightInd w:val="0"/>
                    <w:snapToGrid w:val="0"/>
                    <w:ind w:left="-105" w:leftChars="-50" w:right="-105" w:rightChars="-50"/>
                    <w:jc w:val="center"/>
                    <w:rPr>
                      <w:color w:val="auto"/>
                      <w:szCs w:val="21"/>
                      <w:u w:val="none"/>
                    </w:rPr>
                  </w:pPr>
                  <w:r>
                    <w:rPr>
                      <w:color w:val="auto"/>
                      <w:szCs w:val="21"/>
                      <w:u w:val="none"/>
                    </w:rPr>
                    <w:t>TW002</w:t>
                  </w:r>
                </w:p>
              </w:tc>
              <w:tc>
                <w:tcPr>
                  <w:tcW w:w="503" w:type="pct"/>
                  <w:vMerge w:val="continue"/>
                  <w:vAlign w:val="center"/>
                </w:tcPr>
                <w:p w14:paraId="7B518EEC">
                  <w:pPr>
                    <w:wordWrap w:val="0"/>
                    <w:topLinePunct/>
                    <w:adjustRightInd w:val="0"/>
                    <w:snapToGrid w:val="0"/>
                    <w:ind w:left="-105" w:leftChars="-50" w:right="-105" w:rightChars="-50"/>
                    <w:jc w:val="center"/>
                    <w:rPr>
                      <w:color w:val="auto"/>
                      <w:szCs w:val="21"/>
                      <w:u w:val="none"/>
                    </w:rPr>
                  </w:pPr>
                </w:p>
              </w:tc>
              <w:tc>
                <w:tcPr>
                  <w:tcW w:w="600" w:type="pct"/>
                  <w:vAlign w:val="center"/>
                </w:tcPr>
                <w:p w14:paraId="5F9F357E">
                  <w:pPr>
                    <w:wordWrap w:val="0"/>
                    <w:topLinePunct/>
                    <w:adjustRightInd w:val="0"/>
                    <w:snapToGrid w:val="0"/>
                    <w:ind w:left="-105" w:leftChars="-50" w:right="-105" w:rightChars="-50"/>
                    <w:jc w:val="center"/>
                    <w:rPr>
                      <w:color w:val="auto"/>
                      <w:kern w:val="0"/>
                      <w:szCs w:val="21"/>
                      <w:u w:val="none"/>
                    </w:rPr>
                  </w:pPr>
                  <w:r>
                    <w:rPr>
                      <w:color w:val="auto"/>
                      <w:kern w:val="0"/>
                      <w:szCs w:val="21"/>
                      <w:u w:val="none"/>
                    </w:rPr>
                    <w:t>隔油沉淀池</w:t>
                  </w:r>
                </w:p>
              </w:tc>
              <w:tc>
                <w:tcPr>
                  <w:tcW w:w="590" w:type="pct"/>
                  <w:vAlign w:val="center"/>
                </w:tcPr>
                <w:p w14:paraId="471F406A">
                  <w:pPr>
                    <w:wordWrap w:val="0"/>
                    <w:topLinePunct/>
                    <w:adjustRightInd w:val="0"/>
                    <w:snapToGrid w:val="0"/>
                    <w:ind w:left="-105" w:leftChars="-50" w:right="-105" w:rightChars="-50"/>
                    <w:jc w:val="center"/>
                    <w:rPr>
                      <w:color w:val="auto"/>
                      <w:szCs w:val="21"/>
                      <w:u w:val="none"/>
                    </w:rPr>
                  </w:pPr>
                  <w:r>
                    <w:rPr>
                      <w:color w:val="auto"/>
                      <w:szCs w:val="21"/>
                      <w:u w:val="none"/>
                    </w:rPr>
                    <w:t>隔油沉淀</w:t>
                  </w:r>
                </w:p>
              </w:tc>
              <w:tc>
                <w:tcPr>
                  <w:tcW w:w="466" w:type="pct"/>
                  <w:vAlign w:val="center"/>
                </w:tcPr>
                <w:p w14:paraId="3F4DD183">
                  <w:pPr>
                    <w:wordWrap w:val="0"/>
                    <w:topLinePunct/>
                    <w:adjustRightInd w:val="0"/>
                    <w:snapToGrid w:val="0"/>
                    <w:ind w:left="-105" w:leftChars="-50" w:right="-105" w:rightChars="-50"/>
                    <w:jc w:val="center"/>
                    <w:rPr>
                      <w:color w:val="auto"/>
                      <w:szCs w:val="21"/>
                      <w:u w:val="none"/>
                    </w:rPr>
                  </w:pPr>
                  <w:r>
                    <w:rPr>
                      <w:color w:val="auto"/>
                      <w:szCs w:val="21"/>
                      <w:u w:val="none"/>
                    </w:rPr>
                    <w:t>DW001</w:t>
                  </w:r>
                </w:p>
              </w:tc>
              <w:tc>
                <w:tcPr>
                  <w:tcW w:w="399" w:type="pct"/>
                  <w:vAlign w:val="center"/>
                </w:tcPr>
                <w:p w14:paraId="4CBBEAD6">
                  <w:pPr>
                    <w:wordWrap w:val="0"/>
                    <w:topLinePunct/>
                    <w:adjustRightInd w:val="0"/>
                    <w:snapToGrid w:val="0"/>
                    <w:ind w:left="-105" w:leftChars="-50" w:right="-105" w:rightChars="-50"/>
                    <w:jc w:val="center"/>
                    <w:rPr>
                      <w:color w:val="auto"/>
                      <w:szCs w:val="21"/>
                      <w:u w:val="none"/>
                    </w:rPr>
                  </w:pPr>
                  <w:r>
                    <w:rPr>
                      <w:color w:val="auto"/>
                      <w:szCs w:val="21"/>
                      <w:u w:val="none"/>
                    </w:rPr>
                    <w:t>是</w:t>
                  </w:r>
                </w:p>
              </w:tc>
              <w:tc>
                <w:tcPr>
                  <w:tcW w:w="287" w:type="pct"/>
                  <w:vAlign w:val="center"/>
                </w:tcPr>
                <w:p w14:paraId="143F9109">
                  <w:pPr>
                    <w:wordWrap w:val="0"/>
                    <w:topLinePunct/>
                    <w:adjustRightInd w:val="0"/>
                    <w:snapToGrid w:val="0"/>
                    <w:ind w:left="-105" w:leftChars="-50" w:right="-105" w:rightChars="-50"/>
                    <w:jc w:val="center"/>
                    <w:rPr>
                      <w:color w:val="auto"/>
                      <w:szCs w:val="21"/>
                      <w:u w:val="none"/>
                    </w:rPr>
                  </w:pPr>
                  <w:r>
                    <w:rPr>
                      <w:color w:val="auto"/>
                      <w:szCs w:val="21"/>
                      <w:u w:val="none"/>
                    </w:rPr>
                    <w:t>一般排放</w:t>
                  </w:r>
                </w:p>
              </w:tc>
            </w:tr>
            <w:tr w14:paraId="7A9C94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338" w:type="pct"/>
                  <w:vAlign w:val="center"/>
                </w:tcPr>
                <w:p w14:paraId="6B255E1A">
                  <w:pPr>
                    <w:wordWrap w:val="0"/>
                    <w:topLinePunct/>
                    <w:adjustRightInd w:val="0"/>
                    <w:snapToGrid w:val="0"/>
                    <w:ind w:left="-105" w:leftChars="-50" w:right="-105" w:rightChars="-50"/>
                    <w:jc w:val="center"/>
                    <w:rPr>
                      <w:color w:val="auto"/>
                      <w:kern w:val="21"/>
                      <w:szCs w:val="21"/>
                      <w:u w:val="none"/>
                    </w:rPr>
                  </w:pPr>
                  <w:r>
                    <w:rPr>
                      <w:color w:val="auto"/>
                      <w:kern w:val="21"/>
                      <w:szCs w:val="21"/>
                      <w:u w:val="none"/>
                    </w:rPr>
                    <w:t>初期雨水</w:t>
                  </w:r>
                </w:p>
              </w:tc>
              <w:tc>
                <w:tcPr>
                  <w:tcW w:w="485" w:type="pct"/>
                  <w:vAlign w:val="center"/>
                </w:tcPr>
                <w:p w14:paraId="7F4308D0">
                  <w:pPr>
                    <w:wordWrap w:val="0"/>
                    <w:topLinePunct/>
                    <w:adjustRightInd w:val="0"/>
                    <w:snapToGrid w:val="0"/>
                    <w:ind w:left="-105" w:leftChars="-50" w:right="-63" w:rightChars="-30"/>
                    <w:jc w:val="center"/>
                    <w:rPr>
                      <w:color w:val="auto"/>
                      <w:szCs w:val="21"/>
                      <w:u w:val="none"/>
                    </w:rPr>
                  </w:pPr>
                  <w:r>
                    <w:rPr>
                      <w:color w:val="auto"/>
                      <w:szCs w:val="21"/>
                      <w:u w:val="none"/>
                    </w:rPr>
                    <w:t>SS、石油类、PH</w:t>
                  </w:r>
                </w:p>
              </w:tc>
              <w:tc>
                <w:tcPr>
                  <w:tcW w:w="449" w:type="pct"/>
                  <w:vAlign w:val="center"/>
                </w:tcPr>
                <w:p w14:paraId="19CC78F4">
                  <w:pPr>
                    <w:wordWrap w:val="0"/>
                    <w:topLinePunct/>
                    <w:adjustRightInd w:val="0"/>
                    <w:snapToGrid w:val="0"/>
                    <w:ind w:left="-105" w:leftChars="-50" w:right="-105" w:rightChars="-50"/>
                    <w:jc w:val="center"/>
                    <w:rPr>
                      <w:rFonts w:hint="eastAsia" w:eastAsia="宋体"/>
                      <w:color w:val="auto"/>
                      <w:szCs w:val="21"/>
                      <w:u w:val="none"/>
                      <w:lang w:eastAsia="zh-CN"/>
                    </w:rPr>
                  </w:pPr>
                  <w:r>
                    <w:rPr>
                      <w:color w:val="auto"/>
                      <w:szCs w:val="21"/>
                      <w:u w:val="none"/>
                    </w:rPr>
                    <w:t>间接排放，排入</w:t>
                  </w:r>
                  <w:r>
                    <w:rPr>
                      <w:rFonts w:hint="eastAsia"/>
                      <w:color w:val="auto"/>
                      <w:szCs w:val="21"/>
                      <w:u w:val="none"/>
                      <w:lang w:eastAsia="zh-CN"/>
                    </w:rPr>
                    <w:t>祁水</w:t>
                  </w:r>
                </w:p>
              </w:tc>
              <w:tc>
                <w:tcPr>
                  <w:tcW w:w="516" w:type="pct"/>
                  <w:vAlign w:val="center"/>
                </w:tcPr>
                <w:p w14:paraId="5EB54A63">
                  <w:pPr>
                    <w:wordWrap w:val="0"/>
                    <w:topLinePunct/>
                    <w:adjustRightInd w:val="0"/>
                    <w:snapToGrid w:val="0"/>
                    <w:ind w:left="-105" w:leftChars="-50" w:right="-105" w:rightChars="-50"/>
                    <w:jc w:val="center"/>
                    <w:rPr>
                      <w:color w:val="auto"/>
                      <w:szCs w:val="21"/>
                      <w:u w:val="none"/>
                    </w:rPr>
                  </w:pPr>
                  <w:r>
                    <w:rPr>
                      <w:color w:val="auto"/>
                      <w:szCs w:val="21"/>
                      <w:u w:val="none"/>
                    </w:rPr>
                    <w:t>间断排放，排放期间流量稳定</w:t>
                  </w:r>
                </w:p>
              </w:tc>
              <w:tc>
                <w:tcPr>
                  <w:tcW w:w="361" w:type="pct"/>
                  <w:vAlign w:val="center"/>
                </w:tcPr>
                <w:p w14:paraId="3C149B6D">
                  <w:pPr>
                    <w:wordWrap w:val="0"/>
                    <w:topLinePunct/>
                    <w:adjustRightInd w:val="0"/>
                    <w:snapToGrid w:val="0"/>
                    <w:ind w:left="-105" w:leftChars="-50" w:right="-105" w:rightChars="-50"/>
                    <w:jc w:val="center"/>
                    <w:rPr>
                      <w:color w:val="auto"/>
                      <w:szCs w:val="21"/>
                      <w:u w:val="none"/>
                    </w:rPr>
                  </w:pPr>
                  <w:r>
                    <w:rPr>
                      <w:color w:val="auto"/>
                      <w:szCs w:val="21"/>
                      <w:u w:val="none"/>
                    </w:rPr>
                    <w:t>TW002</w:t>
                  </w:r>
                </w:p>
              </w:tc>
              <w:tc>
                <w:tcPr>
                  <w:tcW w:w="503" w:type="pct"/>
                  <w:vMerge w:val="continue"/>
                  <w:vAlign w:val="center"/>
                </w:tcPr>
                <w:p w14:paraId="065736FE">
                  <w:pPr>
                    <w:wordWrap w:val="0"/>
                    <w:topLinePunct/>
                    <w:adjustRightInd w:val="0"/>
                    <w:snapToGrid w:val="0"/>
                    <w:ind w:left="-105" w:leftChars="-50" w:right="-105" w:rightChars="-50"/>
                    <w:jc w:val="center"/>
                    <w:rPr>
                      <w:color w:val="auto"/>
                      <w:szCs w:val="21"/>
                      <w:u w:val="none"/>
                    </w:rPr>
                  </w:pPr>
                </w:p>
              </w:tc>
              <w:tc>
                <w:tcPr>
                  <w:tcW w:w="600" w:type="pct"/>
                  <w:vAlign w:val="center"/>
                </w:tcPr>
                <w:p w14:paraId="72637ED8">
                  <w:pPr>
                    <w:wordWrap w:val="0"/>
                    <w:topLinePunct/>
                    <w:adjustRightInd w:val="0"/>
                    <w:snapToGrid w:val="0"/>
                    <w:ind w:left="-105" w:leftChars="-50" w:right="-105" w:rightChars="-50"/>
                    <w:jc w:val="center"/>
                    <w:rPr>
                      <w:color w:val="auto"/>
                      <w:kern w:val="0"/>
                      <w:szCs w:val="21"/>
                      <w:u w:val="none"/>
                    </w:rPr>
                  </w:pPr>
                  <w:r>
                    <w:rPr>
                      <w:color w:val="auto"/>
                      <w:kern w:val="0"/>
                      <w:szCs w:val="21"/>
                      <w:u w:val="none"/>
                    </w:rPr>
                    <w:t>隔油沉淀池</w:t>
                  </w:r>
                </w:p>
              </w:tc>
              <w:tc>
                <w:tcPr>
                  <w:tcW w:w="590" w:type="pct"/>
                  <w:vAlign w:val="center"/>
                </w:tcPr>
                <w:p w14:paraId="5065D122">
                  <w:pPr>
                    <w:wordWrap w:val="0"/>
                    <w:topLinePunct/>
                    <w:adjustRightInd w:val="0"/>
                    <w:snapToGrid w:val="0"/>
                    <w:ind w:left="-105" w:leftChars="-50" w:right="-105" w:rightChars="-50"/>
                    <w:jc w:val="center"/>
                    <w:rPr>
                      <w:color w:val="auto"/>
                      <w:szCs w:val="21"/>
                      <w:u w:val="none"/>
                    </w:rPr>
                  </w:pPr>
                  <w:r>
                    <w:rPr>
                      <w:color w:val="auto"/>
                      <w:szCs w:val="21"/>
                      <w:u w:val="none"/>
                    </w:rPr>
                    <w:t>隔油沉淀</w:t>
                  </w:r>
                </w:p>
              </w:tc>
              <w:tc>
                <w:tcPr>
                  <w:tcW w:w="466" w:type="pct"/>
                  <w:vAlign w:val="center"/>
                </w:tcPr>
                <w:p w14:paraId="34208214">
                  <w:pPr>
                    <w:wordWrap w:val="0"/>
                    <w:topLinePunct/>
                    <w:adjustRightInd w:val="0"/>
                    <w:snapToGrid w:val="0"/>
                    <w:ind w:left="-105" w:leftChars="-50" w:right="-105" w:rightChars="-50"/>
                    <w:jc w:val="center"/>
                    <w:rPr>
                      <w:color w:val="auto"/>
                      <w:szCs w:val="21"/>
                      <w:u w:val="none"/>
                    </w:rPr>
                  </w:pPr>
                  <w:r>
                    <w:rPr>
                      <w:color w:val="auto"/>
                      <w:szCs w:val="21"/>
                      <w:u w:val="none"/>
                    </w:rPr>
                    <w:t>DW001</w:t>
                  </w:r>
                </w:p>
              </w:tc>
              <w:tc>
                <w:tcPr>
                  <w:tcW w:w="399" w:type="pct"/>
                  <w:vAlign w:val="center"/>
                </w:tcPr>
                <w:p w14:paraId="1FF22DCF">
                  <w:pPr>
                    <w:wordWrap w:val="0"/>
                    <w:topLinePunct/>
                    <w:adjustRightInd w:val="0"/>
                    <w:snapToGrid w:val="0"/>
                    <w:ind w:left="-105" w:leftChars="-50" w:right="-105" w:rightChars="-50"/>
                    <w:jc w:val="center"/>
                    <w:rPr>
                      <w:color w:val="auto"/>
                      <w:szCs w:val="21"/>
                      <w:u w:val="none"/>
                    </w:rPr>
                  </w:pPr>
                  <w:r>
                    <w:rPr>
                      <w:color w:val="auto"/>
                      <w:szCs w:val="21"/>
                      <w:u w:val="none"/>
                    </w:rPr>
                    <w:t>是</w:t>
                  </w:r>
                </w:p>
              </w:tc>
              <w:tc>
                <w:tcPr>
                  <w:tcW w:w="287" w:type="pct"/>
                  <w:vAlign w:val="center"/>
                </w:tcPr>
                <w:p w14:paraId="7E1A9EC2">
                  <w:pPr>
                    <w:wordWrap w:val="0"/>
                    <w:topLinePunct/>
                    <w:adjustRightInd w:val="0"/>
                    <w:snapToGrid w:val="0"/>
                    <w:ind w:left="-105" w:leftChars="-50" w:right="-105" w:rightChars="-50"/>
                    <w:jc w:val="center"/>
                    <w:rPr>
                      <w:color w:val="auto"/>
                      <w:szCs w:val="21"/>
                      <w:u w:val="none"/>
                    </w:rPr>
                  </w:pPr>
                  <w:r>
                    <w:rPr>
                      <w:color w:val="auto"/>
                      <w:szCs w:val="21"/>
                      <w:u w:val="none"/>
                    </w:rPr>
                    <w:t>一般排放</w:t>
                  </w:r>
                </w:p>
              </w:tc>
            </w:tr>
            <w:tr w14:paraId="0A743B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338" w:type="pct"/>
                  <w:vAlign w:val="center"/>
                </w:tcPr>
                <w:p w14:paraId="093BD54E">
                  <w:pPr>
                    <w:wordWrap w:val="0"/>
                    <w:topLinePunct/>
                    <w:adjustRightInd w:val="0"/>
                    <w:snapToGrid w:val="0"/>
                    <w:ind w:left="-105" w:leftChars="-50" w:right="-105" w:rightChars="-50"/>
                    <w:jc w:val="center"/>
                    <w:rPr>
                      <w:rFonts w:hint="default" w:eastAsia="宋体"/>
                      <w:color w:val="auto"/>
                      <w:kern w:val="21"/>
                      <w:szCs w:val="21"/>
                      <w:u w:val="none"/>
                      <w:lang w:val="en-US" w:eastAsia="zh-CN"/>
                    </w:rPr>
                  </w:pPr>
                  <w:r>
                    <w:rPr>
                      <w:rFonts w:hint="eastAsia"/>
                      <w:color w:val="auto"/>
                      <w:kern w:val="21"/>
                      <w:szCs w:val="21"/>
                      <w:u w:val="none"/>
                      <w:lang w:val="en-US" w:eastAsia="zh-CN"/>
                    </w:rPr>
                    <w:t>洗车废水</w:t>
                  </w:r>
                </w:p>
              </w:tc>
              <w:tc>
                <w:tcPr>
                  <w:tcW w:w="485" w:type="pct"/>
                  <w:vAlign w:val="center"/>
                </w:tcPr>
                <w:p w14:paraId="70F67AD3">
                  <w:pPr>
                    <w:wordWrap w:val="0"/>
                    <w:topLinePunct/>
                    <w:adjustRightInd w:val="0"/>
                    <w:snapToGrid w:val="0"/>
                    <w:ind w:left="-105" w:leftChars="-50" w:right="-63" w:rightChars="-30"/>
                    <w:jc w:val="center"/>
                    <w:rPr>
                      <w:rFonts w:hint="default" w:eastAsia="宋体"/>
                      <w:color w:val="auto"/>
                      <w:szCs w:val="21"/>
                      <w:u w:val="none"/>
                      <w:lang w:val="en-US" w:eastAsia="zh-CN"/>
                    </w:rPr>
                  </w:pPr>
                  <w:r>
                    <w:rPr>
                      <w:color w:val="auto"/>
                      <w:szCs w:val="21"/>
                      <w:u w:val="none"/>
                    </w:rPr>
                    <w:t>SS、石油类、PH</w:t>
                  </w:r>
                  <w:r>
                    <w:rPr>
                      <w:rFonts w:hint="eastAsia"/>
                      <w:color w:val="auto"/>
                      <w:szCs w:val="21"/>
                      <w:u w:val="none"/>
                      <w:lang w:eastAsia="zh-CN"/>
                    </w:rPr>
                    <w:t>、</w:t>
                  </w:r>
                  <w:r>
                    <w:rPr>
                      <w:rFonts w:hint="eastAsia"/>
                      <w:color w:val="auto"/>
                      <w:szCs w:val="21"/>
                      <w:u w:val="none"/>
                      <w:lang w:val="en-US" w:eastAsia="zh-CN"/>
                    </w:rPr>
                    <w:t>LAS、</w:t>
                  </w:r>
                  <w:r>
                    <w:rPr>
                      <w:color w:val="auto"/>
                      <w:szCs w:val="21"/>
                      <w:u w:val="none"/>
                    </w:rPr>
                    <w:t>COD</w:t>
                  </w:r>
                  <w:r>
                    <w:rPr>
                      <w:color w:val="auto"/>
                      <w:szCs w:val="21"/>
                      <w:u w:val="none"/>
                      <w:vertAlign w:val="subscript"/>
                    </w:rPr>
                    <w:t>cr</w:t>
                  </w:r>
                </w:p>
              </w:tc>
              <w:tc>
                <w:tcPr>
                  <w:tcW w:w="449" w:type="pct"/>
                  <w:vAlign w:val="center"/>
                </w:tcPr>
                <w:p w14:paraId="27F8A7CB">
                  <w:pPr>
                    <w:wordWrap w:val="0"/>
                    <w:topLinePunct/>
                    <w:adjustRightInd w:val="0"/>
                    <w:snapToGrid w:val="0"/>
                    <w:ind w:left="-105" w:leftChars="-50" w:right="-105" w:rightChars="-50"/>
                    <w:jc w:val="center"/>
                    <w:rPr>
                      <w:color w:val="auto"/>
                      <w:szCs w:val="21"/>
                      <w:u w:val="none"/>
                    </w:rPr>
                  </w:pPr>
                  <w:r>
                    <w:rPr>
                      <w:color w:val="auto"/>
                      <w:szCs w:val="21"/>
                      <w:u w:val="none"/>
                    </w:rPr>
                    <w:t>间接排放，排入</w:t>
                  </w:r>
                  <w:r>
                    <w:rPr>
                      <w:rFonts w:hint="eastAsia"/>
                      <w:color w:val="auto"/>
                      <w:szCs w:val="21"/>
                      <w:u w:val="none"/>
                      <w:lang w:eastAsia="zh-CN"/>
                    </w:rPr>
                    <w:t>祁水</w:t>
                  </w:r>
                </w:p>
              </w:tc>
              <w:tc>
                <w:tcPr>
                  <w:tcW w:w="516" w:type="pct"/>
                  <w:vAlign w:val="center"/>
                </w:tcPr>
                <w:p w14:paraId="6BF5194A">
                  <w:pPr>
                    <w:wordWrap w:val="0"/>
                    <w:topLinePunct/>
                    <w:adjustRightInd w:val="0"/>
                    <w:snapToGrid w:val="0"/>
                    <w:ind w:left="-105" w:leftChars="-50" w:right="-105" w:rightChars="-50"/>
                    <w:jc w:val="center"/>
                    <w:rPr>
                      <w:color w:val="auto"/>
                      <w:szCs w:val="21"/>
                      <w:u w:val="none"/>
                    </w:rPr>
                  </w:pPr>
                  <w:r>
                    <w:rPr>
                      <w:color w:val="auto"/>
                      <w:szCs w:val="21"/>
                      <w:u w:val="none"/>
                    </w:rPr>
                    <w:t>间断排放，排放期间流量稳定</w:t>
                  </w:r>
                </w:p>
              </w:tc>
              <w:tc>
                <w:tcPr>
                  <w:tcW w:w="361" w:type="pct"/>
                  <w:vAlign w:val="center"/>
                </w:tcPr>
                <w:p w14:paraId="5184D583">
                  <w:pPr>
                    <w:wordWrap w:val="0"/>
                    <w:topLinePunct/>
                    <w:adjustRightInd w:val="0"/>
                    <w:snapToGrid w:val="0"/>
                    <w:ind w:left="-105" w:leftChars="-50" w:right="-105" w:rightChars="-50"/>
                    <w:jc w:val="center"/>
                    <w:rPr>
                      <w:color w:val="auto"/>
                      <w:szCs w:val="21"/>
                      <w:u w:val="none"/>
                    </w:rPr>
                  </w:pPr>
                  <w:r>
                    <w:rPr>
                      <w:color w:val="auto"/>
                      <w:szCs w:val="21"/>
                      <w:u w:val="none"/>
                    </w:rPr>
                    <w:t>TW002</w:t>
                  </w:r>
                </w:p>
              </w:tc>
              <w:tc>
                <w:tcPr>
                  <w:tcW w:w="503" w:type="pct"/>
                  <w:vMerge w:val="continue"/>
                  <w:vAlign w:val="center"/>
                </w:tcPr>
                <w:p w14:paraId="6E281700">
                  <w:pPr>
                    <w:wordWrap w:val="0"/>
                    <w:topLinePunct/>
                    <w:adjustRightInd w:val="0"/>
                    <w:snapToGrid w:val="0"/>
                    <w:ind w:left="-105" w:leftChars="-50" w:right="-105" w:rightChars="-50"/>
                    <w:jc w:val="center"/>
                    <w:rPr>
                      <w:color w:val="auto"/>
                      <w:szCs w:val="21"/>
                      <w:u w:val="none"/>
                    </w:rPr>
                  </w:pPr>
                </w:p>
              </w:tc>
              <w:tc>
                <w:tcPr>
                  <w:tcW w:w="600" w:type="pct"/>
                  <w:shd w:val="clear" w:color="auto" w:fill="auto"/>
                  <w:vAlign w:val="center"/>
                </w:tcPr>
                <w:p w14:paraId="71220E45">
                  <w:pPr>
                    <w:wordWrap w:val="0"/>
                    <w:topLinePunct/>
                    <w:adjustRightInd w:val="0"/>
                    <w:snapToGrid w:val="0"/>
                    <w:ind w:left="-105" w:leftChars="-50" w:right="-105" w:rightChars="-50"/>
                    <w:jc w:val="center"/>
                    <w:rPr>
                      <w:rFonts w:ascii="Times New Roman" w:hAnsi="Times New Roman" w:eastAsia="宋体" w:cs="Times New Roman"/>
                      <w:color w:val="auto"/>
                      <w:kern w:val="0"/>
                      <w:sz w:val="21"/>
                      <w:szCs w:val="21"/>
                      <w:u w:val="none"/>
                      <w:lang w:val="en-US" w:eastAsia="zh-CN" w:bidi="ar-SA"/>
                    </w:rPr>
                  </w:pPr>
                  <w:r>
                    <w:rPr>
                      <w:color w:val="auto"/>
                      <w:kern w:val="0"/>
                      <w:szCs w:val="21"/>
                      <w:u w:val="none"/>
                    </w:rPr>
                    <w:t>隔油沉淀池</w:t>
                  </w:r>
                </w:p>
              </w:tc>
              <w:tc>
                <w:tcPr>
                  <w:tcW w:w="590" w:type="pct"/>
                  <w:shd w:val="clear" w:color="auto" w:fill="auto"/>
                  <w:vAlign w:val="center"/>
                </w:tcPr>
                <w:p w14:paraId="5EEC9725">
                  <w:pPr>
                    <w:wordWrap w:val="0"/>
                    <w:topLinePunct/>
                    <w:adjustRightInd w:val="0"/>
                    <w:snapToGrid w:val="0"/>
                    <w:ind w:left="-105" w:leftChars="-50" w:right="-105" w:rightChars="-50"/>
                    <w:jc w:val="center"/>
                    <w:rPr>
                      <w:rFonts w:ascii="Times New Roman" w:hAnsi="Times New Roman" w:eastAsia="宋体" w:cs="Times New Roman"/>
                      <w:color w:val="auto"/>
                      <w:kern w:val="2"/>
                      <w:sz w:val="21"/>
                      <w:szCs w:val="21"/>
                      <w:u w:val="none"/>
                      <w:lang w:val="en-US" w:eastAsia="zh-CN" w:bidi="ar-SA"/>
                    </w:rPr>
                  </w:pPr>
                  <w:r>
                    <w:rPr>
                      <w:color w:val="auto"/>
                      <w:szCs w:val="21"/>
                      <w:u w:val="none"/>
                    </w:rPr>
                    <w:t>隔油沉淀</w:t>
                  </w:r>
                </w:p>
              </w:tc>
              <w:tc>
                <w:tcPr>
                  <w:tcW w:w="466" w:type="pct"/>
                  <w:shd w:val="clear" w:color="auto" w:fill="auto"/>
                  <w:vAlign w:val="center"/>
                </w:tcPr>
                <w:p w14:paraId="4CA3D48D">
                  <w:pPr>
                    <w:wordWrap w:val="0"/>
                    <w:topLinePunct/>
                    <w:adjustRightInd w:val="0"/>
                    <w:snapToGrid w:val="0"/>
                    <w:ind w:left="-105" w:leftChars="-50" w:right="-105" w:rightChars="-50"/>
                    <w:jc w:val="center"/>
                    <w:rPr>
                      <w:rFonts w:ascii="Times New Roman" w:hAnsi="Times New Roman" w:eastAsia="宋体" w:cs="Times New Roman"/>
                      <w:color w:val="auto"/>
                      <w:kern w:val="2"/>
                      <w:sz w:val="21"/>
                      <w:szCs w:val="21"/>
                      <w:u w:val="none"/>
                      <w:lang w:val="en-US" w:eastAsia="zh-CN" w:bidi="ar-SA"/>
                    </w:rPr>
                  </w:pPr>
                  <w:r>
                    <w:rPr>
                      <w:color w:val="auto"/>
                      <w:szCs w:val="21"/>
                      <w:u w:val="none"/>
                    </w:rPr>
                    <w:t>DW001</w:t>
                  </w:r>
                </w:p>
              </w:tc>
              <w:tc>
                <w:tcPr>
                  <w:tcW w:w="399" w:type="pct"/>
                  <w:shd w:val="clear" w:color="auto" w:fill="auto"/>
                  <w:vAlign w:val="center"/>
                </w:tcPr>
                <w:p w14:paraId="64A91274">
                  <w:pPr>
                    <w:wordWrap w:val="0"/>
                    <w:topLinePunct/>
                    <w:adjustRightInd w:val="0"/>
                    <w:snapToGrid w:val="0"/>
                    <w:ind w:left="-105" w:leftChars="-50" w:right="-105" w:rightChars="-50"/>
                    <w:jc w:val="center"/>
                    <w:rPr>
                      <w:rFonts w:ascii="Times New Roman" w:hAnsi="Times New Roman" w:eastAsia="宋体" w:cs="Times New Roman"/>
                      <w:color w:val="auto"/>
                      <w:kern w:val="2"/>
                      <w:sz w:val="21"/>
                      <w:szCs w:val="21"/>
                      <w:u w:val="none"/>
                      <w:lang w:val="en-US" w:eastAsia="zh-CN" w:bidi="ar-SA"/>
                    </w:rPr>
                  </w:pPr>
                  <w:r>
                    <w:rPr>
                      <w:color w:val="auto"/>
                      <w:szCs w:val="21"/>
                      <w:u w:val="none"/>
                    </w:rPr>
                    <w:t>是</w:t>
                  </w:r>
                </w:p>
              </w:tc>
              <w:tc>
                <w:tcPr>
                  <w:tcW w:w="287" w:type="pct"/>
                  <w:shd w:val="clear" w:color="auto" w:fill="auto"/>
                  <w:vAlign w:val="center"/>
                </w:tcPr>
                <w:p w14:paraId="5D2B67A7">
                  <w:pPr>
                    <w:wordWrap w:val="0"/>
                    <w:topLinePunct/>
                    <w:adjustRightInd w:val="0"/>
                    <w:snapToGrid w:val="0"/>
                    <w:ind w:left="-105" w:leftChars="-50" w:right="-105" w:rightChars="-50"/>
                    <w:jc w:val="center"/>
                    <w:rPr>
                      <w:rFonts w:ascii="Times New Roman" w:hAnsi="Times New Roman" w:eastAsia="宋体" w:cs="Times New Roman"/>
                      <w:color w:val="auto"/>
                      <w:kern w:val="2"/>
                      <w:sz w:val="21"/>
                      <w:szCs w:val="21"/>
                      <w:u w:val="none"/>
                      <w:lang w:val="en-US" w:eastAsia="zh-CN" w:bidi="ar-SA"/>
                    </w:rPr>
                  </w:pPr>
                  <w:r>
                    <w:rPr>
                      <w:color w:val="auto"/>
                      <w:szCs w:val="21"/>
                      <w:u w:val="none"/>
                    </w:rPr>
                    <w:t>一般排放</w:t>
                  </w:r>
                </w:p>
              </w:tc>
            </w:tr>
          </w:tbl>
          <w:p w14:paraId="46AF5F2F">
            <w:pPr>
              <w:wordWrap w:val="0"/>
              <w:topLinePunct/>
              <w:adjustRightInd w:val="0"/>
              <w:snapToGrid w:val="0"/>
              <w:spacing w:line="360" w:lineRule="auto"/>
              <w:ind w:firstLine="480" w:firstLineChars="200"/>
              <w:rPr>
                <w:bCs/>
                <w:color w:val="auto"/>
                <w:spacing w:val="-10"/>
                <w:sz w:val="24"/>
                <w:u w:val="none"/>
              </w:rPr>
            </w:pPr>
            <w:r>
              <w:rPr>
                <w:color w:val="auto"/>
                <w:sz w:val="24"/>
                <w:u w:val="none"/>
              </w:rPr>
              <w:t>本项目</w:t>
            </w:r>
            <w:r>
              <w:rPr>
                <w:color w:val="auto"/>
                <w:spacing w:val="5"/>
                <w:sz w:val="24"/>
                <w:u w:val="none"/>
              </w:rPr>
              <w:t>废水</w:t>
            </w:r>
            <w:r>
              <w:rPr>
                <w:color w:val="auto"/>
                <w:sz w:val="24"/>
                <w:u w:val="none"/>
              </w:rPr>
              <w:t>处理措施为《排污许可证申请与核发技术规范 储油库、加油站》（HJ 1118-2020）中的可行技术，措施可行。</w:t>
            </w:r>
          </w:p>
          <w:p w14:paraId="6D6D1E2C">
            <w:pPr>
              <w:wordWrap w:val="0"/>
              <w:topLinePunct/>
              <w:adjustRightInd w:val="0"/>
              <w:snapToGrid w:val="0"/>
              <w:spacing w:line="360" w:lineRule="auto"/>
              <w:ind w:firstLine="442" w:firstLineChars="200"/>
              <w:rPr>
                <w:b/>
                <w:bCs w:val="0"/>
                <w:color w:val="auto"/>
                <w:spacing w:val="-10"/>
                <w:sz w:val="24"/>
                <w:u w:val="none"/>
              </w:rPr>
            </w:pPr>
            <w:r>
              <w:rPr>
                <w:b/>
                <w:bCs w:val="0"/>
                <w:color w:val="auto"/>
                <w:spacing w:val="-10"/>
                <w:sz w:val="24"/>
                <w:u w:val="none"/>
              </w:rPr>
              <w:t>（1）生活废水与生产废水处理措施可行性</w:t>
            </w:r>
          </w:p>
          <w:p w14:paraId="244850A7">
            <w:pPr>
              <w:wordWrap w:val="0"/>
              <w:topLinePunct/>
              <w:adjustRightInd w:val="0"/>
              <w:snapToGrid w:val="0"/>
              <w:spacing w:line="360" w:lineRule="auto"/>
              <w:ind w:firstLine="500" w:firstLineChars="200"/>
              <w:rPr>
                <w:bCs/>
                <w:color w:val="auto"/>
                <w:kern w:val="0"/>
                <w:sz w:val="24"/>
                <w:u w:val="single"/>
              </w:rPr>
            </w:pPr>
            <w:r>
              <w:rPr>
                <w:color w:val="auto"/>
                <w:spacing w:val="5"/>
                <w:sz w:val="24"/>
                <w:u w:val="single"/>
              </w:rPr>
              <w:t>本项目实行雨污分流制，雨水排至项目</w:t>
            </w:r>
            <w:r>
              <w:rPr>
                <w:rFonts w:hint="eastAsia"/>
                <w:color w:val="auto"/>
                <w:spacing w:val="5"/>
                <w:sz w:val="24"/>
                <w:u w:val="single"/>
                <w:lang w:val="en-US" w:eastAsia="zh-CN"/>
              </w:rPr>
              <w:t>西侧市政</w:t>
            </w:r>
            <w:r>
              <w:rPr>
                <w:color w:val="auto"/>
                <w:spacing w:val="5"/>
                <w:sz w:val="24"/>
                <w:u w:val="single"/>
              </w:rPr>
              <w:t>雨水管道。</w:t>
            </w:r>
            <w:r>
              <w:rPr>
                <w:bCs/>
                <w:color w:val="auto"/>
                <w:spacing w:val="-10"/>
                <w:sz w:val="24"/>
                <w:u w:val="single"/>
              </w:rPr>
              <w:t>本</w:t>
            </w:r>
            <w:r>
              <w:rPr>
                <w:bCs/>
                <w:color w:val="auto"/>
                <w:kern w:val="0"/>
                <w:sz w:val="24"/>
                <w:u w:val="single"/>
              </w:rPr>
              <w:t>项目建设完成后生活污水</w:t>
            </w:r>
            <w:r>
              <w:rPr>
                <w:rFonts w:hint="eastAsia"/>
                <w:bCs/>
                <w:color w:val="auto"/>
                <w:kern w:val="0"/>
                <w:sz w:val="24"/>
                <w:u w:val="single"/>
                <w:lang w:eastAsia="zh-CN"/>
              </w:rPr>
              <w:t>、公共卫生间废水、</w:t>
            </w:r>
            <w:r>
              <w:rPr>
                <w:rFonts w:hint="eastAsia"/>
                <w:bCs/>
                <w:color w:val="auto"/>
                <w:kern w:val="0"/>
                <w:sz w:val="24"/>
                <w:u w:val="single"/>
                <w:lang w:val="en-US" w:eastAsia="zh-CN"/>
              </w:rPr>
              <w:t>地面清洁废水、</w:t>
            </w:r>
            <w:r>
              <w:rPr>
                <w:bCs/>
                <w:color w:val="auto"/>
                <w:kern w:val="0"/>
                <w:sz w:val="24"/>
                <w:u w:val="single"/>
              </w:rPr>
              <w:t>初期雨水</w:t>
            </w:r>
            <w:r>
              <w:rPr>
                <w:rFonts w:hint="eastAsia"/>
                <w:bCs/>
                <w:color w:val="auto"/>
                <w:kern w:val="0"/>
                <w:sz w:val="24"/>
                <w:u w:val="single"/>
                <w:lang w:eastAsia="zh-CN"/>
              </w:rPr>
              <w:t>、</w:t>
            </w:r>
            <w:r>
              <w:rPr>
                <w:rFonts w:hint="eastAsia"/>
                <w:bCs/>
                <w:color w:val="auto"/>
                <w:kern w:val="0"/>
                <w:sz w:val="24"/>
                <w:u w:val="single"/>
                <w:lang w:val="en-US" w:eastAsia="zh-CN"/>
              </w:rPr>
              <w:t>洗车废水的合计排水量为1161.82m</w:t>
            </w:r>
            <w:r>
              <w:rPr>
                <w:rFonts w:hint="eastAsia"/>
                <w:bCs/>
                <w:color w:val="auto"/>
                <w:kern w:val="0"/>
                <w:sz w:val="24"/>
                <w:u w:val="single"/>
                <w:vertAlign w:val="superscript"/>
                <w:lang w:val="en-US" w:eastAsia="zh-CN"/>
              </w:rPr>
              <w:t>3</w:t>
            </w:r>
            <w:r>
              <w:rPr>
                <w:rFonts w:hint="eastAsia"/>
                <w:bCs/>
                <w:color w:val="auto"/>
                <w:kern w:val="0"/>
                <w:sz w:val="24"/>
                <w:u w:val="single"/>
                <w:lang w:val="en-US" w:eastAsia="zh-CN"/>
              </w:rPr>
              <w:t>/a</w:t>
            </w:r>
            <w:r>
              <w:rPr>
                <w:bCs/>
                <w:color w:val="auto"/>
                <w:kern w:val="0"/>
                <w:sz w:val="24"/>
                <w:u w:val="single"/>
              </w:rPr>
              <w:t>。</w:t>
            </w:r>
          </w:p>
          <w:p w14:paraId="02F25E2B">
            <w:pPr>
              <w:wordWrap w:val="0"/>
              <w:topLinePunct/>
              <w:adjustRightInd w:val="0"/>
              <w:snapToGrid w:val="0"/>
              <w:spacing w:line="360" w:lineRule="auto"/>
              <w:ind w:firstLine="480" w:firstLineChars="200"/>
              <w:rPr>
                <w:bCs/>
                <w:color w:val="auto"/>
                <w:kern w:val="0"/>
                <w:sz w:val="24"/>
                <w:u w:val="single"/>
              </w:rPr>
            </w:pPr>
            <w:r>
              <w:rPr>
                <w:bCs/>
                <w:color w:val="auto"/>
                <w:kern w:val="0"/>
                <w:sz w:val="24"/>
                <w:u w:val="single"/>
              </w:rPr>
              <w:t>站区内设置一套隔油沉淀池及一套</w:t>
            </w:r>
            <w:r>
              <w:rPr>
                <w:rFonts w:hint="eastAsia"/>
                <w:bCs/>
                <w:color w:val="auto"/>
                <w:kern w:val="0"/>
                <w:sz w:val="24"/>
                <w:u w:val="single"/>
                <w:lang w:val="en-US" w:eastAsia="zh-CN"/>
              </w:rPr>
              <w:t>隔油池+</w:t>
            </w:r>
            <w:r>
              <w:rPr>
                <w:bCs/>
                <w:color w:val="auto"/>
                <w:kern w:val="0"/>
                <w:sz w:val="24"/>
                <w:u w:val="single"/>
              </w:rPr>
              <w:t>化粪池，</w:t>
            </w:r>
            <w:r>
              <w:rPr>
                <w:rFonts w:hint="eastAsia"/>
                <w:bCs/>
                <w:color w:val="auto"/>
                <w:kern w:val="0"/>
                <w:sz w:val="24"/>
                <w:u w:val="single"/>
                <w:lang w:val="en-US" w:eastAsia="zh-CN"/>
              </w:rPr>
              <w:t>隔油池+</w:t>
            </w:r>
            <w:r>
              <w:rPr>
                <w:bCs/>
                <w:color w:val="auto"/>
                <w:kern w:val="0"/>
                <w:sz w:val="24"/>
                <w:u w:val="single"/>
              </w:rPr>
              <w:t>化粪池</w:t>
            </w:r>
            <w:r>
              <w:rPr>
                <w:rFonts w:hint="eastAsia"/>
                <w:bCs/>
                <w:color w:val="auto"/>
                <w:kern w:val="0"/>
                <w:sz w:val="24"/>
                <w:u w:val="single"/>
                <w:lang w:val="en-US" w:eastAsia="zh-CN"/>
              </w:rPr>
              <w:t>废水</w:t>
            </w:r>
            <w:r>
              <w:rPr>
                <w:bCs/>
                <w:color w:val="auto"/>
                <w:kern w:val="0"/>
                <w:sz w:val="24"/>
                <w:u w:val="single"/>
              </w:rPr>
              <w:t>暂存时间在</w:t>
            </w:r>
            <w:r>
              <w:rPr>
                <w:rFonts w:hint="eastAsia"/>
                <w:bCs/>
                <w:color w:val="auto"/>
                <w:kern w:val="0"/>
                <w:sz w:val="24"/>
                <w:u w:val="single"/>
                <w:lang w:val="en-US" w:eastAsia="zh-CN"/>
              </w:rPr>
              <w:t>36</w:t>
            </w:r>
            <w:r>
              <w:rPr>
                <w:bCs/>
                <w:color w:val="auto"/>
                <w:kern w:val="0"/>
                <w:sz w:val="24"/>
                <w:u w:val="single"/>
              </w:rPr>
              <w:t>小时以内</w:t>
            </w:r>
            <w:r>
              <w:rPr>
                <w:rFonts w:hint="eastAsia"/>
                <w:bCs/>
                <w:color w:val="auto"/>
                <w:kern w:val="0"/>
                <w:sz w:val="24"/>
                <w:u w:val="single"/>
                <w:lang w:eastAsia="zh-CN"/>
              </w:rPr>
              <w:t>，</w:t>
            </w:r>
            <w:r>
              <w:rPr>
                <w:rFonts w:hint="eastAsia"/>
                <w:bCs/>
                <w:color w:val="auto"/>
                <w:kern w:val="0"/>
                <w:sz w:val="24"/>
                <w:u w:val="single"/>
                <w:lang w:val="en-US" w:eastAsia="zh-CN"/>
              </w:rPr>
              <w:t>隔油沉淀池废水暂存时间在一周以内</w:t>
            </w:r>
            <w:r>
              <w:rPr>
                <w:bCs/>
                <w:color w:val="auto"/>
                <w:kern w:val="0"/>
                <w:sz w:val="24"/>
                <w:u w:val="single"/>
              </w:rPr>
              <w:t>。</w:t>
            </w:r>
          </w:p>
          <w:p w14:paraId="3D4B8C63">
            <w:pPr>
              <w:wordWrap w:val="0"/>
              <w:topLinePunct/>
              <w:adjustRightInd w:val="0"/>
              <w:snapToGrid w:val="0"/>
              <w:spacing w:line="360" w:lineRule="auto"/>
              <w:ind w:firstLine="480" w:firstLineChars="200"/>
              <w:rPr>
                <w:rFonts w:hint="eastAsia"/>
                <w:bCs/>
                <w:color w:val="auto"/>
                <w:kern w:val="0"/>
                <w:sz w:val="24"/>
                <w:u w:val="single"/>
                <w:lang w:eastAsia="zh-CN"/>
              </w:rPr>
            </w:pPr>
            <w:r>
              <w:rPr>
                <w:rFonts w:hint="eastAsia"/>
                <w:bCs/>
                <w:color w:val="auto"/>
                <w:kern w:val="0"/>
                <w:sz w:val="24"/>
                <w:u w:val="single"/>
                <w:lang w:val="en-US" w:eastAsia="zh-CN"/>
              </w:rPr>
              <w:t>隔油池+</w:t>
            </w:r>
            <w:r>
              <w:rPr>
                <w:bCs/>
                <w:color w:val="auto"/>
                <w:kern w:val="0"/>
                <w:sz w:val="24"/>
                <w:u w:val="single"/>
              </w:rPr>
              <w:t>化粪池容积为</w:t>
            </w:r>
            <w:r>
              <w:rPr>
                <w:rFonts w:hint="eastAsia"/>
                <w:bCs/>
                <w:color w:val="auto"/>
                <w:kern w:val="0"/>
                <w:sz w:val="24"/>
                <w:u w:val="single"/>
                <w:lang w:val="en-US" w:eastAsia="zh-CN"/>
              </w:rPr>
              <w:t>2</w:t>
            </w:r>
            <w:r>
              <w:rPr>
                <w:bCs/>
                <w:color w:val="auto"/>
                <w:kern w:val="0"/>
                <w:sz w:val="24"/>
                <w:u w:val="single"/>
              </w:rPr>
              <w:t>m</w:t>
            </w:r>
            <w:r>
              <w:rPr>
                <w:bCs/>
                <w:color w:val="auto"/>
                <w:kern w:val="0"/>
                <w:sz w:val="24"/>
                <w:u w:val="single"/>
                <w:vertAlign w:val="superscript"/>
              </w:rPr>
              <w:t>3</w:t>
            </w:r>
            <w:r>
              <w:rPr>
                <w:bCs/>
                <w:color w:val="auto"/>
                <w:kern w:val="0"/>
                <w:sz w:val="24"/>
                <w:u w:val="single"/>
              </w:rPr>
              <w:t>，</w:t>
            </w:r>
            <w:r>
              <w:rPr>
                <w:rFonts w:hint="eastAsia"/>
                <w:bCs/>
                <w:color w:val="auto"/>
                <w:kern w:val="0"/>
                <w:sz w:val="24"/>
                <w:u w:val="single"/>
                <w:lang w:val="en-US" w:eastAsia="zh-CN"/>
              </w:rPr>
              <w:t>根据上文分析，项目</w:t>
            </w:r>
            <w:r>
              <w:rPr>
                <w:bCs/>
                <w:color w:val="auto"/>
                <w:kern w:val="0"/>
                <w:sz w:val="24"/>
                <w:u w:val="single"/>
              </w:rPr>
              <w:t>生活污水</w:t>
            </w:r>
            <w:r>
              <w:rPr>
                <w:rFonts w:hint="eastAsia"/>
                <w:bCs/>
                <w:color w:val="auto"/>
                <w:kern w:val="0"/>
                <w:sz w:val="24"/>
                <w:u w:val="single"/>
                <w:lang w:eastAsia="zh-CN"/>
              </w:rPr>
              <w:t>、公共卫生间废水的</w:t>
            </w:r>
            <w:r>
              <w:rPr>
                <w:rFonts w:hint="eastAsia"/>
                <w:bCs/>
                <w:color w:val="auto"/>
                <w:kern w:val="0"/>
                <w:sz w:val="24"/>
                <w:u w:val="single"/>
                <w:lang w:val="en-US" w:eastAsia="zh-CN"/>
              </w:rPr>
              <w:t>排放量为</w:t>
            </w:r>
            <w:r>
              <w:rPr>
                <w:rFonts w:hint="eastAsia"/>
                <w:color w:val="auto"/>
                <w:sz w:val="24"/>
                <w:u w:val="single"/>
                <w:lang w:val="en-US" w:eastAsia="zh-CN"/>
              </w:rPr>
              <w:t>1.126</w:t>
            </w:r>
            <w:r>
              <w:rPr>
                <w:color w:val="auto"/>
                <w:sz w:val="24"/>
                <w:u w:val="single"/>
              </w:rPr>
              <w:t>m</w:t>
            </w:r>
            <w:r>
              <w:rPr>
                <w:color w:val="auto"/>
                <w:sz w:val="24"/>
                <w:u w:val="single"/>
                <w:vertAlign w:val="superscript"/>
              </w:rPr>
              <w:t>3</w:t>
            </w:r>
            <w:r>
              <w:rPr>
                <w:color w:val="auto"/>
                <w:sz w:val="24"/>
                <w:u w:val="single"/>
              </w:rPr>
              <w:t>/d（</w:t>
            </w:r>
            <w:r>
              <w:rPr>
                <w:rFonts w:hint="eastAsia"/>
                <w:color w:val="auto"/>
                <w:sz w:val="24"/>
                <w:u w:val="single"/>
                <w:lang w:val="en-US" w:eastAsia="zh-CN"/>
              </w:rPr>
              <w:t>411.12</w:t>
            </w:r>
            <w:r>
              <w:rPr>
                <w:color w:val="auto"/>
                <w:sz w:val="24"/>
                <w:u w:val="single"/>
              </w:rPr>
              <w:t>m</w:t>
            </w:r>
            <w:r>
              <w:rPr>
                <w:color w:val="auto"/>
                <w:sz w:val="24"/>
                <w:u w:val="single"/>
                <w:vertAlign w:val="superscript"/>
              </w:rPr>
              <w:t>3</w:t>
            </w:r>
            <w:r>
              <w:rPr>
                <w:color w:val="auto"/>
                <w:sz w:val="24"/>
                <w:u w:val="single"/>
              </w:rPr>
              <w:t>/a）</w:t>
            </w:r>
            <w:r>
              <w:rPr>
                <w:rFonts w:hint="eastAsia" w:ascii="Times New Roman" w:hAnsi="Times New Roman" w:cs="Times New Roman"/>
                <w:spacing w:val="4"/>
                <w:sz w:val="24"/>
                <w:szCs w:val="24"/>
                <w:u w:val="single"/>
                <w:lang w:eastAsia="zh-CN"/>
              </w:rPr>
              <w:t>，</w:t>
            </w:r>
            <w:r>
              <w:rPr>
                <w:rFonts w:hint="eastAsia" w:ascii="Times New Roman" w:hAnsi="Times New Roman" w:cs="Times New Roman"/>
                <w:spacing w:val="4"/>
                <w:sz w:val="24"/>
                <w:szCs w:val="24"/>
                <w:u w:val="single"/>
                <w:lang w:val="en-US" w:eastAsia="zh-CN"/>
              </w:rPr>
              <w:t>能够满足容积要求，</w:t>
            </w:r>
            <w:r>
              <w:rPr>
                <w:rFonts w:hint="eastAsia"/>
                <w:bCs/>
                <w:color w:val="auto"/>
                <w:kern w:val="0"/>
                <w:sz w:val="24"/>
                <w:u w:val="single"/>
                <w:lang w:val="en-US" w:eastAsia="zh-CN"/>
              </w:rPr>
              <w:t>项目</w:t>
            </w:r>
            <w:r>
              <w:rPr>
                <w:bCs/>
                <w:color w:val="auto"/>
                <w:kern w:val="0"/>
                <w:sz w:val="24"/>
                <w:u w:val="single"/>
              </w:rPr>
              <w:t>生活污水</w:t>
            </w:r>
            <w:r>
              <w:rPr>
                <w:rFonts w:hint="eastAsia"/>
                <w:bCs/>
                <w:color w:val="auto"/>
                <w:kern w:val="0"/>
                <w:sz w:val="24"/>
                <w:u w:val="single"/>
                <w:lang w:val="en-US" w:eastAsia="zh-CN"/>
              </w:rPr>
              <w:t>经隔油池处理后和</w:t>
            </w:r>
            <w:r>
              <w:rPr>
                <w:rFonts w:hint="eastAsia"/>
                <w:bCs/>
                <w:color w:val="auto"/>
                <w:kern w:val="0"/>
                <w:sz w:val="24"/>
                <w:u w:val="single"/>
                <w:lang w:eastAsia="zh-CN"/>
              </w:rPr>
              <w:t>公共卫生间废水</w:t>
            </w:r>
            <w:r>
              <w:rPr>
                <w:rFonts w:hint="eastAsia"/>
                <w:bCs/>
                <w:color w:val="auto"/>
                <w:kern w:val="0"/>
                <w:sz w:val="24"/>
                <w:u w:val="single"/>
                <w:lang w:val="en-US" w:eastAsia="zh-CN"/>
              </w:rPr>
              <w:t>经化粪池处理，</w:t>
            </w:r>
            <w:r>
              <w:rPr>
                <w:bCs/>
                <w:color w:val="auto"/>
                <w:kern w:val="0"/>
                <w:sz w:val="24"/>
                <w:u w:val="single"/>
              </w:rPr>
              <w:t>可满足</w:t>
            </w:r>
            <w:r>
              <w:rPr>
                <w:color w:val="auto"/>
                <w:sz w:val="24"/>
                <w:szCs w:val="32"/>
                <w:u w:val="single"/>
              </w:rPr>
              <w:t>《污水综合排放标准》（GB8979-1996）三级标准</w:t>
            </w:r>
            <w:r>
              <w:rPr>
                <w:rFonts w:hint="eastAsia"/>
                <w:color w:val="auto"/>
                <w:sz w:val="24"/>
                <w:szCs w:val="32"/>
                <w:u w:val="single"/>
                <w:lang w:val="en-US" w:eastAsia="zh-CN"/>
              </w:rPr>
              <w:t>及</w:t>
            </w:r>
            <w:r>
              <w:rPr>
                <w:rFonts w:hint="eastAsia"/>
                <w:color w:val="auto"/>
                <w:sz w:val="24"/>
                <w:szCs w:val="32"/>
                <w:u w:val="single"/>
                <w:lang w:eastAsia="zh-CN"/>
              </w:rPr>
              <w:t>祁阳市城北污水处理厂</w:t>
            </w:r>
            <w:r>
              <w:rPr>
                <w:rFonts w:hint="eastAsia" w:eastAsia="宋体"/>
                <w:color w:val="auto"/>
                <w:sz w:val="24"/>
                <w:szCs w:val="32"/>
                <w:u w:val="single"/>
                <w:lang w:val="en-US" w:eastAsia="zh-CN"/>
              </w:rPr>
              <w:t>进水水质标准</w:t>
            </w:r>
            <w:r>
              <w:rPr>
                <w:rFonts w:hint="eastAsia"/>
                <w:bCs/>
                <w:color w:val="auto"/>
                <w:kern w:val="0"/>
                <w:sz w:val="24"/>
                <w:u w:val="single"/>
                <w:lang w:eastAsia="zh-CN"/>
              </w:rPr>
              <w:t>。</w:t>
            </w:r>
          </w:p>
          <w:p w14:paraId="47E8B429">
            <w:pPr>
              <w:wordWrap w:val="0"/>
              <w:topLinePunct/>
              <w:adjustRightInd w:val="0"/>
              <w:snapToGrid w:val="0"/>
              <w:spacing w:line="360" w:lineRule="auto"/>
              <w:ind w:firstLine="480" w:firstLineChars="200"/>
              <w:rPr>
                <w:color w:val="auto"/>
                <w:kern w:val="24"/>
                <w:sz w:val="24"/>
                <w:u w:val="single"/>
              </w:rPr>
            </w:pPr>
            <w:r>
              <w:rPr>
                <w:rFonts w:hint="eastAsia"/>
                <w:bCs/>
                <w:color w:val="auto"/>
                <w:kern w:val="0"/>
                <w:sz w:val="24"/>
                <w:u w:val="single"/>
                <w:lang w:val="en-US" w:eastAsia="zh-CN"/>
              </w:rPr>
              <w:t>项目</w:t>
            </w:r>
            <w:r>
              <w:rPr>
                <w:bCs/>
                <w:color w:val="auto"/>
                <w:kern w:val="0"/>
                <w:sz w:val="24"/>
                <w:u w:val="single"/>
              </w:rPr>
              <w:t>隔油沉淀池设在厂区</w:t>
            </w:r>
            <w:r>
              <w:rPr>
                <w:rFonts w:hint="eastAsia"/>
                <w:bCs/>
                <w:color w:val="auto"/>
                <w:kern w:val="0"/>
                <w:sz w:val="24"/>
                <w:u w:val="single"/>
                <w:lang w:val="en-US" w:eastAsia="zh-CN"/>
              </w:rPr>
              <w:t>南</w:t>
            </w:r>
            <w:r>
              <w:rPr>
                <w:bCs/>
                <w:color w:val="auto"/>
                <w:kern w:val="0"/>
                <w:sz w:val="24"/>
                <w:u w:val="single"/>
              </w:rPr>
              <w:t>面，隔油沉淀池</w:t>
            </w:r>
            <w:r>
              <w:rPr>
                <w:color w:val="auto"/>
                <w:sz w:val="24"/>
                <w:u w:val="single"/>
              </w:rPr>
              <w:t>容积为</w:t>
            </w:r>
            <w:r>
              <w:rPr>
                <w:rFonts w:hint="eastAsia"/>
                <w:color w:val="auto"/>
                <w:sz w:val="24"/>
                <w:u w:val="single"/>
                <w:lang w:val="en-US" w:eastAsia="zh-CN"/>
              </w:rPr>
              <w:t>2</w:t>
            </w:r>
            <w:r>
              <w:rPr>
                <w:color w:val="auto"/>
                <w:sz w:val="24"/>
                <w:u w:val="single"/>
              </w:rPr>
              <w:t>0</w:t>
            </w:r>
            <w:r>
              <w:rPr>
                <w:color w:val="auto"/>
                <w:sz w:val="24"/>
                <w:szCs w:val="32"/>
                <w:u w:val="single"/>
              </w:rPr>
              <w:t>m</w:t>
            </w:r>
            <w:r>
              <w:rPr>
                <w:color w:val="auto"/>
                <w:sz w:val="24"/>
                <w:szCs w:val="32"/>
                <w:u w:val="single"/>
                <w:vertAlign w:val="superscript"/>
              </w:rPr>
              <w:t>3</w:t>
            </w:r>
            <w:r>
              <w:rPr>
                <w:color w:val="auto"/>
                <w:sz w:val="24"/>
                <w:szCs w:val="32"/>
                <w:u w:val="single"/>
              </w:rPr>
              <w:t>，</w:t>
            </w:r>
            <w:r>
              <w:rPr>
                <w:rFonts w:hint="eastAsia"/>
                <w:color w:val="auto"/>
                <w:sz w:val="24"/>
                <w:szCs w:val="32"/>
                <w:u w:val="single"/>
                <w:lang w:val="en-US" w:eastAsia="zh-CN"/>
              </w:rPr>
              <w:t>初期雨水、地面清洁废水、洗车废水产生量合计为720.7</w:t>
            </w:r>
            <w:r>
              <w:rPr>
                <w:rFonts w:hint="default" w:ascii="Times New Roman" w:hAnsi="Times New Roman" w:cs="Times New Roman"/>
                <w:spacing w:val="4"/>
                <w:sz w:val="24"/>
                <w:szCs w:val="24"/>
                <w:u w:val="single"/>
                <w:lang w:eastAsia="zh-CN"/>
              </w:rPr>
              <w:t>m</w:t>
            </w:r>
            <w:r>
              <w:rPr>
                <w:rFonts w:hint="default" w:ascii="Times New Roman" w:hAnsi="Times New Roman" w:cs="Times New Roman"/>
                <w:spacing w:val="4"/>
                <w:sz w:val="24"/>
                <w:szCs w:val="24"/>
                <w:u w:val="single"/>
                <w:vertAlign w:val="superscript"/>
                <w:lang w:val="en-US" w:eastAsia="zh-CN"/>
              </w:rPr>
              <w:t>3</w:t>
            </w:r>
            <w:r>
              <w:rPr>
                <w:rFonts w:hint="default" w:ascii="Times New Roman" w:hAnsi="Times New Roman" w:cs="Times New Roman"/>
                <w:spacing w:val="4"/>
                <w:sz w:val="24"/>
                <w:szCs w:val="24"/>
                <w:u w:val="single"/>
                <w:lang w:eastAsia="zh-CN"/>
              </w:rPr>
              <w:t>/a</w:t>
            </w:r>
            <w:r>
              <w:rPr>
                <w:rFonts w:hint="eastAsia" w:ascii="Times New Roman" w:hAnsi="Times New Roman" w:cs="Times New Roman"/>
                <w:spacing w:val="4"/>
                <w:sz w:val="24"/>
                <w:szCs w:val="24"/>
                <w:u w:val="single"/>
                <w:lang w:eastAsia="zh-CN"/>
              </w:rPr>
              <w:t>（</w:t>
            </w:r>
            <w:r>
              <w:rPr>
                <w:rFonts w:hint="eastAsia" w:cs="Times New Roman"/>
                <w:spacing w:val="4"/>
                <w:sz w:val="24"/>
                <w:szCs w:val="24"/>
                <w:u w:val="single"/>
                <w:lang w:val="en-US" w:eastAsia="zh-CN"/>
              </w:rPr>
              <w:t>1.97</w:t>
            </w:r>
            <w:r>
              <w:rPr>
                <w:rFonts w:hint="default" w:ascii="Times New Roman" w:hAnsi="Times New Roman" w:cs="Times New Roman"/>
                <w:spacing w:val="4"/>
                <w:sz w:val="24"/>
                <w:szCs w:val="24"/>
                <w:u w:val="single"/>
                <w:lang w:eastAsia="zh-CN"/>
              </w:rPr>
              <w:t>m</w:t>
            </w:r>
            <w:r>
              <w:rPr>
                <w:rFonts w:hint="default" w:ascii="Times New Roman" w:hAnsi="Times New Roman" w:cs="Times New Roman"/>
                <w:spacing w:val="4"/>
                <w:sz w:val="24"/>
                <w:szCs w:val="24"/>
                <w:u w:val="single"/>
                <w:vertAlign w:val="superscript"/>
                <w:lang w:val="en-US" w:eastAsia="zh-CN"/>
              </w:rPr>
              <w:t>3</w:t>
            </w:r>
            <w:r>
              <w:rPr>
                <w:rFonts w:hint="default" w:ascii="Times New Roman" w:hAnsi="Times New Roman" w:cs="Times New Roman"/>
                <w:spacing w:val="4"/>
                <w:sz w:val="24"/>
                <w:szCs w:val="24"/>
                <w:u w:val="single"/>
                <w:lang w:eastAsia="zh-CN"/>
              </w:rPr>
              <w:t>/</w:t>
            </w:r>
            <w:r>
              <w:rPr>
                <w:rFonts w:hint="eastAsia" w:ascii="Times New Roman" w:hAnsi="Times New Roman" w:cs="Times New Roman"/>
                <w:spacing w:val="4"/>
                <w:sz w:val="24"/>
                <w:szCs w:val="24"/>
                <w:u w:val="single"/>
                <w:lang w:val="en-US" w:eastAsia="zh-CN"/>
              </w:rPr>
              <w:t>d</w:t>
            </w:r>
            <w:r>
              <w:rPr>
                <w:rFonts w:hint="eastAsia" w:ascii="Times New Roman" w:hAnsi="Times New Roman" w:cs="Times New Roman"/>
                <w:spacing w:val="4"/>
                <w:sz w:val="24"/>
                <w:szCs w:val="24"/>
                <w:u w:val="single"/>
                <w:lang w:eastAsia="zh-CN"/>
              </w:rPr>
              <w:t>）</w:t>
            </w:r>
            <w:r>
              <w:rPr>
                <w:rFonts w:hint="eastAsia"/>
                <w:color w:val="auto"/>
                <w:sz w:val="24"/>
                <w:szCs w:val="32"/>
                <w:u w:val="single"/>
                <w:lang w:val="en-US" w:eastAsia="zh-CN"/>
              </w:rPr>
              <w:t>，</w:t>
            </w:r>
            <w:r>
              <w:rPr>
                <w:bCs/>
                <w:color w:val="auto"/>
                <w:kern w:val="0"/>
                <w:sz w:val="24"/>
                <w:u w:val="single"/>
              </w:rPr>
              <w:t>隔油沉淀池</w:t>
            </w:r>
            <w:r>
              <w:rPr>
                <w:rFonts w:hint="eastAsia" w:ascii="Times New Roman" w:hAnsi="Times New Roman" w:cs="Times New Roman"/>
                <w:spacing w:val="4"/>
                <w:sz w:val="24"/>
                <w:szCs w:val="24"/>
                <w:u w:val="single"/>
                <w:lang w:val="en-US" w:eastAsia="zh-CN"/>
              </w:rPr>
              <w:t>能够满足容积要求，废水</w:t>
            </w:r>
            <w:r>
              <w:rPr>
                <w:color w:val="auto"/>
                <w:sz w:val="24"/>
                <w:szCs w:val="32"/>
                <w:u w:val="single"/>
              </w:rPr>
              <w:t>经</w:t>
            </w:r>
            <w:r>
              <w:rPr>
                <w:bCs/>
                <w:color w:val="auto"/>
                <w:kern w:val="0"/>
                <w:sz w:val="24"/>
                <w:u w:val="single"/>
              </w:rPr>
              <w:t>隔油沉淀池</w:t>
            </w:r>
            <w:r>
              <w:rPr>
                <w:color w:val="auto"/>
                <w:sz w:val="24"/>
                <w:szCs w:val="32"/>
                <w:u w:val="single"/>
              </w:rPr>
              <w:t>处理可满足《污水综合排放标准》（GB8979-1996）三级标准</w:t>
            </w:r>
            <w:r>
              <w:rPr>
                <w:rFonts w:hint="eastAsia"/>
                <w:color w:val="auto"/>
                <w:sz w:val="24"/>
                <w:szCs w:val="32"/>
                <w:u w:val="single"/>
                <w:lang w:val="en-US" w:eastAsia="zh-CN"/>
              </w:rPr>
              <w:t>及</w:t>
            </w:r>
            <w:r>
              <w:rPr>
                <w:rFonts w:hint="eastAsia"/>
                <w:color w:val="auto"/>
                <w:sz w:val="24"/>
                <w:szCs w:val="32"/>
                <w:u w:val="single"/>
                <w:lang w:eastAsia="zh-CN"/>
              </w:rPr>
              <w:t>祁阳市城北污水处理厂</w:t>
            </w:r>
            <w:r>
              <w:rPr>
                <w:rFonts w:hint="eastAsia" w:eastAsia="宋体"/>
                <w:color w:val="auto"/>
                <w:sz w:val="24"/>
                <w:szCs w:val="32"/>
                <w:u w:val="single"/>
                <w:lang w:val="en-US" w:eastAsia="zh-CN"/>
              </w:rPr>
              <w:t>进水水质标准</w:t>
            </w:r>
            <w:r>
              <w:rPr>
                <w:color w:val="auto"/>
                <w:sz w:val="24"/>
                <w:szCs w:val="32"/>
                <w:u w:val="single"/>
              </w:rPr>
              <w:t>，故</w:t>
            </w:r>
            <w:r>
              <w:rPr>
                <w:rFonts w:hint="eastAsia"/>
                <w:color w:val="auto"/>
                <w:sz w:val="24"/>
                <w:szCs w:val="32"/>
                <w:u w:val="single"/>
                <w:lang w:val="en-US" w:eastAsia="zh-CN"/>
              </w:rPr>
              <w:t>初期雨水、冲洗废水、洗车废水</w:t>
            </w:r>
            <w:r>
              <w:rPr>
                <w:color w:val="auto"/>
                <w:sz w:val="24"/>
                <w:szCs w:val="32"/>
                <w:u w:val="single"/>
              </w:rPr>
              <w:t>经隔油沉淀池处理可行</w:t>
            </w:r>
            <w:r>
              <w:rPr>
                <w:color w:val="auto"/>
                <w:kern w:val="24"/>
                <w:sz w:val="24"/>
                <w:u w:val="single"/>
              </w:rPr>
              <w:t>。环评要求项目建成后，各类废水处理设施需附有环保标识。</w:t>
            </w:r>
          </w:p>
          <w:p w14:paraId="040F2E70">
            <w:pPr>
              <w:wordWrap w:val="0"/>
              <w:topLinePunct/>
              <w:adjustRightInd w:val="0"/>
              <w:snapToGrid w:val="0"/>
              <w:spacing w:line="360" w:lineRule="auto"/>
              <w:ind w:firstLine="480" w:firstLineChars="200"/>
              <w:rPr>
                <w:color w:val="auto"/>
                <w:sz w:val="24"/>
                <w:szCs w:val="32"/>
                <w:u w:val="single"/>
              </w:rPr>
            </w:pPr>
            <w:r>
              <w:rPr>
                <w:rFonts w:hint="eastAsia"/>
                <w:color w:val="auto"/>
                <w:sz w:val="24"/>
                <w:szCs w:val="32"/>
                <w:u w:val="single"/>
              </w:rPr>
              <w:t>隔油沉淀池</w:t>
            </w:r>
            <w:r>
              <w:rPr>
                <w:rFonts w:hint="eastAsia"/>
                <w:color w:val="auto"/>
                <w:sz w:val="24"/>
                <w:szCs w:val="32"/>
                <w:u w:val="single"/>
                <w:lang w:val="en-US" w:eastAsia="zh-CN"/>
              </w:rPr>
              <w:t>原理：</w:t>
            </w:r>
            <w:r>
              <w:rPr>
                <w:rFonts w:hint="eastAsia"/>
                <w:color w:val="auto"/>
                <w:sz w:val="24"/>
                <w:szCs w:val="32"/>
                <w:u w:val="single"/>
              </w:rPr>
              <w:t>隔油沉淀池，为隔油池与沉淀池的结合池，采取的主要处理工艺是利用油滴与水的密度差产生上浮作用来去除含油废水中可浮性油类物质，同时利用沉淀作用去除水中的悬浮物，是一种较常用的加油站生产废水处理方式。</w:t>
            </w:r>
          </w:p>
          <w:p w14:paraId="0AEBCEF0">
            <w:pPr>
              <w:wordWrap w:val="0"/>
              <w:topLinePunct/>
              <w:adjustRightInd w:val="0"/>
              <w:snapToGrid w:val="0"/>
              <w:spacing w:line="360" w:lineRule="auto"/>
              <w:ind w:firstLine="480" w:firstLineChars="200"/>
              <w:rPr>
                <w:color w:val="auto"/>
                <w:u w:val="single"/>
              </w:rPr>
            </w:pPr>
            <w:r>
              <w:rPr>
                <w:rFonts w:hint="eastAsia"/>
                <w:color w:val="auto"/>
                <w:sz w:val="24"/>
                <w:szCs w:val="32"/>
                <w:u w:val="single"/>
              </w:rPr>
              <w:t>本项目</w:t>
            </w:r>
            <w:r>
              <w:rPr>
                <w:rFonts w:hint="eastAsia"/>
                <w:color w:val="auto"/>
                <w:sz w:val="24"/>
                <w:szCs w:val="32"/>
                <w:u w:val="single"/>
                <w:lang w:val="en-US" w:eastAsia="zh-CN"/>
              </w:rPr>
              <w:t>西</w:t>
            </w:r>
            <w:r>
              <w:rPr>
                <w:rFonts w:hint="eastAsia"/>
                <w:color w:val="auto"/>
                <w:sz w:val="24"/>
                <w:szCs w:val="32"/>
                <w:u w:val="single"/>
              </w:rPr>
              <w:t>侧</w:t>
            </w:r>
            <w:r>
              <w:rPr>
                <w:rFonts w:hint="eastAsia"/>
                <w:color w:val="auto"/>
                <w:kern w:val="0"/>
                <w:sz w:val="24"/>
                <w:u w:val="single"/>
                <w:lang w:val="en-US" w:eastAsia="zh-CN"/>
              </w:rPr>
              <w:t>祁阳大道</w:t>
            </w:r>
            <w:r>
              <w:rPr>
                <w:rFonts w:hint="eastAsia"/>
                <w:color w:val="auto"/>
                <w:sz w:val="24"/>
                <w:szCs w:val="32"/>
                <w:u w:val="single"/>
              </w:rPr>
              <w:t>规划有雨污管网，目前雨污管网均已建成。</w:t>
            </w:r>
            <w:r>
              <w:rPr>
                <w:color w:val="auto"/>
                <w:sz w:val="24"/>
                <w:szCs w:val="32"/>
                <w:u w:val="single"/>
              </w:rPr>
              <w:t>本项目员工生活污水</w:t>
            </w:r>
            <w:r>
              <w:rPr>
                <w:rFonts w:hint="eastAsia"/>
                <w:color w:val="auto"/>
                <w:sz w:val="24"/>
                <w:szCs w:val="32"/>
                <w:u w:val="single"/>
                <w:lang w:eastAsia="zh-CN"/>
              </w:rPr>
              <w:t>、</w:t>
            </w:r>
            <w:r>
              <w:rPr>
                <w:rFonts w:hint="eastAsia"/>
                <w:color w:val="auto"/>
                <w:sz w:val="24"/>
                <w:szCs w:val="32"/>
                <w:u w:val="single"/>
                <w:lang w:val="en-US" w:eastAsia="zh-CN"/>
              </w:rPr>
              <w:t>公共卫生间废水</w:t>
            </w:r>
            <w:r>
              <w:rPr>
                <w:color w:val="auto"/>
                <w:sz w:val="24"/>
                <w:szCs w:val="32"/>
                <w:u w:val="single"/>
              </w:rPr>
              <w:t>经化粪池处理后与经隔油沉淀池处理后</w:t>
            </w:r>
            <w:r>
              <w:rPr>
                <w:rFonts w:hint="eastAsia"/>
                <w:color w:val="auto"/>
                <w:sz w:val="24"/>
                <w:szCs w:val="32"/>
                <w:u w:val="single"/>
                <w:lang w:eastAsia="zh-CN"/>
              </w:rPr>
              <w:t>的</w:t>
            </w:r>
            <w:r>
              <w:rPr>
                <w:color w:val="auto"/>
                <w:sz w:val="24"/>
                <w:szCs w:val="32"/>
                <w:u w:val="single"/>
              </w:rPr>
              <w:t>初期雨水</w:t>
            </w:r>
            <w:r>
              <w:rPr>
                <w:rFonts w:hint="eastAsia"/>
                <w:color w:val="auto"/>
                <w:sz w:val="24"/>
                <w:szCs w:val="32"/>
                <w:u w:val="single"/>
                <w:lang w:eastAsia="zh-CN"/>
              </w:rPr>
              <w:t>、地面清洁废水、</w:t>
            </w:r>
            <w:r>
              <w:rPr>
                <w:rFonts w:hint="eastAsia"/>
                <w:color w:val="auto"/>
                <w:sz w:val="24"/>
                <w:szCs w:val="32"/>
                <w:u w:val="single"/>
                <w:lang w:val="en-US" w:eastAsia="zh-CN"/>
              </w:rPr>
              <w:t>洗车废水</w:t>
            </w:r>
            <w:r>
              <w:rPr>
                <w:color w:val="auto"/>
                <w:sz w:val="24"/>
                <w:szCs w:val="32"/>
                <w:u w:val="single"/>
              </w:rPr>
              <w:t>可达到《污水综合排放标准》（GB8979-1996）三级标准后，</w:t>
            </w:r>
            <w:r>
              <w:rPr>
                <w:rFonts w:hint="eastAsia"/>
                <w:color w:val="auto"/>
                <w:sz w:val="24"/>
                <w:szCs w:val="32"/>
                <w:u w:val="single"/>
              </w:rPr>
              <w:t>排入污水管网，</w:t>
            </w:r>
            <w:r>
              <w:rPr>
                <w:color w:val="auto"/>
                <w:sz w:val="24"/>
                <w:szCs w:val="32"/>
                <w:u w:val="single"/>
              </w:rPr>
              <w:t>进入</w:t>
            </w:r>
            <w:r>
              <w:rPr>
                <w:rFonts w:hint="eastAsia"/>
                <w:color w:val="auto"/>
                <w:sz w:val="24"/>
                <w:szCs w:val="32"/>
                <w:u w:val="single"/>
                <w:lang w:eastAsia="zh-CN"/>
              </w:rPr>
              <w:t>祁阳市城北污水处理厂</w:t>
            </w:r>
            <w:r>
              <w:rPr>
                <w:color w:val="auto"/>
                <w:sz w:val="24"/>
                <w:szCs w:val="32"/>
                <w:u w:val="single"/>
              </w:rPr>
              <w:t>处理后达到</w:t>
            </w:r>
            <w:r>
              <w:rPr>
                <w:color w:val="auto"/>
                <w:kern w:val="0"/>
                <w:sz w:val="24"/>
                <w:u w:val="single"/>
              </w:rPr>
              <w:t>达到《城镇污水处理厂污染物排放标准》（GB18918-2002）一级A标准</w:t>
            </w:r>
            <w:r>
              <w:rPr>
                <w:rFonts w:hint="eastAsia"/>
                <w:color w:val="auto"/>
                <w:kern w:val="0"/>
                <w:sz w:val="24"/>
                <w:u w:val="single"/>
                <w:lang w:val="en-US" w:eastAsia="zh-CN"/>
              </w:rPr>
              <w:t>和《湖南省城镇污水厂主要污染物排放标准》（DB43/T 1546-2018）二级排放标准</w:t>
            </w:r>
            <w:r>
              <w:rPr>
                <w:color w:val="auto"/>
                <w:sz w:val="24"/>
                <w:szCs w:val="32"/>
                <w:u w:val="single"/>
              </w:rPr>
              <w:t>后排放</w:t>
            </w:r>
            <w:r>
              <w:rPr>
                <w:color w:val="auto"/>
                <w:sz w:val="24"/>
                <w:u w:val="single"/>
              </w:rPr>
              <w:t>。</w:t>
            </w:r>
          </w:p>
          <w:p w14:paraId="46004114">
            <w:pPr>
              <w:autoSpaceDE w:val="0"/>
              <w:autoSpaceDN w:val="0"/>
              <w:adjustRightInd w:val="0"/>
              <w:snapToGrid w:val="0"/>
              <w:spacing w:line="360" w:lineRule="auto"/>
              <w:ind w:firstLine="482" w:firstLineChars="200"/>
              <w:jc w:val="left"/>
              <w:rPr>
                <w:b/>
                <w:bCs/>
                <w:color w:val="auto"/>
                <w:kern w:val="0"/>
                <w:sz w:val="24"/>
                <w:u w:val="none"/>
              </w:rPr>
            </w:pPr>
            <w:r>
              <w:rPr>
                <w:b/>
                <w:bCs/>
                <w:color w:val="auto"/>
                <w:kern w:val="0"/>
                <w:sz w:val="24"/>
                <w:u w:val="none"/>
              </w:rPr>
              <w:t>（2）依托污水处理设施的环境可行性</w:t>
            </w:r>
          </w:p>
          <w:p w14:paraId="24E23958">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auto"/>
              <w:rPr>
                <w:rFonts w:hint="eastAsia"/>
                <w:sz w:val="24"/>
                <w:u w:val="single"/>
              </w:rPr>
            </w:pPr>
            <w:r>
              <w:rPr>
                <w:rFonts w:hint="eastAsia"/>
                <w:sz w:val="24"/>
                <w:u w:val="single"/>
                <w:lang w:eastAsia="zh-CN"/>
              </w:rPr>
              <w:t>祁阳市城北污水处理厂</w:t>
            </w:r>
            <w:r>
              <w:rPr>
                <w:rFonts w:hint="eastAsia"/>
                <w:sz w:val="24"/>
                <w:u w:val="single"/>
              </w:rPr>
              <w:t>位于祁阳市龙山街道六合岭社区六合岭村四组、五组。项目总占地面积40413m</w:t>
            </w:r>
            <w:r>
              <w:rPr>
                <w:rFonts w:hint="eastAsia"/>
                <w:sz w:val="24"/>
                <w:u w:val="single"/>
                <w:vertAlign w:val="superscript"/>
              </w:rPr>
              <w:t>2</w:t>
            </w:r>
            <w:r>
              <w:rPr>
                <w:rFonts w:hint="eastAsia"/>
                <w:sz w:val="24"/>
                <w:u w:val="single"/>
              </w:rPr>
              <w:t>，其中预留远期工程用地19742.8m</w:t>
            </w:r>
            <w:r>
              <w:rPr>
                <w:rFonts w:hint="eastAsia"/>
                <w:sz w:val="24"/>
                <w:u w:val="single"/>
                <w:vertAlign w:val="superscript"/>
              </w:rPr>
              <w:t>2</w:t>
            </w:r>
            <w:r>
              <w:rPr>
                <w:rFonts w:hint="eastAsia"/>
                <w:sz w:val="24"/>
                <w:u w:val="single"/>
              </w:rPr>
              <w:t>，总投资12941.11万元（其中环保投资12000万元）。项目近期设计污水处理规模（2022年）为1.5×10</w:t>
            </w:r>
            <w:r>
              <w:rPr>
                <w:rFonts w:hint="eastAsia"/>
                <w:sz w:val="24"/>
                <w:u w:val="single"/>
                <w:vertAlign w:val="superscript"/>
              </w:rPr>
              <w:t>4</w:t>
            </w:r>
            <w:r>
              <w:rPr>
                <w:rFonts w:hint="eastAsia"/>
                <w:sz w:val="24"/>
                <w:u w:val="single"/>
              </w:rPr>
              <w:t>m</w:t>
            </w:r>
            <w:r>
              <w:rPr>
                <w:rFonts w:hint="eastAsia"/>
                <w:sz w:val="24"/>
                <w:u w:val="single"/>
                <w:vertAlign w:val="superscript"/>
              </w:rPr>
              <w:t>3</w:t>
            </w:r>
            <w:r>
              <w:rPr>
                <w:rFonts w:hint="eastAsia"/>
                <w:sz w:val="24"/>
                <w:u w:val="single"/>
              </w:rPr>
              <w:t>/d，主要建设内容由污水处理厂和配套收集管网两部分组成，建（构）筑物包括粗格栅、集水池及提升泵站、细格栅间及旋流沉砂池、AAO生化池、二沉池、高效沉淀池、活性砂滤池、接触消毒池及空压机房、加氯及加药间、人工湿地、中水回用池及中水回用设施、鼓风机房及配电间、污泥泵站、贮泥池、污泥脱水机房、综合楼及污水管道工程。项目纳污范围为城区北部（包括老城区部分区域、城西南部、城西北部片区），近期纳污面积5.6km</w:t>
            </w:r>
            <w:r>
              <w:rPr>
                <w:rFonts w:hint="eastAsia"/>
                <w:sz w:val="24"/>
                <w:u w:val="single"/>
                <w:vertAlign w:val="superscript"/>
              </w:rPr>
              <w:t>2</w:t>
            </w:r>
            <w:r>
              <w:rPr>
                <w:rFonts w:hint="eastAsia"/>
                <w:sz w:val="24"/>
                <w:u w:val="single"/>
              </w:rPr>
              <w:t>。污水提升泵站位于熊飞路与支六路交叉口，泵站占地面积144m</w:t>
            </w:r>
            <w:r>
              <w:rPr>
                <w:rFonts w:hint="eastAsia"/>
                <w:sz w:val="24"/>
                <w:u w:val="single"/>
                <w:vertAlign w:val="superscript"/>
              </w:rPr>
              <w:t>2</w:t>
            </w:r>
            <w:r>
              <w:rPr>
                <w:rFonts w:hint="eastAsia"/>
                <w:sz w:val="24"/>
                <w:u w:val="single"/>
              </w:rPr>
              <w:t>，近期污水收集管网长约10100m。项目污水处理工艺采用“预处理（粗格栅+调节池+提升泵站+细格栅+旋流沉砂池）+二级处理（AAO生化池+二沉池）+深度处理（高效沉淀池+活性砂滤池+ClO2消毒）+人工湿地”，污泥处理采用深度脱水（板框压滤机）工艺。</w:t>
            </w:r>
          </w:p>
          <w:p w14:paraId="2070871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auto"/>
              <w:rPr>
                <w:color w:val="auto"/>
                <w:sz w:val="24"/>
                <w:u w:val="single"/>
              </w:rPr>
            </w:pPr>
            <w:r>
              <w:rPr>
                <w:rFonts w:hint="eastAsia"/>
                <w:sz w:val="24"/>
                <w:u w:val="single"/>
                <w:lang w:val="en-US" w:eastAsia="zh-CN"/>
              </w:rPr>
              <w:t>本项目位于</w:t>
            </w:r>
            <w:r>
              <w:rPr>
                <w:rFonts w:hint="eastAsia" w:ascii="Times New Roman" w:hAnsi="Times New Roman"/>
                <w:bCs w:val="0"/>
                <w:sz w:val="24"/>
                <w:u w:val="single"/>
                <w:lang w:val="en-US" w:eastAsia="zh-CN"/>
              </w:rPr>
              <w:t>永州市祁阳市祁阳大道铁路涵桥以北东侧，属于</w:t>
            </w:r>
            <w:r>
              <w:rPr>
                <w:rFonts w:hint="eastAsia"/>
                <w:sz w:val="24"/>
                <w:u w:val="single"/>
                <w:lang w:eastAsia="zh-CN"/>
              </w:rPr>
              <w:t>祁阳市城北污水处理厂的</w:t>
            </w:r>
            <w:r>
              <w:rPr>
                <w:rFonts w:hint="eastAsia"/>
                <w:sz w:val="24"/>
                <w:u w:val="single"/>
                <w:lang w:val="en-US" w:eastAsia="zh-CN"/>
              </w:rPr>
              <w:t>纳污范围，本项目</w:t>
            </w:r>
            <w:r>
              <w:rPr>
                <w:rFonts w:hint="eastAsia"/>
                <w:bCs/>
                <w:color w:val="auto"/>
                <w:kern w:val="0"/>
                <w:sz w:val="24"/>
                <w:u w:val="single"/>
                <w:lang w:val="en-US" w:eastAsia="zh-CN"/>
              </w:rPr>
              <w:t>合计排水量为1161.82m</w:t>
            </w:r>
            <w:r>
              <w:rPr>
                <w:rFonts w:hint="eastAsia"/>
                <w:bCs/>
                <w:color w:val="auto"/>
                <w:kern w:val="0"/>
                <w:sz w:val="24"/>
                <w:u w:val="single"/>
                <w:vertAlign w:val="superscript"/>
                <w:lang w:val="en-US" w:eastAsia="zh-CN"/>
              </w:rPr>
              <w:t>3</w:t>
            </w:r>
            <w:r>
              <w:rPr>
                <w:rFonts w:hint="eastAsia"/>
                <w:bCs/>
                <w:color w:val="auto"/>
                <w:kern w:val="0"/>
                <w:sz w:val="24"/>
                <w:u w:val="single"/>
                <w:lang w:val="en-US" w:eastAsia="zh-CN"/>
              </w:rPr>
              <w:t>/a（3.18m</w:t>
            </w:r>
            <w:r>
              <w:rPr>
                <w:rFonts w:hint="eastAsia"/>
                <w:bCs/>
                <w:color w:val="auto"/>
                <w:kern w:val="0"/>
                <w:sz w:val="24"/>
                <w:u w:val="single"/>
                <w:vertAlign w:val="superscript"/>
                <w:lang w:val="en-US" w:eastAsia="zh-CN"/>
              </w:rPr>
              <w:t>3</w:t>
            </w:r>
            <w:r>
              <w:rPr>
                <w:rFonts w:hint="eastAsia"/>
                <w:bCs/>
                <w:color w:val="auto"/>
                <w:kern w:val="0"/>
                <w:sz w:val="24"/>
                <w:u w:val="single"/>
                <w:lang w:val="en-US" w:eastAsia="zh-CN"/>
              </w:rPr>
              <w:t>/d）</w:t>
            </w:r>
            <w:r>
              <w:rPr>
                <w:rFonts w:hint="eastAsia"/>
                <w:bCs/>
                <w:color w:val="auto"/>
                <w:kern w:val="0"/>
                <w:sz w:val="24"/>
                <w:u w:val="single"/>
                <w:lang w:eastAsia="zh-CN"/>
              </w:rPr>
              <w:t>，</w:t>
            </w:r>
            <w:r>
              <w:rPr>
                <w:rFonts w:hint="eastAsia"/>
                <w:bCs/>
                <w:color w:val="auto"/>
                <w:kern w:val="0"/>
                <w:sz w:val="24"/>
                <w:u w:val="single"/>
                <w:lang w:val="en-US" w:eastAsia="zh-CN"/>
              </w:rPr>
              <w:t>仅占废水处理规模的0.02%，且废水</w:t>
            </w:r>
            <w:r>
              <w:rPr>
                <w:color w:val="auto"/>
                <w:kern w:val="0"/>
                <w:sz w:val="24"/>
                <w:u w:val="single"/>
              </w:rPr>
              <w:t>水质水量不会给</w:t>
            </w:r>
            <w:r>
              <w:rPr>
                <w:rFonts w:hint="eastAsia"/>
                <w:color w:val="auto"/>
                <w:kern w:val="0"/>
                <w:sz w:val="24"/>
                <w:u w:val="single"/>
                <w:lang w:eastAsia="zh-CN"/>
              </w:rPr>
              <w:t>祁阳市城北污水处理厂</w:t>
            </w:r>
            <w:r>
              <w:rPr>
                <w:color w:val="auto"/>
                <w:kern w:val="0"/>
                <w:sz w:val="24"/>
                <w:u w:val="single"/>
              </w:rPr>
              <w:t>带来冲击影响，项目废水排入</w:t>
            </w:r>
            <w:r>
              <w:rPr>
                <w:rFonts w:hint="eastAsia"/>
                <w:color w:val="auto"/>
                <w:kern w:val="0"/>
                <w:sz w:val="24"/>
                <w:u w:val="single"/>
                <w:lang w:eastAsia="zh-CN"/>
              </w:rPr>
              <w:t>祁阳市城北污水处理厂</w:t>
            </w:r>
            <w:r>
              <w:rPr>
                <w:color w:val="auto"/>
                <w:kern w:val="0"/>
                <w:sz w:val="24"/>
                <w:u w:val="single"/>
              </w:rPr>
              <w:t>是合理可行的。</w:t>
            </w:r>
            <w:r>
              <w:rPr>
                <w:rFonts w:hint="eastAsia"/>
                <w:color w:val="auto"/>
                <w:kern w:val="0"/>
                <w:sz w:val="24"/>
                <w:u w:val="single"/>
                <w:lang w:val="en-US" w:eastAsia="zh-CN"/>
              </w:rPr>
              <w:t>经</w:t>
            </w:r>
            <w:r>
              <w:rPr>
                <w:color w:val="auto"/>
                <w:kern w:val="0"/>
                <w:sz w:val="24"/>
                <w:u w:val="single"/>
              </w:rPr>
              <w:t>以上分析可知，本项目污水经预处理后</w:t>
            </w:r>
            <w:r>
              <w:rPr>
                <w:rFonts w:hint="eastAsia"/>
                <w:color w:val="auto"/>
                <w:kern w:val="0"/>
                <w:sz w:val="24"/>
                <w:u w:val="single"/>
              </w:rPr>
              <w:t>进</w:t>
            </w:r>
            <w:r>
              <w:rPr>
                <w:color w:val="auto"/>
                <w:kern w:val="0"/>
                <w:sz w:val="24"/>
                <w:u w:val="single"/>
              </w:rPr>
              <w:t>入</w:t>
            </w:r>
            <w:r>
              <w:rPr>
                <w:rFonts w:hint="eastAsia"/>
                <w:color w:val="auto"/>
                <w:kern w:val="0"/>
                <w:sz w:val="24"/>
                <w:u w:val="single"/>
                <w:lang w:eastAsia="zh-CN"/>
              </w:rPr>
              <w:t>祁阳市城北污水处理厂</w:t>
            </w:r>
            <w:r>
              <w:rPr>
                <w:color w:val="auto"/>
                <w:kern w:val="0"/>
                <w:sz w:val="24"/>
                <w:u w:val="single"/>
              </w:rPr>
              <w:t>，经污水处理厂处理达到《城镇污水处理厂污染物排放标准》（GB18918-2002）一级A标准</w:t>
            </w:r>
            <w:r>
              <w:rPr>
                <w:rFonts w:hint="eastAsia"/>
                <w:color w:val="auto"/>
                <w:kern w:val="0"/>
                <w:sz w:val="24"/>
                <w:u w:val="single"/>
                <w:lang w:val="en-US" w:eastAsia="zh-CN"/>
              </w:rPr>
              <w:t>和《湖南省城镇污水厂主要污染物排放标准》（DB43/T 1546-2018）二级排放标准</w:t>
            </w:r>
            <w:r>
              <w:rPr>
                <w:color w:val="auto"/>
                <w:kern w:val="0"/>
                <w:sz w:val="24"/>
                <w:u w:val="single"/>
              </w:rPr>
              <w:t>，达标后的污水排放对地表水无明显影响。</w:t>
            </w:r>
          </w:p>
          <w:p w14:paraId="5BEDF8F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auto"/>
              <w:rPr>
                <w:bCs/>
                <w:color w:val="FF0000"/>
                <w:kern w:val="0"/>
                <w:sz w:val="24"/>
                <w:u w:val="single"/>
              </w:rPr>
            </w:pPr>
            <w:r>
              <w:rPr>
                <w:bCs/>
                <w:color w:val="auto"/>
                <w:kern w:val="0"/>
                <w:sz w:val="24"/>
                <w:u w:val="single"/>
              </w:rPr>
              <w:t>综上所述，本项目生活污水及生产废水纳入</w:t>
            </w:r>
            <w:r>
              <w:rPr>
                <w:rFonts w:hint="eastAsia"/>
                <w:bCs/>
                <w:color w:val="auto"/>
                <w:kern w:val="0"/>
                <w:sz w:val="24"/>
                <w:u w:val="single"/>
                <w:lang w:eastAsia="zh-CN"/>
              </w:rPr>
              <w:t>祁阳市城北污水处理厂</w:t>
            </w:r>
            <w:r>
              <w:rPr>
                <w:bCs/>
                <w:color w:val="auto"/>
                <w:kern w:val="0"/>
                <w:sz w:val="24"/>
                <w:u w:val="single"/>
              </w:rPr>
              <w:t>处理是可行的。</w:t>
            </w:r>
          </w:p>
          <w:p w14:paraId="2FD8FE1B">
            <w:pPr>
              <w:keepNext w:val="0"/>
              <w:keepLines w:val="0"/>
              <w:pageBreakBefore w:val="0"/>
              <w:widowControl w:val="0"/>
              <w:kinsoku/>
              <w:wordWrap w:val="0"/>
              <w:overflowPunct/>
              <w:topLinePunct/>
              <w:autoSpaceDE/>
              <w:autoSpaceDN/>
              <w:bidi w:val="0"/>
              <w:adjustRightInd w:val="0"/>
              <w:snapToGrid w:val="0"/>
              <w:spacing w:line="360" w:lineRule="auto"/>
              <w:textAlignment w:val="auto"/>
              <w:rPr>
                <w:b/>
                <w:spacing w:val="-10"/>
                <w:sz w:val="24"/>
              </w:rPr>
            </w:pPr>
            <w:r>
              <w:rPr>
                <w:rFonts w:hint="eastAsia" w:ascii="Times New Roman" w:hAnsi="Times New Roman" w:eastAsia="宋体" w:cs="Times New Roman"/>
                <w:b/>
                <w:bCs/>
                <w:kern w:val="2"/>
                <w:sz w:val="24"/>
                <w:szCs w:val="24"/>
                <w:lang w:val="en-US" w:eastAsia="zh-CN" w:bidi="ar-SA"/>
              </w:rPr>
              <w:t xml:space="preserve">4.6.3 </w:t>
            </w:r>
            <w:r>
              <w:rPr>
                <w:b/>
                <w:spacing w:val="-10"/>
                <w:sz w:val="24"/>
              </w:rPr>
              <w:t>自行监测要求</w:t>
            </w:r>
          </w:p>
          <w:p w14:paraId="5485D9C3">
            <w:pPr>
              <w:keepNext w:val="0"/>
              <w:keepLines w:val="0"/>
              <w:pageBreakBefore w:val="0"/>
              <w:widowControl w:val="0"/>
              <w:kinsoku/>
              <w:overflowPunct/>
              <w:autoSpaceDE/>
              <w:autoSpaceDN/>
              <w:bidi w:val="0"/>
              <w:adjustRightInd w:val="0"/>
              <w:snapToGrid w:val="0"/>
              <w:spacing w:line="360" w:lineRule="auto"/>
              <w:ind w:firstLine="480" w:firstLineChars="200"/>
              <w:textAlignment w:val="auto"/>
              <w:rPr>
                <w:sz w:val="24"/>
                <w:szCs w:val="32"/>
              </w:rPr>
            </w:pPr>
            <w:r>
              <w:rPr>
                <w:sz w:val="24"/>
                <w:szCs w:val="32"/>
              </w:rPr>
              <w:t>根据</w:t>
            </w:r>
            <w:r>
              <w:rPr>
                <w:sz w:val="24"/>
              </w:rPr>
              <w:t>《排污许可证申请与核发技术规范 储油库、加油站》（HJ1118—2020）</w:t>
            </w:r>
            <w:r>
              <w:rPr>
                <w:sz w:val="24"/>
                <w:szCs w:val="32"/>
              </w:rPr>
              <w:t>及《排污单位自行监测技术指南 储油库、加油站》（HJ1249-2022），项目废水监测计划如下表所示。</w:t>
            </w:r>
          </w:p>
          <w:p w14:paraId="4A7BA810">
            <w:pPr>
              <w:wordWrap w:val="0"/>
              <w:topLinePunct/>
              <w:adjustRightInd w:val="0"/>
              <w:snapToGrid w:val="0"/>
              <w:jc w:val="center"/>
              <w:rPr>
                <w:b/>
                <w:bCs/>
                <w:sz w:val="24"/>
                <w:szCs w:val="24"/>
              </w:rPr>
            </w:pPr>
            <w:r>
              <w:rPr>
                <w:b/>
                <w:bCs/>
                <w:sz w:val="24"/>
                <w:szCs w:val="24"/>
              </w:rPr>
              <w:t xml:space="preserve">表4-9 </w:t>
            </w:r>
            <w:r>
              <w:rPr>
                <w:rFonts w:hint="eastAsia"/>
                <w:b/>
                <w:bCs/>
                <w:sz w:val="24"/>
                <w:szCs w:val="24"/>
                <w:lang w:val="en-US" w:eastAsia="zh-CN"/>
              </w:rPr>
              <w:t>废水</w:t>
            </w:r>
            <w:r>
              <w:rPr>
                <w:b/>
                <w:bCs/>
                <w:sz w:val="24"/>
                <w:szCs w:val="24"/>
              </w:rPr>
              <w:t>自行监测要求</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4"/>
              <w:gridCol w:w="2660"/>
              <w:gridCol w:w="1167"/>
              <w:gridCol w:w="3331"/>
            </w:tblGrid>
            <w:tr w14:paraId="6FA729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6" w:type="pct"/>
                  <w:vAlign w:val="center"/>
                </w:tcPr>
                <w:p w14:paraId="2EC158F9">
                  <w:pPr>
                    <w:pStyle w:val="124"/>
                    <w:jc w:val="center"/>
                    <w:rPr>
                      <w:rFonts w:hint="default" w:ascii="Times New Roman" w:hAnsi="Times New Roman" w:cs="Times New Roman"/>
                      <w:b/>
                      <w:sz w:val="21"/>
                      <w:szCs w:val="21"/>
                    </w:rPr>
                  </w:pPr>
                  <w:r>
                    <w:rPr>
                      <w:rFonts w:hint="default" w:ascii="Times New Roman" w:hAnsi="Times New Roman" w:cs="Times New Roman"/>
                      <w:b/>
                      <w:sz w:val="21"/>
                      <w:szCs w:val="21"/>
                    </w:rPr>
                    <w:t>监测点位</w:t>
                  </w:r>
                </w:p>
              </w:tc>
              <w:tc>
                <w:tcPr>
                  <w:tcW w:w="1566" w:type="pct"/>
                  <w:vAlign w:val="center"/>
                </w:tcPr>
                <w:p w14:paraId="3D4ECDCF">
                  <w:pPr>
                    <w:pStyle w:val="124"/>
                    <w:jc w:val="center"/>
                    <w:rPr>
                      <w:rFonts w:hint="default" w:ascii="Times New Roman" w:hAnsi="Times New Roman" w:cs="Times New Roman"/>
                      <w:b/>
                      <w:sz w:val="21"/>
                      <w:szCs w:val="21"/>
                    </w:rPr>
                  </w:pPr>
                  <w:r>
                    <w:rPr>
                      <w:rFonts w:hint="default" w:ascii="Times New Roman" w:hAnsi="Times New Roman" w:cs="Times New Roman"/>
                      <w:b/>
                      <w:sz w:val="21"/>
                      <w:szCs w:val="21"/>
                    </w:rPr>
                    <w:t>监测指标</w:t>
                  </w:r>
                </w:p>
              </w:tc>
              <w:tc>
                <w:tcPr>
                  <w:tcW w:w="687" w:type="pct"/>
                  <w:vAlign w:val="center"/>
                </w:tcPr>
                <w:p w14:paraId="3AB195F8">
                  <w:pPr>
                    <w:pStyle w:val="124"/>
                    <w:jc w:val="center"/>
                    <w:rPr>
                      <w:rFonts w:hint="default" w:ascii="Times New Roman" w:hAnsi="Times New Roman" w:cs="Times New Roman"/>
                      <w:b/>
                      <w:sz w:val="21"/>
                      <w:szCs w:val="21"/>
                    </w:rPr>
                  </w:pPr>
                  <w:r>
                    <w:rPr>
                      <w:rFonts w:hint="default" w:ascii="Times New Roman" w:hAnsi="Times New Roman" w:cs="Times New Roman"/>
                      <w:b/>
                      <w:sz w:val="21"/>
                      <w:szCs w:val="21"/>
                    </w:rPr>
                    <w:t>监测频次</w:t>
                  </w:r>
                </w:p>
              </w:tc>
              <w:tc>
                <w:tcPr>
                  <w:tcW w:w="1959" w:type="pct"/>
                </w:tcPr>
                <w:p w14:paraId="5A29F260">
                  <w:pPr>
                    <w:pStyle w:val="124"/>
                    <w:jc w:val="center"/>
                    <w:rPr>
                      <w:rFonts w:hint="default" w:ascii="Times New Roman" w:hAnsi="Times New Roman" w:cs="Times New Roman"/>
                      <w:b/>
                      <w:sz w:val="21"/>
                      <w:szCs w:val="21"/>
                    </w:rPr>
                  </w:pPr>
                  <w:r>
                    <w:rPr>
                      <w:rFonts w:hint="default" w:ascii="Times New Roman" w:hAnsi="Times New Roman" w:cs="Times New Roman"/>
                      <w:b/>
                      <w:sz w:val="21"/>
                      <w:szCs w:val="21"/>
                    </w:rPr>
                    <w:t>排放标准</w:t>
                  </w:r>
                </w:p>
              </w:tc>
            </w:tr>
            <w:tr w14:paraId="5A9C5C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6" w:type="pct"/>
                  <w:vMerge w:val="restart"/>
                  <w:vAlign w:val="center"/>
                </w:tcPr>
                <w:p w14:paraId="6525F784">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废水</w:t>
                  </w:r>
                </w:p>
                <w:p w14:paraId="282B8B6F">
                  <w:pPr>
                    <w:pStyle w:val="124"/>
                    <w:jc w:val="center"/>
                    <w:rPr>
                      <w:rFonts w:hint="default" w:ascii="Times New Roman" w:hAnsi="Times New Roman" w:cs="Times New Roman"/>
                      <w:b/>
                      <w:sz w:val="21"/>
                      <w:szCs w:val="21"/>
                    </w:rPr>
                  </w:pPr>
                  <w:r>
                    <w:rPr>
                      <w:rFonts w:hint="default" w:ascii="Times New Roman" w:hAnsi="Times New Roman" w:cs="Times New Roman"/>
                      <w:sz w:val="21"/>
                      <w:szCs w:val="21"/>
                    </w:rPr>
                    <w:t>总排放口</w:t>
                  </w:r>
                </w:p>
              </w:tc>
              <w:tc>
                <w:tcPr>
                  <w:tcW w:w="1566" w:type="pct"/>
                  <w:vAlign w:val="center"/>
                </w:tcPr>
                <w:p w14:paraId="1865891F">
                  <w:pPr>
                    <w:pStyle w:val="124"/>
                    <w:jc w:val="center"/>
                    <w:rPr>
                      <w:rFonts w:hint="default" w:ascii="Times New Roman" w:hAnsi="Times New Roman" w:cs="Times New Roman"/>
                      <w:b/>
                      <w:sz w:val="21"/>
                      <w:szCs w:val="21"/>
                    </w:rPr>
                  </w:pPr>
                  <w:r>
                    <w:rPr>
                      <w:rFonts w:hint="default" w:ascii="Times New Roman" w:hAnsi="Times New Roman" w:cs="Times New Roman"/>
                      <w:sz w:val="21"/>
                      <w:szCs w:val="21"/>
                    </w:rPr>
                    <w:t>流量、化学需氧量、氨氮</w:t>
                  </w:r>
                </w:p>
              </w:tc>
              <w:tc>
                <w:tcPr>
                  <w:tcW w:w="687" w:type="pct"/>
                  <w:vAlign w:val="center"/>
                </w:tcPr>
                <w:p w14:paraId="3FA73592">
                  <w:pPr>
                    <w:pStyle w:val="124"/>
                    <w:rPr>
                      <w:rFonts w:hint="default" w:ascii="Times New Roman" w:hAnsi="Times New Roman" w:cs="Times New Roman"/>
                      <w:b/>
                      <w:sz w:val="21"/>
                      <w:szCs w:val="21"/>
                    </w:rPr>
                  </w:pPr>
                  <w:r>
                    <w:rPr>
                      <w:rFonts w:hint="default" w:ascii="Times New Roman" w:hAnsi="Times New Roman" w:cs="Times New Roman"/>
                      <w:sz w:val="21"/>
                      <w:szCs w:val="21"/>
                    </w:rPr>
                    <w:t>1次/季度</w:t>
                  </w:r>
                </w:p>
              </w:tc>
              <w:tc>
                <w:tcPr>
                  <w:tcW w:w="1959" w:type="pct"/>
                  <w:vMerge w:val="restart"/>
                </w:tcPr>
                <w:p w14:paraId="2CFBB853">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《污水综合排放标准》（GB8978-</w:t>
                  </w:r>
                </w:p>
                <w:p w14:paraId="03AF3733">
                  <w:pPr>
                    <w:pStyle w:val="124"/>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1996）中表4</w:t>
                  </w:r>
                  <w:r>
                    <w:rPr>
                      <w:rFonts w:hint="eastAsia" w:ascii="Times New Roman" w:hAnsi="Times New Roman" w:cs="Times New Roman"/>
                      <w:sz w:val="21"/>
                      <w:szCs w:val="21"/>
                      <w:lang w:val="en-US" w:eastAsia="zh-CN"/>
                    </w:rPr>
                    <w:t>三</w:t>
                  </w:r>
                  <w:r>
                    <w:rPr>
                      <w:rFonts w:hint="default" w:ascii="Times New Roman" w:hAnsi="Times New Roman" w:cs="Times New Roman"/>
                      <w:sz w:val="21"/>
                      <w:szCs w:val="21"/>
                    </w:rPr>
                    <w:t>级标准</w:t>
                  </w:r>
                  <w:r>
                    <w:rPr>
                      <w:rFonts w:hint="eastAsia" w:ascii="Times New Roman" w:hAnsi="Times New Roman" w:cs="Times New Roman"/>
                      <w:sz w:val="21"/>
                      <w:szCs w:val="21"/>
                      <w:lang w:val="en-US" w:eastAsia="zh-CN"/>
                    </w:rPr>
                    <w:t>及</w:t>
                  </w:r>
                  <w:r>
                    <w:rPr>
                      <w:rFonts w:hint="eastAsia"/>
                      <w:lang w:eastAsia="zh-CN"/>
                    </w:rPr>
                    <w:t>祁阳市城北污水处理厂</w:t>
                  </w:r>
                  <w:r>
                    <w:rPr>
                      <w:rFonts w:hint="eastAsia"/>
                      <w:lang w:val="en-US" w:eastAsia="zh-CN"/>
                    </w:rPr>
                    <w:t>进水水质标准</w:t>
                  </w:r>
                </w:p>
              </w:tc>
            </w:tr>
            <w:tr w14:paraId="34114C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6" w:type="pct"/>
                  <w:vMerge w:val="continue"/>
                  <w:vAlign w:val="center"/>
                </w:tcPr>
                <w:p w14:paraId="767A8A1D">
                  <w:pPr>
                    <w:pStyle w:val="124"/>
                    <w:rPr>
                      <w:rFonts w:hint="default" w:ascii="Times New Roman" w:hAnsi="Times New Roman" w:cs="Times New Roman"/>
                      <w:sz w:val="21"/>
                      <w:szCs w:val="21"/>
                    </w:rPr>
                  </w:pPr>
                </w:p>
              </w:tc>
              <w:tc>
                <w:tcPr>
                  <w:tcW w:w="1566" w:type="pct"/>
                  <w:vAlign w:val="center"/>
                </w:tcPr>
                <w:p w14:paraId="032F88E4">
                  <w:pPr>
                    <w:pStyle w:val="124"/>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pH值、悬浮物、LAS、石油类</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动植物油</w:t>
                  </w:r>
                </w:p>
              </w:tc>
              <w:tc>
                <w:tcPr>
                  <w:tcW w:w="687" w:type="pct"/>
                  <w:vAlign w:val="center"/>
                </w:tcPr>
                <w:p w14:paraId="53802C7B">
                  <w:pPr>
                    <w:pStyle w:val="124"/>
                    <w:rPr>
                      <w:rFonts w:hint="default" w:ascii="Times New Roman" w:hAnsi="Times New Roman" w:cs="Times New Roman"/>
                      <w:sz w:val="21"/>
                      <w:szCs w:val="21"/>
                    </w:rPr>
                  </w:pPr>
                  <w:r>
                    <w:rPr>
                      <w:rFonts w:hint="default" w:ascii="Times New Roman" w:hAnsi="Times New Roman" w:cs="Times New Roman"/>
                      <w:sz w:val="21"/>
                      <w:szCs w:val="21"/>
                    </w:rPr>
                    <w:t>1次/半年</w:t>
                  </w:r>
                </w:p>
              </w:tc>
              <w:tc>
                <w:tcPr>
                  <w:tcW w:w="1959" w:type="pct"/>
                  <w:vMerge w:val="continue"/>
                </w:tcPr>
                <w:p w14:paraId="5597058B">
                  <w:pPr>
                    <w:pStyle w:val="124"/>
                    <w:rPr>
                      <w:rFonts w:hint="default" w:ascii="Times New Roman" w:hAnsi="Times New Roman" w:cs="Times New Roman"/>
                      <w:sz w:val="21"/>
                      <w:szCs w:val="21"/>
                    </w:rPr>
                  </w:pPr>
                </w:p>
              </w:tc>
            </w:tr>
            <w:tr w14:paraId="251D27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6" w:type="pct"/>
                  <w:vAlign w:val="center"/>
                </w:tcPr>
                <w:p w14:paraId="64287A30">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雨水排放口</w:t>
                  </w:r>
                </w:p>
              </w:tc>
              <w:tc>
                <w:tcPr>
                  <w:tcW w:w="1566" w:type="pct"/>
                  <w:vAlign w:val="center"/>
                </w:tcPr>
                <w:p w14:paraId="43A60A2B">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化学需氧量、石油类</w:t>
                  </w:r>
                </w:p>
              </w:tc>
              <w:tc>
                <w:tcPr>
                  <w:tcW w:w="687" w:type="pct"/>
                  <w:vAlign w:val="center"/>
                </w:tcPr>
                <w:p w14:paraId="431B77A0">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季度</w:t>
                  </w:r>
                  <w:r>
                    <w:rPr>
                      <w:rFonts w:hint="default" w:ascii="Times New Roman" w:hAnsi="Times New Roman" w:cs="Times New Roman"/>
                      <w:sz w:val="21"/>
                      <w:szCs w:val="21"/>
                      <w:vertAlign w:val="superscript"/>
                    </w:rPr>
                    <w:t>a</w:t>
                  </w:r>
                </w:p>
              </w:tc>
              <w:tc>
                <w:tcPr>
                  <w:tcW w:w="1959" w:type="pct"/>
                  <w:vAlign w:val="center"/>
                </w:tcPr>
                <w:p w14:paraId="409D408E">
                  <w:pPr>
                    <w:pStyle w:val="124"/>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07BA89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vAlign w:val="center"/>
                </w:tcPr>
                <w:p w14:paraId="5FBA8714">
                  <w:pPr>
                    <w:pStyle w:val="124"/>
                    <w:jc w:val="both"/>
                    <w:rPr>
                      <w:rFonts w:hint="default" w:ascii="Times New Roman" w:hAnsi="Times New Roman" w:cs="Times New Roman"/>
                      <w:sz w:val="21"/>
                      <w:szCs w:val="21"/>
                    </w:rPr>
                  </w:pPr>
                  <w:r>
                    <w:rPr>
                      <w:rFonts w:hint="default" w:ascii="Times New Roman" w:hAnsi="Times New Roman" w:cs="Times New Roman"/>
                      <w:sz w:val="21"/>
                      <w:szCs w:val="21"/>
                    </w:rPr>
                    <w:t>a有流动水排放时按季度监测，如监测一年无异常情况，可放宽至每年开展一次监测。</w:t>
                  </w:r>
                </w:p>
              </w:tc>
            </w:tr>
          </w:tbl>
          <w:p w14:paraId="446F5BB7">
            <w:pPr>
              <w:pStyle w:val="118"/>
              <w:spacing w:line="360" w:lineRule="auto"/>
              <w:ind w:left="0" w:leftChars="0" w:firstLine="0" w:firstLineChars="0"/>
              <w:rPr>
                <w:b/>
              </w:rPr>
            </w:pPr>
            <w:r>
              <w:rPr>
                <w:rFonts w:hint="eastAsia" w:ascii="Times New Roman" w:hAnsi="Times New Roman" w:eastAsia="宋体" w:cs="Times New Roman"/>
                <w:b/>
                <w:bCs/>
                <w:kern w:val="2"/>
                <w:sz w:val="24"/>
                <w:szCs w:val="24"/>
                <w:lang w:val="en-US" w:eastAsia="zh-CN" w:bidi="ar-SA"/>
              </w:rPr>
              <w:t xml:space="preserve">4.7 </w:t>
            </w:r>
            <w:r>
              <w:rPr>
                <w:b/>
              </w:rPr>
              <w:t>声环境影响</w:t>
            </w:r>
          </w:p>
          <w:p w14:paraId="1E6DA982">
            <w:pPr>
              <w:pStyle w:val="118"/>
              <w:spacing w:line="360" w:lineRule="auto"/>
              <w:ind w:left="0" w:leftChars="0" w:firstLine="0" w:firstLineChars="0"/>
              <w:rPr>
                <w:b/>
                <w:bCs/>
              </w:rPr>
            </w:pPr>
            <w:r>
              <w:rPr>
                <w:rFonts w:hint="eastAsia" w:ascii="Times New Roman" w:hAnsi="Times New Roman" w:eastAsia="宋体" w:cs="Times New Roman"/>
                <w:b/>
                <w:bCs/>
                <w:kern w:val="2"/>
                <w:sz w:val="24"/>
                <w:szCs w:val="24"/>
                <w:lang w:val="en-US" w:eastAsia="zh-CN" w:bidi="ar-SA"/>
              </w:rPr>
              <w:t xml:space="preserve">4.7.1 </w:t>
            </w:r>
            <w:r>
              <w:rPr>
                <w:b/>
                <w:bCs/>
              </w:rPr>
              <w:t>噪声源强</w:t>
            </w:r>
          </w:p>
          <w:p w14:paraId="16308FA5">
            <w:pPr>
              <w:pStyle w:val="118"/>
              <w:spacing w:line="360" w:lineRule="auto"/>
            </w:pPr>
            <w:r>
              <w:t>本项目</w:t>
            </w:r>
            <w:r>
              <w:rPr>
                <w:spacing w:val="-2"/>
              </w:rPr>
              <w:t>年工作365天，</w:t>
            </w:r>
            <w:r>
              <w:rPr>
                <w:spacing w:val="-2"/>
                <w:szCs w:val="21"/>
              </w:rPr>
              <w:t>24小时营业，</w:t>
            </w:r>
            <w:r>
              <w:rPr>
                <w:kern w:val="0"/>
              </w:rPr>
              <w:t>运营期</w:t>
            </w:r>
            <w:r>
              <w:t>噪声主要为生产设备、机动车辆运行噪声，通过类比分析，噪声源强约为</w:t>
            </w:r>
            <w:r>
              <w:rPr>
                <w:rFonts w:hint="eastAsia"/>
                <w:lang w:val="en-US" w:eastAsia="zh-CN"/>
              </w:rPr>
              <w:t>60</w:t>
            </w:r>
            <w:r>
              <w:t>-8</w:t>
            </w:r>
            <w:r>
              <w:rPr>
                <w:rFonts w:hint="eastAsia"/>
                <w:lang w:val="en-US" w:eastAsia="zh-CN"/>
              </w:rPr>
              <w:t>0</w:t>
            </w:r>
            <w:r>
              <w:t>dB(A)。</w:t>
            </w:r>
          </w:p>
          <w:p w14:paraId="6A9CBBBF">
            <w:pPr>
              <w:jc w:val="center"/>
              <w:rPr>
                <w:b/>
                <w:bCs/>
                <w:szCs w:val="21"/>
                <w:u w:val="single"/>
              </w:rPr>
            </w:pPr>
            <w:r>
              <w:rPr>
                <w:b/>
                <w:bCs/>
                <w:sz w:val="24"/>
                <w:szCs w:val="24"/>
                <w:u w:val="single"/>
              </w:rPr>
              <w:t xml:space="preserve">表4-10 本项目主要噪声源源强 </w:t>
            </w:r>
          </w:p>
          <w:tbl>
            <w:tblPr>
              <w:tblStyle w:val="51"/>
              <w:tblW w:w="4998"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1"/>
              <w:gridCol w:w="2818"/>
              <w:gridCol w:w="2095"/>
              <w:gridCol w:w="1151"/>
              <w:gridCol w:w="1437"/>
            </w:tblGrid>
            <w:tr w14:paraId="53FBB3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3" w:type="pct"/>
                  <w:vAlign w:val="center"/>
                </w:tcPr>
                <w:p w14:paraId="2B532982">
                  <w:pPr>
                    <w:jc w:val="center"/>
                    <w:rPr>
                      <w:b/>
                      <w:bCs/>
                      <w:szCs w:val="21"/>
                      <w:u w:val="single"/>
                    </w:rPr>
                  </w:pPr>
                  <w:r>
                    <w:rPr>
                      <w:b/>
                      <w:bCs/>
                      <w:szCs w:val="21"/>
                      <w:u w:val="single"/>
                    </w:rPr>
                    <w:t>序号</w:t>
                  </w:r>
                </w:p>
              </w:tc>
              <w:tc>
                <w:tcPr>
                  <w:tcW w:w="1659" w:type="pct"/>
                  <w:vAlign w:val="center"/>
                </w:tcPr>
                <w:p w14:paraId="6031A9FA">
                  <w:pPr>
                    <w:jc w:val="center"/>
                    <w:rPr>
                      <w:b/>
                      <w:bCs/>
                      <w:szCs w:val="21"/>
                      <w:u w:val="single"/>
                    </w:rPr>
                  </w:pPr>
                  <w:r>
                    <w:rPr>
                      <w:b/>
                      <w:bCs/>
                      <w:szCs w:val="21"/>
                      <w:u w:val="single"/>
                    </w:rPr>
                    <w:t>设备名称</w:t>
                  </w:r>
                </w:p>
              </w:tc>
              <w:tc>
                <w:tcPr>
                  <w:tcW w:w="1233" w:type="pct"/>
                  <w:vAlign w:val="center"/>
                </w:tcPr>
                <w:p w14:paraId="2E4EAE13">
                  <w:pPr>
                    <w:jc w:val="center"/>
                    <w:rPr>
                      <w:b/>
                      <w:bCs/>
                      <w:szCs w:val="21"/>
                      <w:u w:val="single"/>
                    </w:rPr>
                  </w:pPr>
                  <w:r>
                    <w:rPr>
                      <w:rFonts w:hint="eastAsia"/>
                      <w:b/>
                      <w:bCs/>
                      <w:szCs w:val="21"/>
                      <w:u w:val="single"/>
                    </w:rPr>
                    <w:t>声功率级</w:t>
                  </w:r>
                  <w:r>
                    <w:rPr>
                      <w:b/>
                      <w:bCs/>
                      <w:szCs w:val="21"/>
                      <w:u w:val="single"/>
                    </w:rPr>
                    <w:t>dB（A）</w:t>
                  </w:r>
                </w:p>
              </w:tc>
              <w:tc>
                <w:tcPr>
                  <w:tcW w:w="677" w:type="pct"/>
                  <w:vAlign w:val="center"/>
                </w:tcPr>
                <w:p w14:paraId="17AB0755">
                  <w:pPr>
                    <w:adjustRightInd w:val="0"/>
                    <w:snapToGrid w:val="0"/>
                    <w:jc w:val="center"/>
                    <w:rPr>
                      <w:rFonts w:hint="eastAsia" w:eastAsia="宋体"/>
                      <w:b/>
                      <w:bCs/>
                      <w:szCs w:val="21"/>
                      <w:u w:val="single"/>
                      <w:lang w:eastAsia="zh-CN"/>
                    </w:rPr>
                  </w:pPr>
                  <w:r>
                    <w:rPr>
                      <w:b/>
                      <w:bCs/>
                      <w:szCs w:val="21"/>
                      <w:u w:val="single"/>
                    </w:rPr>
                    <w:t>数量</w:t>
                  </w:r>
                  <w:r>
                    <w:rPr>
                      <w:rFonts w:hint="eastAsia"/>
                      <w:b/>
                      <w:bCs/>
                      <w:szCs w:val="21"/>
                      <w:u w:val="single"/>
                      <w:lang w:eastAsia="zh-CN"/>
                    </w:rPr>
                    <w:t>（</w:t>
                  </w:r>
                  <w:r>
                    <w:rPr>
                      <w:rFonts w:hint="eastAsia"/>
                      <w:b/>
                      <w:bCs/>
                      <w:szCs w:val="21"/>
                      <w:u w:val="single"/>
                      <w:lang w:val="en-US" w:eastAsia="zh-CN"/>
                    </w:rPr>
                    <w:t>台</w:t>
                  </w:r>
                  <w:r>
                    <w:rPr>
                      <w:rFonts w:hint="eastAsia"/>
                      <w:b/>
                      <w:bCs/>
                      <w:szCs w:val="21"/>
                      <w:u w:val="single"/>
                      <w:lang w:eastAsia="zh-CN"/>
                    </w:rPr>
                    <w:t>）</w:t>
                  </w:r>
                </w:p>
              </w:tc>
              <w:tc>
                <w:tcPr>
                  <w:tcW w:w="846" w:type="pct"/>
                  <w:vAlign w:val="center"/>
                </w:tcPr>
                <w:p w14:paraId="155354BC">
                  <w:pPr>
                    <w:adjustRightInd w:val="0"/>
                    <w:snapToGrid w:val="0"/>
                    <w:jc w:val="center"/>
                    <w:rPr>
                      <w:b/>
                      <w:bCs/>
                      <w:szCs w:val="21"/>
                    </w:rPr>
                  </w:pPr>
                  <w:r>
                    <w:rPr>
                      <w:b/>
                      <w:bCs/>
                      <w:szCs w:val="21"/>
                    </w:rPr>
                    <w:t>备注</w:t>
                  </w:r>
                </w:p>
              </w:tc>
            </w:tr>
            <w:tr w14:paraId="07656C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3" w:type="pct"/>
                  <w:vAlign w:val="center"/>
                </w:tcPr>
                <w:p w14:paraId="362D9DE3">
                  <w:pPr>
                    <w:jc w:val="center"/>
                    <w:rPr>
                      <w:szCs w:val="21"/>
                      <w:u w:val="single"/>
                    </w:rPr>
                  </w:pPr>
                  <w:r>
                    <w:rPr>
                      <w:szCs w:val="21"/>
                      <w:u w:val="single"/>
                    </w:rPr>
                    <w:t>1</w:t>
                  </w:r>
                </w:p>
              </w:tc>
              <w:tc>
                <w:tcPr>
                  <w:tcW w:w="1659" w:type="pct"/>
                  <w:vAlign w:val="center"/>
                </w:tcPr>
                <w:p w14:paraId="6E6A8D32">
                  <w:pPr>
                    <w:jc w:val="center"/>
                    <w:rPr>
                      <w:szCs w:val="21"/>
                      <w:u w:val="single"/>
                    </w:rPr>
                  </w:pPr>
                  <w:r>
                    <w:rPr>
                      <w:szCs w:val="21"/>
                      <w:u w:val="single"/>
                    </w:rPr>
                    <w:t>加油机</w:t>
                  </w:r>
                </w:p>
              </w:tc>
              <w:tc>
                <w:tcPr>
                  <w:tcW w:w="1233" w:type="pct"/>
                  <w:vAlign w:val="center"/>
                </w:tcPr>
                <w:p w14:paraId="243D662C">
                  <w:pPr>
                    <w:pStyle w:val="43"/>
                    <w:tabs>
                      <w:tab w:val="right" w:leader="dot" w:pos="8949"/>
                    </w:tabs>
                    <w:spacing w:after="0" w:line="240" w:lineRule="auto"/>
                    <w:ind w:left="0"/>
                    <w:jc w:val="center"/>
                    <w:rPr>
                      <w:rFonts w:hint="default" w:ascii="Times New Roman" w:hAnsi="Times New Roman" w:eastAsia="宋体"/>
                      <w:sz w:val="21"/>
                      <w:szCs w:val="21"/>
                      <w:u w:val="single"/>
                      <w:lang w:val="en-US" w:eastAsia="zh-CN"/>
                    </w:rPr>
                  </w:pPr>
                  <w:r>
                    <w:rPr>
                      <w:rFonts w:hint="eastAsia" w:ascii="Times New Roman" w:hAnsi="Times New Roman"/>
                      <w:sz w:val="21"/>
                      <w:szCs w:val="21"/>
                      <w:u w:val="single"/>
                      <w:lang w:val="en-US" w:eastAsia="zh-CN"/>
                    </w:rPr>
                    <w:t>60</w:t>
                  </w:r>
                </w:p>
              </w:tc>
              <w:tc>
                <w:tcPr>
                  <w:tcW w:w="677" w:type="pct"/>
                  <w:vAlign w:val="center"/>
                </w:tcPr>
                <w:p w14:paraId="233836C6">
                  <w:pPr>
                    <w:jc w:val="center"/>
                    <w:rPr>
                      <w:szCs w:val="21"/>
                      <w:highlight w:val="yellow"/>
                      <w:u w:val="single"/>
                    </w:rPr>
                  </w:pPr>
                  <w:r>
                    <w:rPr>
                      <w:szCs w:val="21"/>
                      <w:u w:val="single"/>
                    </w:rPr>
                    <w:t>4</w:t>
                  </w:r>
                </w:p>
              </w:tc>
              <w:tc>
                <w:tcPr>
                  <w:tcW w:w="846" w:type="pct"/>
                  <w:vMerge w:val="restart"/>
                  <w:vAlign w:val="center"/>
                </w:tcPr>
                <w:p w14:paraId="4702D312">
                  <w:pPr>
                    <w:jc w:val="center"/>
                    <w:rPr>
                      <w:szCs w:val="21"/>
                      <w:u w:val="single"/>
                    </w:rPr>
                  </w:pPr>
                  <w:r>
                    <w:rPr>
                      <w:szCs w:val="21"/>
                      <w:u w:val="single"/>
                    </w:rPr>
                    <w:t>机械设备噪声</w:t>
                  </w:r>
                </w:p>
              </w:tc>
            </w:tr>
            <w:tr w14:paraId="0DEE31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3" w:type="pct"/>
                  <w:vAlign w:val="center"/>
                </w:tcPr>
                <w:p w14:paraId="4B9774CE">
                  <w:pPr>
                    <w:jc w:val="center"/>
                    <w:rPr>
                      <w:szCs w:val="21"/>
                      <w:u w:val="single"/>
                    </w:rPr>
                  </w:pPr>
                  <w:r>
                    <w:rPr>
                      <w:szCs w:val="21"/>
                      <w:u w:val="single"/>
                    </w:rPr>
                    <w:t>2</w:t>
                  </w:r>
                </w:p>
              </w:tc>
              <w:tc>
                <w:tcPr>
                  <w:tcW w:w="1659" w:type="pct"/>
                  <w:vAlign w:val="center"/>
                </w:tcPr>
                <w:p w14:paraId="4FB8956A">
                  <w:pPr>
                    <w:jc w:val="center"/>
                    <w:rPr>
                      <w:szCs w:val="21"/>
                      <w:u w:val="single"/>
                    </w:rPr>
                  </w:pPr>
                  <w:r>
                    <w:rPr>
                      <w:bCs/>
                      <w:szCs w:val="21"/>
                      <w:u w:val="single"/>
                    </w:rPr>
                    <w:t>一、二</w:t>
                  </w:r>
                  <w:r>
                    <w:rPr>
                      <w:rFonts w:hint="eastAsia"/>
                      <w:bCs/>
                      <w:szCs w:val="21"/>
                      <w:u w:val="single"/>
                      <w:lang w:eastAsia="zh-CN"/>
                    </w:rPr>
                    <w:t>、</w:t>
                  </w:r>
                  <w:r>
                    <w:rPr>
                      <w:rFonts w:hint="eastAsia"/>
                      <w:bCs/>
                      <w:szCs w:val="21"/>
                      <w:u w:val="single"/>
                      <w:lang w:val="en-US" w:eastAsia="zh-CN"/>
                    </w:rPr>
                    <w:t>三</w:t>
                  </w:r>
                  <w:r>
                    <w:rPr>
                      <w:bCs/>
                      <w:szCs w:val="21"/>
                      <w:u w:val="single"/>
                    </w:rPr>
                    <w:t>次油气回收系统</w:t>
                  </w:r>
                </w:p>
              </w:tc>
              <w:tc>
                <w:tcPr>
                  <w:tcW w:w="1233" w:type="pct"/>
                  <w:vAlign w:val="center"/>
                </w:tcPr>
                <w:p w14:paraId="59FB027A">
                  <w:pPr>
                    <w:jc w:val="center"/>
                    <w:rPr>
                      <w:rFonts w:hint="default" w:eastAsia="宋体"/>
                      <w:szCs w:val="21"/>
                      <w:u w:val="single"/>
                      <w:lang w:val="en-US" w:eastAsia="zh-CN"/>
                    </w:rPr>
                  </w:pPr>
                  <w:r>
                    <w:rPr>
                      <w:rFonts w:hint="eastAsia"/>
                      <w:szCs w:val="21"/>
                      <w:u w:val="single"/>
                      <w:lang w:val="en-US" w:eastAsia="zh-CN"/>
                    </w:rPr>
                    <w:t>70</w:t>
                  </w:r>
                </w:p>
              </w:tc>
              <w:tc>
                <w:tcPr>
                  <w:tcW w:w="677" w:type="pct"/>
                  <w:vAlign w:val="center"/>
                </w:tcPr>
                <w:p w14:paraId="0DC764C5">
                  <w:pPr>
                    <w:jc w:val="center"/>
                    <w:rPr>
                      <w:szCs w:val="21"/>
                      <w:u w:val="single"/>
                    </w:rPr>
                  </w:pPr>
                  <w:r>
                    <w:rPr>
                      <w:szCs w:val="21"/>
                      <w:u w:val="single"/>
                    </w:rPr>
                    <w:t>1</w:t>
                  </w:r>
                </w:p>
              </w:tc>
              <w:tc>
                <w:tcPr>
                  <w:tcW w:w="846" w:type="pct"/>
                  <w:vMerge w:val="continue"/>
                  <w:vAlign w:val="center"/>
                </w:tcPr>
                <w:p w14:paraId="227B6839">
                  <w:pPr>
                    <w:jc w:val="center"/>
                    <w:rPr>
                      <w:szCs w:val="21"/>
                      <w:u w:val="single"/>
                    </w:rPr>
                  </w:pPr>
                </w:p>
              </w:tc>
            </w:tr>
            <w:tr w14:paraId="40054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3" w:type="pct"/>
                  <w:vAlign w:val="center"/>
                </w:tcPr>
                <w:p w14:paraId="452A3842">
                  <w:pPr>
                    <w:jc w:val="center"/>
                    <w:rPr>
                      <w:rFonts w:hint="eastAsia" w:eastAsia="宋体"/>
                      <w:szCs w:val="21"/>
                      <w:u w:val="single"/>
                      <w:lang w:val="en-US" w:eastAsia="zh-CN"/>
                    </w:rPr>
                  </w:pPr>
                  <w:r>
                    <w:rPr>
                      <w:rFonts w:hint="eastAsia"/>
                      <w:szCs w:val="21"/>
                      <w:u w:val="single"/>
                      <w:lang w:val="en-US" w:eastAsia="zh-CN"/>
                    </w:rPr>
                    <w:t>3</w:t>
                  </w:r>
                </w:p>
              </w:tc>
              <w:tc>
                <w:tcPr>
                  <w:tcW w:w="1659" w:type="pct"/>
                  <w:vAlign w:val="center"/>
                </w:tcPr>
                <w:p w14:paraId="4038AA28">
                  <w:pPr>
                    <w:jc w:val="center"/>
                    <w:rPr>
                      <w:rFonts w:hint="default" w:eastAsia="宋体"/>
                      <w:bCs/>
                      <w:szCs w:val="21"/>
                      <w:u w:val="single"/>
                      <w:lang w:val="en-US" w:eastAsia="zh-CN"/>
                    </w:rPr>
                  </w:pPr>
                  <w:r>
                    <w:rPr>
                      <w:rFonts w:hint="eastAsia"/>
                      <w:bCs/>
                      <w:szCs w:val="21"/>
                      <w:u w:val="single"/>
                      <w:lang w:val="en-US" w:eastAsia="zh-CN"/>
                    </w:rPr>
                    <w:t>自动洗车机</w:t>
                  </w:r>
                </w:p>
              </w:tc>
              <w:tc>
                <w:tcPr>
                  <w:tcW w:w="1233" w:type="pct"/>
                  <w:vAlign w:val="center"/>
                </w:tcPr>
                <w:p w14:paraId="704C48ED">
                  <w:pPr>
                    <w:jc w:val="center"/>
                    <w:rPr>
                      <w:rFonts w:hint="default"/>
                      <w:szCs w:val="21"/>
                      <w:u w:val="single"/>
                      <w:lang w:val="en-US" w:eastAsia="zh-CN"/>
                    </w:rPr>
                  </w:pPr>
                  <w:r>
                    <w:rPr>
                      <w:rFonts w:hint="eastAsia"/>
                      <w:szCs w:val="21"/>
                      <w:u w:val="single"/>
                      <w:lang w:val="en-US" w:eastAsia="zh-CN"/>
                    </w:rPr>
                    <w:t>70</w:t>
                  </w:r>
                </w:p>
              </w:tc>
              <w:tc>
                <w:tcPr>
                  <w:tcW w:w="677" w:type="pct"/>
                  <w:vAlign w:val="center"/>
                </w:tcPr>
                <w:p w14:paraId="6C93F1E4">
                  <w:pPr>
                    <w:jc w:val="center"/>
                    <w:rPr>
                      <w:rFonts w:hint="eastAsia" w:eastAsia="宋体"/>
                      <w:szCs w:val="21"/>
                      <w:u w:val="single"/>
                      <w:lang w:val="en-US" w:eastAsia="zh-CN"/>
                    </w:rPr>
                  </w:pPr>
                  <w:r>
                    <w:rPr>
                      <w:rFonts w:hint="eastAsia"/>
                      <w:szCs w:val="21"/>
                      <w:u w:val="single"/>
                      <w:lang w:val="en-US" w:eastAsia="zh-CN"/>
                    </w:rPr>
                    <w:t>1</w:t>
                  </w:r>
                </w:p>
              </w:tc>
              <w:tc>
                <w:tcPr>
                  <w:tcW w:w="846" w:type="pct"/>
                  <w:vMerge w:val="continue"/>
                  <w:vAlign w:val="center"/>
                </w:tcPr>
                <w:p w14:paraId="18E26A01">
                  <w:pPr>
                    <w:jc w:val="center"/>
                    <w:rPr>
                      <w:szCs w:val="21"/>
                      <w:u w:val="single"/>
                    </w:rPr>
                  </w:pPr>
                </w:p>
              </w:tc>
            </w:tr>
            <w:tr w14:paraId="1A854E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83" w:type="pct"/>
                  <w:vAlign w:val="center"/>
                </w:tcPr>
                <w:p w14:paraId="6DEC1153">
                  <w:pPr>
                    <w:jc w:val="center"/>
                    <w:rPr>
                      <w:rFonts w:hint="eastAsia" w:eastAsia="宋体"/>
                      <w:szCs w:val="21"/>
                      <w:u w:val="single"/>
                      <w:lang w:val="en-US" w:eastAsia="zh-CN"/>
                    </w:rPr>
                  </w:pPr>
                  <w:r>
                    <w:rPr>
                      <w:rFonts w:hint="eastAsia"/>
                      <w:szCs w:val="21"/>
                      <w:u w:val="single"/>
                      <w:lang w:val="en-US" w:eastAsia="zh-CN"/>
                    </w:rPr>
                    <w:t>4</w:t>
                  </w:r>
                </w:p>
              </w:tc>
              <w:tc>
                <w:tcPr>
                  <w:tcW w:w="1659" w:type="pct"/>
                  <w:vAlign w:val="center"/>
                </w:tcPr>
                <w:p w14:paraId="3DFE546E">
                  <w:pPr>
                    <w:jc w:val="center"/>
                    <w:rPr>
                      <w:rFonts w:hint="default" w:eastAsia="宋体"/>
                      <w:bCs/>
                      <w:szCs w:val="21"/>
                      <w:u w:val="single"/>
                      <w:lang w:val="en-US" w:eastAsia="zh-CN"/>
                    </w:rPr>
                  </w:pPr>
                  <w:r>
                    <w:rPr>
                      <w:rFonts w:hint="eastAsia"/>
                      <w:bCs/>
                      <w:szCs w:val="21"/>
                      <w:u w:val="single"/>
                      <w:lang w:val="en-US" w:eastAsia="zh-CN"/>
                    </w:rPr>
                    <w:t>潜油泵</w:t>
                  </w:r>
                </w:p>
              </w:tc>
              <w:tc>
                <w:tcPr>
                  <w:tcW w:w="1233" w:type="pct"/>
                  <w:vAlign w:val="center"/>
                </w:tcPr>
                <w:p w14:paraId="11377F5D">
                  <w:pPr>
                    <w:jc w:val="center"/>
                    <w:rPr>
                      <w:rFonts w:hint="default"/>
                      <w:szCs w:val="21"/>
                      <w:u w:val="single"/>
                      <w:lang w:val="en-US" w:eastAsia="zh-CN"/>
                    </w:rPr>
                  </w:pPr>
                  <w:r>
                    <w:rPr>
                      <w:rFonts w:hint="eastAsia"/>
                      <w:szCs w:val="21"/>
                      <w:u w:val="single"/>
                      <w:lang w:val="en-US" w:eastAsia="zh-CN"/>
                    </w:rPr>
                    <w:t>80</w:t>
                  </w:r>
                </w:p>
              </w:tc>
              <w:tc>
                <w:tcPr>
                  <w:tcW w:w="677" w:type="pct"/>
                  <w:vAlign w:val="center"/>
                </w:tcPr>
                <w:p w14:paraId="686F6CF1">
                  <w:pPr>
                    <w:jc w:val="center"/>
                    <w:rPr>
                      <w:rFonts w:hint="eastAsia" w:eastAsia="宋体"/>
                      <w:szCs w:val="21"/>
                      <w:u w:val="single"/>
                      <w:lang w:val="en-US" w:eastAsia="zh-CN"/>
                    </w:rPr>
                  </w:pPr>
                  <w:r>
                    <w:rPr>
                      <w:rFonts w:hint="eastAsia"/>
                      <w:szCs w:val="21"/>
                      <w:u w:val="single"/>
                      <w:lang w:val="en-US" w:eastAsia="zh-CN"/>
                    </w:rPr>
                    <w:t>1</w:t>
                  </w:r>
                </w:p>
              </w:tc>
              <w:tc>
                <w:tcPr>
                  <w:tcW w:w="846" w:type="pct"/>
                  <w:vMerge w:val="continue"/>
                  <w:vAlign w:val="center"/>
                </w:tcPr>
                <w:p w14:paraId="6762D439">
                  <w:pPr>
                    <w:jc w:val="center"/>
                    <w:rPr>
                      <w:szCs w:val="21"/>
                    </w:rPr>
                  </w:pPr>
                </w:p>
              </w:tc>
            </w:tr>
            <w:tr w14:paraId="28CED5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583" w:type="pct"/>
                  <w:vAlign w:val="center"/>
                </w:tcPr>
                <w:p w14:paraId="3DC4487B">
                  <w:pPr>
                    <w:jc w:val="center"/>
                    <w:rPr>
                      <w:rFonts w:hint="eastAsia" w:eastAsia="宋体"/>
                      <w:szCs w:val="21"/>
                      <w:u w:val="single"/>
                      <w:lang w:eastAsia="zh-CN"/>
                    </w:rPr>
                  </w:pPr>
                  <w:r>
                    <w:rPr>
                      <w:rFonts w:hint="eastAsia"/>
                      <w:szCs w:val="21"/>
                      <w:u w:val="single"/>
                      <w:lang w:val="en-US" w:eastAsia="zh-CN"/>
                    </w:rPr>
                    <w:t>5</w:t>
                  </w:r>
                </w:p>
              </w:tc>
              <w:tc>
                <w:tcPr>
                  <w:tcW w:w="1659" w:type="pct"/>
                  <w:vAlign w:val="center"/>
                </w:tcPr>
                <w:p w14:paraId="02075058">
                  <w:pPr>
                    <w:jc w:val="center"/>
                    <w:rPr>
                      <w:rFonts w:hint="default" w:eastAsia="宋体"/>
                      <w:szCs w:val="21"/>
                      <w:u w:val="single"/>
                      <w:lang w:val="en-US" w:eastAsia="zh-CN"/>
                    </w:rPr>
                  </w:pPr>
                  <w:r>
                    <w:rPr>
                      <w:rFonts w:hint="eastAsia"/>
                      <w:szCs w:val="21"/>
                      <w:u w:val="single"/>
                      <w:lang w:val="en-US" w:eastAsia="zh-CN"/>
                    </w:rPr>
                    <w:t>加油车辆</w:t>
                  </w:r>
                </w:p>
              </w:tc>
              <w:tc>
                <w:tcPr>
                  <w:tcW w:w="1233" w:type="pct"/>
                  <w:vAlign w:val="center"/>
                </w:tcPr>
                <w:p w14:paraId="0ACD19A5">
                  <w:pPr>
                    <w:jc w:val="center"/>
                    <w:rPr>
                      <w:szCs w:val="21"/>
                      <w:u w:val="single"/>
                    </w:rPr>
                  </w:pPr>
                  <w:r>
                    <w:rPr>
                      <w:szCs w:val="21"/>
                      <w:u w:val="single"/>
                    </w:rPr>
                    <w:t>70</w:t>
                  </w:r>
                </w:p>
              </w:tc>
              <w:tc>
                <w:tcPr>
                  <w:tcW w:w="677" w:type="pct"/>
                  <w:vAlign w:val="center"/>
                </w:tcPr>
                <w:p w14:paraId="312F696F">
                  <w:pPr>
                    <w:jc w:val="center"/>
                    <w:rPr>
                      <w:szCs w:val="21"/>
                      <w:u w:val="single"/>
                    </w:rPr>
                  </w:pPr>
                  <w:r>
                    <w:rPr>
                      <w:szCs w:val="21"/>
                      <w:u w:val="single"/>
                    </w:rPr>
                    <w:t>/</w:t>
                  </w:r>
                </w:p>
              </w:tc>
              <w:tc>
                <w:tcPr>
                  <w:tcW w:w="846" w:type="pct"/>
                  <w:vMerge w:val="continue"/>
                  <w:vAlign w:val="center"/>
                </w:tcPr>
                <w:p w14:paraId="46EB5AE6">
                  <w:pPr>
                    <w:jc w:val="center"/>
                    <w:rPr>
                      <w:szCs w:val="21"/>
                    </w:rPr>
                  </w:pPr>
                </w:p>
              </w:tc>
            </w:tr>
          </w:tbl>
          <w:p w14:paraId="462C5A64">
            <w:pPr>
              <w:pStyle w:val="163"/>
              <w:spacing w:line="240" w:lineRule="auto"/>
              <w:rPr>
                <w:rFonts w:ascii="Times New Roman" w:eastAsia="宋体"/>
                <w:sz w:val="24"/>
                <w:szCs w:val="24"/>
              </w:rPr>
            </w:pPr>
            <w:r>
              <w:rPr>
                <w:rFonts w:ascii="Times New Roman" w:eastAsia="宋体"/>
                <w:bCs/>
                <w:kern w:val="2"/>
                <w:sz w:val="24"/>
                <w:szCs w:val="24"/>
              </w:rPr>
              <w:t>表4-1</w:t>
            </w:r>
            <w:r>
              <w:rPr>
                <w:rFonts w:hint="eastAsia" w:ascii="Times New Roman" w:eastAsia="宋体"/>
                <w:bCs/>
                <w:kern w:val="2"/>
                <w:sz w:val="24"/>
                <w:szCs w:val="24"/>
                <w:lang w:val="en-US" w:eastAsia="zh-CN"/>
              </w:rPr>
              <w:t>1</w:t>
            </w:r>
            <w:r>
              <w:rPr>
                <w:rFonts w:ascii="Times New Roman" w:eastAsia="宋体"/>
                <w:bCs/>
                <w:kern w:val="2"/>
                <w:sz w:val="24"/>
                <w:szCs w:val="24"/>
              </w:rPr>
              <w:t xml:space="preserve"> 工业企业噪声源强调查清单（室外声源）</w:t>
            </w:r>
          </w:p>
          <w:tbl>
            <w:tblPr>
              <w:tblStyle w:val="51"/>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
              <w:gridCol w:w="481"/>
              <w:gridCol w:w="408"/>
              <w:gridCol w:w="389"/>
              <w:gridCol w:w="741"/>
              <w:gridCol w:w="471"/>
              <w:gridCol w:w="741"/>
              <w:gridCol w:w="438"/>
              <w:gridCol w:w="438"/>
              <w:gridCol w:w="448"/>
              <w:gridCol w:w="428"/>
              <w:gridCol w:w="438"/>
              <w:gridCol w:w="438"/>
              <w:gridCol w:w="438"/>
              <w:gridCol w:w="438"/>
              <w:gridCol w:w="438"/>
              <w:gridCol w:w="438"/>
              <w:gridCol w:w="447"/>
            </w:tblGrid>
            <w:tr w14:paraId="43BE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vMerge w:val="restart"/>
                  <w:noWrap w:val="0"/>
                  <w:vAlign w:val="center"/>
                </w:tcPr>
                <w:p w14:paraId="22D5C566">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序号</w:t>
                  </w:r>
                </w:p>
              </w:tc>
              <w:tc>
                <w:tcPr>
                  <w:tcW w:w="481" w:type="dxa"/>
                  <w:vMerge w:val="restart"/>
                  <w:noWrap w:val="0"/>
                  <w:vAlign w:val="center"/>
                </w:tcPr>
                <w:p w14:paraId="0B2A0C10">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cs="Times New Roman"/>
                      <w:b/>
                      <w:bCs w:val="0"/>
                      <w:sz w:val="21"/>
                      <w:szCs w:val="21"/>
                      <w:u w:val="none" w:color="auto"/>
                      <w:lang w:val="en-US" w:eastAsia="zh-CN"/>
                    </w:rPr>
                    <w:t>声源位置</w:t>
                  </w:r>
                </w:p>
              </w:tc>
              <w:tc>
                <w:tcPr>
                  <w:tcW w:w="408" w:type="dxa"/>
                  <w:vMerge w:val="restart"/>
                  <w:noWrap w:val="0"/>
                  <w:vAlign w:val="center"/>
                </w:tcPr>
                <w:p w14:paraId="7171444E">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声源名称</w:t>
                  </w:r>
                </w:p>
              </w:tc>
              <w:tc>
                <w:tcPr>
                  <w:tcW w:w="389" w:type="dxa"/>
                  <w:vMerge w:val="restart"/>
                  <w:noWrap w:val="0"/>
                  <w:vAlign w:val="center"/>
                </w:tcPr>
                <w:p w14:paraId="2E693AC0">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数量</w:t>
                  </w:r>
                </w:p>
              </w:tc>
              <w:tc>
                <w:tcPr>
                  <w:tcW w:w="741" w:type="dxa"/>
                  <w:vMerge w:val="restart"/>
                  <w:noWrap w:val="0"/>
                  <w:vAlign w:val="center"/>
                </w:tcPr>
                <w:p w14:paraId="60C0D6CA">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声源源强（dB（A）</w:t>
                  </w:r>
                  <w:r>
                    <w:rPr>
                      <w:rFonts w:hint="eastAsia" w:cs="Times New Roman"/>
                      <w:b/>
                      <w:bCs w:val="0"/>
                      <w:sz w:val="21"/>
                      <w:szCs w:val="21"/>
                      <w:u w:val="none" w:color="auto"/>
                      <w:lang w:val="en-US" w:eastAsia="zh-CN"/>
                    </w:rPr>
                    <w:t>）</w:t>
                  </w:r>
                </w:p>
              </w:tc>
              <w:tc>
                <w:tcPr>
                  <w:tcW w:w="471" w:type="dxa"/>
                  <w:vMerge w:val="restart"/>
                  <w:noWrap w:val="0"/>
                  <w:vAlign w:val="center"/>
                </w:tcPr>
                <w:p w14:paraId="3722597C">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cs="Times New Roman"/>
                      <w:b/>
                      <w:bCs w:val="0"/>
                      <w:sz w:val="21"/>
                      <w:szCs w:val="21"/>
                      <w:u w:val="none" w:color="auto"/>
                      <w:lang w:val="en-US" w:eastAsia="zh-CN"/>
                    </w:rPr>
                    <w:t>治理措施</w:t>
                  </w:r>
                </w:p>
              </w:tc>
              <w:tc>
                <w:tcPr>
                  <w:tcW w:w="741" w:type="dxa"/>
                  <w:vMerge w:val="restart"/>
                  <w:noWrap w:val="0"/>
                  <w:vAlign w:val="center"/>
                </w:tcPr>
                <w:p w14:paraId="43506E69">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cs="Times New Roman"/>
                      <w:b/>
                      <w:bCs w:val="0"/>
                      <w:sz w:val="21"/>
                      <w:szCs w:val="21"/>
                      <w:u w:val="none" w:color="auto"/>
                      <w:lang w:val="en-US" w:eastAsia="zh-CN"/>
                    </w:rPr>
                    <w:t>采取措施后声</w:t>
                  </w:r>
                  <w:r>
                    <w:rPr>
                      <w:rFonts w:hint="default" w:ascii="Times New Roman" w:hAnsi="Times New Roman" w:eastAsia="宋体" w:cs="Times New Roman"/>
                      <w:b/>
                      <w:bCs w:val="0"/>
                      <w:sz w:val="21"/>
                      <w:szCs w:val="21"/>
                      <w:u w:val="none" w:color="auto"/>
                      <w:lang w:val="en-US" w:eastAsia="zh-CN"/>
                    </w:rPr>
                    <w:t>源强（dB（A）</w:t>
                  </w:r>
                  <w:r>
                    <w:rPr>
                      <w:rFonts w:hint="eastAsia" w:cs="Times New Roman"/>
                      <w:b/>
                      <w:bCs w:val="0"/>
                      <w:sz w:val="21"/>
                      <w:szCs w:val="21"/>
                      <w:u w:val="none" w:color="auto"/>
                      <w:lang w:val="en-US" w:eastAsia="zh-CN"/>
                    </w:rPr>
                    <w:t>）</w:t>
                  </w:r>
                </w:p>
              </w:tc>
              <w:tc>
                <w:tcPr>
                  <w:tcW w:w="1324" w:type="dxa"/>
                  <w:gridSpan w:val="3"/>
                  <w:noWrap w:val="0"/>
                  <w:vAlign w:val="center"/>
                </w:tcPr>
                <w:p w14:paraId="6FEB7BA0">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空间相对位置/m</w:t>
                  </w:r>
                </w:p>
              </w:tc>
              <w:tc>
                <w:tcPr>
                  <w:tcW w:w="1742" w:type="dxa"/>
                  <w:gridSpan w:val="4"/>
                  <w:noWrap w:val="0"/>
                  <w:vAlign w:val="center"/>
                </w:tcPr>
                <w:p w14:paraId="7EC15D48">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距</w:t>
                  </w:r>
                  <w:r>
                    <w:rPr>
                      <w:rFonts w:hint="default" w:ascii="Times New Roman" w:hAnsi="Times New Roman" w:cs="Times New Roman"/>
                      <w:b/>
                      <w:bCs w:val="0"/>
                      <w:sz w:val="21"/>
                      <w:szCs w:val="21"/>
                      <w:u w:val="none" w:color="auto"/>
                      <w:lang w:val="en-US" w:eastAsia="zh-CN"/>
                    </w:rPr>
                    <w:t>厂界</w:t>
                  </w:r>
                  <w:r>
                    <w:rPr>
                      <w:rFonts w:hint="default" w:ascii="Times New Roman" w:hAnsi="Times New Roman" w:eastAsia="宋体" w:cs="Times New Roman"/>
                      <w:b/>
                      <w:bCs w:val="0"/>
                      <w:sz w:val="21"/>
                      <w:szCs w:val="21"/>
                      <w:u w:val="none" w:color="auto"/>
                      <w:lang w:val="en-US" w:eastAsia="zh-CN"/>
                    </w:rPr>
                    <w:t>边界距离/m</w:t>
                  </w:r>
                </w:p>
              </w:tc>
              <w:tc>
                <w:tcPr>
                  <w:tcW w:w="1761" w:type="dxa"/>
                  <w:gridSpan w:val="4"/>
                  <w:noWrap w:val="0"/>
                  <w:vAlign w:val="center"/>
                </w:tcPr>
                <w:p w14:paraId="41C1D012">
                  <w:pPr>
                    <w:pStyle w:val="349"/>
                    <w:rPr>
                      <w:rFonts w:hint="eastAsia" w:cs="Times New Roman"/>
                      <w:b/>
                      <w:bCs w:val="0"/>
                      <w:sz w:val="21"/>
                      <w:szCs w:val="21"/>
                      <w:u w:val="none" w:color="auto"/>
                      <w:lang w:val="en-US" w:eastAsia="zh-CN"/>
                    </w:rPr>
                  </w:pPr>
                  <w:r>
                    <w:rPr>
                      <w:rFonts w:hint="eastAsia" w:cs="Times New Roman"/>
                      <w:b/>
                      <w:bCs w:val="0"/>
                      <w:sz w:val="21"/>
                      <w:szCs w:val="21"/>
                      <w:u w:val="none" w:color="auto"/>
                      <w:lang w:val="en-US" w:eastAsia="zh-CN"/>
                    </w:rPr>
                    <w:t>到厂界声级</w:t>
                  </w:r>
                  <w:r>
                    <w:rPr>
                      <w:rFonts w:hint="default" w:ascii="Times New Roman" w:hAnsi="Times New Roman" w:eastAsia="宋体" w:cs="Times New Roman"/>
                      <w:b/>
                      <w:bCs w:val="0"/>
                      <w:sz w:val="21"/>
                      <w:szCs w:val="21"/>
                      <w:u w:val="none" w:color="auto"/>
                      <w:lang w:val="en-US" w:eastAsia="zh-CN"/>
                    </w:rPr>
                    <w:t>（dB（A）</w:t>
                  </w:r>
                  <w:r>
                    <w:rPr>
                      <w:rFonts w:hint="eastAsia" w:cs="Times New Roman"/>
                      <w:b/>
                      <w:bCs w:val="0"/>
                      <w:sz w:val="21"/>
                      <w:szCs w:val="21"/>
                      <w:u w:val="none" w:color="auto"/>
                      <w:lang w:val="en-US" w:eastAsia="zh-CN"/>
                    </w:rPr>
                    <w:t>）</w:t>
                  </w:r>
                </w:p>
              </w:tc>
            </w:tr>
            <w:tr w14:paraId="1916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vMerge w:val="continue"/>
                  <w:noWrap w:val="0"/>
                  <w:vAlign w:val="center"/>
                </w:tcPr>
                <w:p w14:paraId="7FEE8513">
                  <w:pPr>
                    <w:pStyle w:val="349"/>
                    <w:rPr>
                      <w:rFonts w:hint="default" w:ascii="Times New Roman" w:hAnsi="Times New Roman" w:eastAsia="宋体" w:cs="Times New Roman"/>
                      <w:b/>
                      <w:bCs w:val="0"/>
                      <w:sz w:val="21"/>
                      <w:szCs w:val="21"/>
                      <w:u w:val="none" w:color="auto"/>
                    </w:rPr>
                  </w:pPr>
                </w:p>
              </w:tc>
              <w:tc>
                <w:tcPr>
                  <w:tcW w:w="481" w:type="dxa"/>
                  <w:vMerge w:val="continue"/>
                  <w:noWrap w:val="0"/>
                  <w:vAlign w:val="center"/>
                </w:tcPr>
                <w:p w14:paraId="2956BFD4">
                  <w:pPr>
                    <w:pStyle w:val="349"/>
                    <w:rPr>
                      <w:rFonts w:hint="default" w:ascii="Times New Roman" w:hAnsi="Times New Roman" w:eastAsia="宋体" w:cs="Times New Roman"/>
                      <w:b/>
                      <w:bCs w:val="0"/>
                      <w:sz w:val="21"/>
                      <w:szCs w:val="21"/>
                      <w:u w:val="none" w:color="auto"/>
                    </w:rPr>
                  </w:pPr>
                </w:p>
              </w:tc>
              <w:tc>
                <w:tcPr>
                  <w:tcW w:w="408" w:type="dxa"/>
                  <w:vMerge w:val="continue"/>
                  <w:noWrap w:val="0"/>
                  <w:vAlign w:val="center"/>
                </w:tcPr>
                <w:p w14:paraId="291E7E73">
                  <w:pPr>
                    <w:pStyle w:val="349"/>
                    <w:rPr>
                      <w:rFonts w:hint="default" w:ascii="Times New Roman" w:hAnsi="Times New Roman" w:eastAsia="宋体" w:cs="Times New Roman"/>
                      <w:b/>
                      <w:bCs w:val="0"/>
                      <w:sz w:val="21"/>
                      <w:szCs w:val="21"/>
                      <w:u w:val="none" w:color="auto"/>
                    </w:rPr>
                  </w:pPr>
                </w:p>
              </w:tc>
              <w:tc>
                <w:tcPr>
                  <w:tcW w:w="389" w:type="dxa"/>
                  <w:vMerge w:val="continue"/>
                  <w:noWrap w:val="0"/>
                  <w:vAlign w:val="center"/>
                </w:tcPr>
                <w:p w14:paraId="3366204C">
                  <w:pPr>
                    <w:pStyle w:val="349"/>
                    <w:rPr>
                      <w:rFonts w:hint="default" w:ascii="Times New Roman" w:hAnsi="Times New Roman" w:eastAsia="宋体" w:cs="Times New Roman"/>
                      <w:b/>
                      <w:bCs w:val="0"/>
                      <w:sz w:val="21"/>
                      <w:szCs w:val="21"/>
                      <w:u w:val="none" w:color="auto"/>
                    </w:rPr>
                  </w:pPr>
                </w:p>
              </w:tc>
              <w:tc>
                <w:tcPr>
                  <w:tcW w:w="741" w:type="dxa"/>
                  <w:vMerge w:val="continue"/>
                  <w:noWrap w:val="0"/>
                  <w:vAlign w:val="center"/>
                </w:tcPr>
                <w:p w14:paraId="46496EA4">
                  <w:pPr>
                    <w:pStyle w:val="349"/>
                    <w:rPr>
                      <w:rFonts w:hint="default" w:ascii="Times New Roman" w:hAnsi="Times New Roman" w:eastAsia="宋体" w:cs="Times New Roman"/>
                      <w:b/>
                      <w:bCs w:val="0"/>
                      <w:sz w:val="21"/>
                      <w:szCs w:val="21"/>
                      <w:u w:val="none" w:color="auto"/>
                    </w:rPr>
                  </w:pPr>
                </w:p>
              </w:tc>
              <w:tc>
                <w:tcPr>
                  <w:tcW w:w="471" w:type="dxa"/>
                  <w:vMerge w:val="continue"/>
                  <w:noWrap w:val="0"/>
                  <w:vAlign w:val="center"/>
                </w:tcPr>
                <w:p w14:paraId="70D94E40">
                  <w:pPr>
                    <w:pStyle w:val="349"/>
                    <w:rPr>
                      <w:rFonts w:hint="default" w:ascii="Times New Roman" w:hAnsi="Times New Roman" w:eastAsia="宋体" w:cs="Times New Roman"/>
                      <w:b/>
                      <w:bCs w:val="0"/>
                      <w:sz w:val="21"/>
                      <w:szCs w:val="21"/>
                      <w:u w:val="none" w:color="auto"/>
                    </w:rPr>
                  </w:pPr>
                </w:p>
              </w:tc>
              <w:tc>
                <w:tcPr>
                  <w:tcW w:w="741" w:type="dxa"/>
                  <w:vMerge w:val="continue"/>
                  <w:noWrap w:val="0"/>
                  <w:vAlign w:val="center"/>
                </w:tcPr>
                <w:p w14:paraId="66705288">
                  <w:pPr>
                    <w:pStyle w:val="349"/>
                    <w:rPr>
                      <w:rFonts w:hint="default" w:ascii="Times New Roman" w:hAnsi="Times New Roman" w:eastAsia="宋体" w:cs="Times New Roman"/>
                      <w:b/>
                      <w:bCs w:val="0"/>
                      <w:sz w:val="21"/>
                      <w:szCs w:val="21"/>
                      <w:u w:val="none" w:color="auto"/>
                    </w:rPr>
                  </w:pPr>
                </w:p>
              </w:tc>
              <w:tc>
                <w:tcPr>
                  <w:tcW w:w="438" w:type="dxa"/>
                  <w:noWrap w:val="0"/>
                  <w:vAlign w:val="center"/>
                </w:tcPr>
                <w:p w14:paraId="4FB1B9EB">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X</w:t>
                  </w:r>
                </w:p>
              </w:tc>
              <w:tc>
                <w:tcPr>
                  <w:tcW w:w="438" w:type="dxa"/>
                  <w:noWrap w:val="0"/>
                  <w:vAlign w:val="center"/>
                </w:tcPr>
                <w:p w14:paraId="2555F41D">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Y</w:t>
                  </w:r>
                </w:p>
              </w:tc>
              <w:tc>
                <w:tcPr>
                  <w:tcW w:w="448" w:type="dxa"/>
                  <w:noWrap w:val="0"/>
                  <w:vAlign w:val="center"/>
                </w:tcPr>
                <w:p w14:paraId="29637C04">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Z</w:t>
                  </w:r>
                </w:p>
              </w:tc>
              <w:tc>
                <w:tcPr>
                  <w:tcW w:w="428" w:type="dxa"/>
                  <w:noWrap w:val="0"/>
                  <w:vAlign w:val="center"/>
                </w:tcPr>
                <w:p w14:paraId="4D250483">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东</w:t>
                  </w:r>
                </w:p>
              </w:tc>
              <w:tc>
                <w:tcPr>
                  <w:tcW w:w="438" w:type="dxa"/>
                  <w:noWrap w:val="0"/>
                  <w:vAlign w:val="center"/>
                </w:tcPr>
                <w:p w14:paraId="20A7AFB0">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南</w:t>
                  </w:r>
                </w:p>
              </w:tc>
              <w:tc>
                <w:tcPr>
                  <w:tcW w:w="438" w:type="dxa"/>
                  <w:noWrap w:val="0"/>
                  <w:vAlign w:val="center"/>
                </w:tcPr>
                <w:p w14:paraId="4A1AB328">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西</w:t>
                  </w:r>
                </w:p>
              </w:tc>
              <w:tc>
                <w:tcPr>
                  <w:tcW w:w="438" w:type="dxa"/>
                  <w:noWrap w:val="0"/>
                  <w:vAlign w:val="center"/>
                </w:tcPr>
                <w:p w14:paraId="297D44B0">
                  <w:pPr>
                    <w:pStyle w:val="349"/>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北</w:t>
                  </w:r>
                </w:p>
              </w:tc>
              <w:tc>
                <w:tcPr>
                  <w:tcW w:w="438" w:type="dxa"/>
                  <w:shd w:val="clear" w:color="auto" w:fill="auto"/>
                  <w:noWrap w:val="0"/>
                  <w:vAlign w:val="center"/>
                </w:tcPr>
                <w:p w14:paraId="13111480">
                  <w:pPr>
                    <w:pStyle w:val="349"/>
                    <w:rPr>
                      <w:rFonts w:hint="default" w:ascii="Times New Roman" w:hAnsi="Times New Roman" w:eastAsia="宋体" w:cs="Times New Roman"/>
                      <w:b/>
                      <w:bCs w:val="0"/>
                      <w:kern w:val="2"/>
                      <w:sz w:val="21"/>
                      <w:szCs w:val="21"/>
                      <w:u w:val="none" w:color="auto"/>
                      <w:lang w:val="en-US" w:eastAsia="zh-CN" w:bidi="ar-SA"/>
                    </w:rPr>
                  </w:pPr>
                  <w:r>
                    <w:rPr>
                      <w:rFonts w:hint="default" w:ascii="Times New Roman" w:hAnsi="Times New Roman" w:eastAsia="宋体" w:cs="Times New Roman"/>
                      <w:b/>
                      <w:bCs w:val="0"/>
                      <w:sz w:val="21"/>
                      <w:szCs w:val="21"/>
                      <w:u w:val="none" w:color="auto"/>
                      <w:lang w:val="en-US" w:eastAsia="zh-CN"/>
                    </w:rPr>
                    <w:t>东</w:t>
                  </w:r>
                </w:p>
              </w:tc>
              <w:tc>
                <w:tcPr>
                  <w:tcW w:w="438" w:type="dxa"/>
                  <w:shd w:val="clear" w:color="auto" w:fill="auto"/>
                  <w:noWrap w:val="0"/>
                  <w:vAlign w:val="center"/>
                </w:tcPr>
                <w:p w14:paraId="2EF2F8D9">
                  <w:pPr>
                    <w:pStyle w:val="349"/>
                    <w:rPr>
                      <w:rFonts w:hint="default" w:ascii="Times New Roman" w:hAnsi="Times New Roman" w:eastAsia="宋体" w:cs="Times New Roman"/>
                      <w:b/>
                      <w:bCs w:val="0"/>
                      <w:kern w:val="2"/>
                      <w:sz w:val="21"/>
                      <w:szCs w:val="21"/>
                      <w:u w:val="none" w:color="auto"/>
                      <w:lang w:val="en-US" w:eastAsia="zh-CN" w:bidi="ar-SA"/>
                    </w:rPr>
                  </w:pPr>
                  <w:r>
                    <w:rPr>
                      <w:rFonts w:hint="default" w:ascii="Times New Roman" w:hAnsi="Times New Roman" w:eastAsia="宋体" w:cs="Times New Roman"/>
                      <w:b/>
                      <w:bCs w:val="0"/>
                      <w:sz w:val="21"/>
                      <w:szCs w:val="21"/>
                      <w:u w:val="none" w:color="auto"/>
                      <w:lang w:val="en-US" w:eastAsia="zh-CN"/>
                    </w:rPr>
                    <w:t>南</w:t>
                  </w:r>
                </w:p>
              </w:tc>
              <w:tc>
                <w:tcPr>
                  <w:tcW w:w="438" w:type="dxa"/>
                  <w:shd w:val="clear" w:color="auto" w:fill="auto"/>
                  <w:noWrap w:val="0"/>
                  <w:vAlign w:val="center"/>
                </w:tcPr>
                <w:p w14:paraId="22775878">
                  <w:pPr>
                    <w:pStyle w:val="349"/>
                    <w:rPr>
                      <w:rFonts w:hint="default" w:ascii="Times New Roman" w:hAnsi="Times New Roman" w:eastAsia="宋体" w:cs="Times New Roman"/>
                      <w:b/>
                      <w:bCs w:val="0"/>
                      <w:kern w:val="2"/>
                      <w:sz w:val="21"/>
                      <w:szCs w:val="21"/>
                      <w:u w:val="none" w:color="auto"/>
                      <w:lang w:val="en-US" w:eastAsia="zh-CN" w:bidi="ar-SA"/>
                    </w:rPr>
                  </w:pPr>
                  <w:r>
                    <w:rPr>
                      <w:rFonts w:hint="default" w:ascii="Times New Roman" w:hAnsi="Times New Roman" w:eastAsia="宋体" w:cs="Times New Roman"/>
                      <w:b/>
                      <w:bCs w:val="0"/>
                      <w:sz w:val="21"/>
                      <w:szCs w:val="21"/>
                      <w:u w:val="none" w:color="auto"/>
                      <w:lang w:val="en-US" w:eastAsia="zh-CN"/>
                    </w:rPr>
                    <w:t>西</w:t>
                  </w:r>
                </w:p>
              </w:tc>
              <w:tc>
                <w:tcPr>
                  <w:tcW w:w="447" w:type="dxa"/>
                  <w:shd w:val="clear" w:color="auto" w:fill="auto"/>
                  <w:noWrap w:val="0"/>
                  <w:vAlign w:val="center"/>
                </w:tcPr>
                <w:p w14:paraId="651E05B3">
                  <w:pPr>
                    <w:pStyle w:val="349"/>
                    <w:rPr>
                      <w:rFonts w:hint="default" w:ascii="Times New Roman" w:hAnsi="Times New Roman" w:eastAsia="宋体" w:cs="Times New Roman"/>
                      <w:b/>
                      <w:bCs w:val="0"/>
                      <w:kern w:val="2"/>
                      <w:sz w:val="21"/>
                      <w:szCs w:val="21"/>
                      <w:u w:val="none" w:color="auto"/>
                      <w:lang w:val="en-US" w:eastAsia="zh-CN" w:bidi="ar-SA"/>
                    </w:rPr>
                  </w:pPr>
                  <w:r>
                    <w:rPr>
                      <w:rFonts w:hint="default" w:ascii="Times New Roman" w:hAnsi="Times New Roman" w:eastAsia="宋体" w:cs="Times New Roman"/>
                      <w:b/>
                      <w:bCs w:val="0"/>
                      <w:sz w:val="21"/>
                      <w:szCs w:val="21"/>
                      <w:u w:val="none" w:color="auto"/>
                      <w:lang w:val="en-US" w:eastAsia="zh-CN"/>
                    </w:rPr>
                    <w:t>北</w:t>
                  </w:r>
                </w:p>
              </w:tc>
            </w:tr>
            <w:tr w14:paraId="2522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28CACA17">
                  <w:pPr>
                    <w:pStyle w:val="349"/>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1</w:t>
                  </w:r>
                </w:p>
              </w:tc>
              <w:tc>
                <w:tcPr>
                  <w:tcW w:w="481" w:type="dxa"/>
                  <w:noWrap w:val="0"/>
                  <w:vAlign w:val="center"/>
                </w:tcPr>
                <w:p w14:paraId="7A34DCE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color="auto"/>
                      <w:lang w:val="en-US" w:eastAsia="zh-CN" w:bidi="ar"/>
                    </w:rPr>
                  </w:pPr>
                  <w:r>
                    <w:rPr>
                      <w:rFonts w:hint="eastAsia" w:cs="Times New Roman"/>
                      <w:i w:val="0"/>
                      <w:iCs w:val="0"/>
                      <w:color w:val="000000"/>
                      <w:kern w:val="0"/>
                      <w:sz w:val="21"/>
                      <w:szCs w:val="21"/>
                      <w:u w:val="none" w:color="auto"/>
                      <w:lang w:val="en-US" w:eastAsia="zh-CN" w:bidi="ar"/>
                    </w:rPr>
                    <w:t>加油区</w:t>
                  </w:r>
                </w:p>
              </w:tc>
              <w:tc>
                <w:tcPr>
                  <w:tcW w:w="408" w:type="dxa"/>
                  <w:noWrap w:val="0"/>
                  <w:vAlign w:val="center"/>
                </w:tcPr>
                <w:p w14:paraId="6A4A977F">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eastAsia" w:cs="Times New Roman"/>
                      <w:i w:val="0"/>
                      <w:iCs w:val="0"/>
                      <w:color w:val="000000"/>
                      <w:kern w:val="0"/>
                      <w:sz w:val="21"/>
                      <w:szCs w:val="21"/>
                      <w:u w:val="none" w:color="auto"/>
                      <w:lang w:val="en-US" w:eastAsia="zh-CN" w:bidi="ar"/>
                    </w:rPr>
                    <w:t>加油机1</w:t>
                  </w:r>
                </w:p>
              </w:tc>
              <w:tc>
                <w:tcPr>
                  <w:tcW w:w="389" w:type="dxa"/>
                  <w:noWrap w:val="0"/>
                  <w:vAlign w:val="center"/>
                </w:tcPr>
                <w:p w14:paraId="48EA71FE">
                  <w:pPr>
                    <w:keepNext w:val="0"/>
                    <w:keepLines w:val="0"/>
                    <w:widowControl/>
                    <w:suppressLineNumbers w:val="0"/>
                    <w:jc w:val="center"/>
                    <w:textAlignment w:val="center"/>
                    <w:rPr>
                      <w:rFonts w:hint="default" w:ascii="Times New Roman" w:hAnsi="Times New Roman" w:eastAsia="宋体" w:cs="Times New Roman"/>
                      <w:sz w:val="21"/>
                      <w:szCs w:val="21"/>
                      <w:u w:val="none" w:color="auto"/>
                    </w:rPr>
                  </w:pPr>
                  <w:r>
                    <w:rPr>
                      <w:rFonts w:hint="eastAsia" w:cs="Times New Roman"/>
                      <w:i w:val="0"/>
                      <w:iCs w:val="0"/>
                      <w:color w:val="000000"/>
                      <w:kern w:val="0"/>
                      <w:sz w:val="21"/>
                      <w:szCs w:val="21"/>
                      <w:u w:val="none" w:color="auto"/>
                      <w:lang w:val="en-US" w:eastAsia="zh-CN" w:bidi="ar"/>
                    </w:rPr>
                    <w:t>1</w:t>
                  </w:r>
                  <w:r>
                    <w:rPr>
                      <w:rFonts w:hint="default" w:ascii="Times New Roman" w:hAnsi="Times New Roman" w:eastAsia="宋体" w:cs="Times New Roman"/>
                      <w:i w:val="0"/>
                      <w:iCs w:val="0"/>
                      <w:color w:val="000000"/>
                      <w:kern w:val="0"/>
                      <w:sz w:val="21"/>
                      <w:szCs w:val="21"/>
                      <w:u w:val="none" w:color="auto"/>
                      <w:lang w:val="en-US" w:eastAsia="zh-CN" w:bidi="ar"/>
                    </w:rPr>
                    <w:t>台</w:t>
                  </w:r>
                </w:p>
              </w:tc>
              <w:tc>
                <w:tcPr>
                  <w:tcW w:w="741" w:type="dxa"/>
                  <w:noWrap w:val="0"/>
                  <w:vAlign w:val="center"/>
                </w:tcPr>
                <w:p w14:paraId="4DFAAE6F">
                  <w:pPr>
                    <w:pStyle w:val="349"/>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60</w:t>
                  </w:r>
                </w:p>
              </w:tc>
              <w:tc>
                <w:tcPr>
                  <w:tcW w:w="471" w:type="dxa"/>
                  <w:vMerge w:val="restart"/>
                  <w:noWrap w:val="0"/>
                  <w:vAlign w:val="center"/>
                </w:tcPr>
                <w:p w14:paraId="19E7A17A">
                  <w:pPr>
                    <w:pStyle w:val="349"/>
                    <w:rPr>
                      <w:rFonts w:hint="default" w:ascii="Times New Roman" w:hAnsi="Times New Roman" w:cs="Times New Roman"/>
                      <w:snapToGrid w:val="0"/>
                      <w:sz w:val="21"/>
                      <w:szCs w:val="21"/>
                      <w:u w:val="none" w:color="auto"/>
                      <w:lang w:val="en-US" w:eastAsia="zh-CN"/>
                    </w:rPr>
                  </w:pPr>
                  <w:r>
                    <w:rPr>
                      <w:rFonts w:hint="eastAsia" w:ascii="Times New Roman" w:hAnsi="Times New Roman" w:cs="Times New Roman"/>
                      <w:snapToGrid w:val="0"/>
                      <w:sz w:val="21"/>
                      <w:szCs w:val="21"/>
                      <w:u w:val="none" w:color="auto"/>
                      <w:lang w:val="en-US" w:eastAsia="zh-CN"/>
                    </w:rPr>
                    <w:t>选用低噪声设备、基础减振</w:t>
                  </w:r>
                </w:p>
              </w:tc>
              <w:tc>
                <w:tcPr>
                  <w:tcW w:w="741" w:type="dxa"/>
                  <w:noWrap w:val="0"/>
                  <w:vAlign w:val="center"/>
                </w:tcPr>
                <w:p w14:paraId="2CE07DB5">
                  <w:pPr>
                    <w:pStyle w:val="349"/>
                    <w:rPr>
                      <w:rFonts w:hint="default" w:ascii="Times New Roman" w:hAnsi="Times New Roman" w:eastAsia="宋体" w:cs="Times New Roman"/>
                      <w:snapToGrid w:val="0"/>
                      <w:sz w:val="21"/>
                      <w:szCs w:val="21"/>
                      <w:u w:val="none" w:color="auto"/>
                      <w:lang w:val="en-US" w:eastAsia="zh-CN"/>
                    </w:rPr>
                  </w:pPr>
                  <w:r>
                    <w:rPr>
                      <w:rFonts w:hint="eastAsia" w:cs="Times New Roman"/>
                      <w:snapToGrid w:val="0"/>
                      <w:sz w:val="21"/>
                      <w:szCs w:val="21"/>
                      <w:u w:val="none" w:color="auto"/>
                      <w:lang w:val="en-US" w:eastAsia="zh-CN"/>
                    </w:rPr>
                    <w:t>50</w:t>
                  </w:r>
                </w:p>
              </w:tc>
              <w:tc>
                <w:tcPr>
                  <w:tcW w:w="438" w:type="dxa"/>
                  <w:noWrap w:val="0"/>
                  <w:vAlign w:val="center"/>
                </w:tcPr>
                <w:p w14:paraId="2726E8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dxa"/>
                  <w:noWrap w:val="0"/>
                  <w:vAlign w:val="center"/>
                </w:tcPr>
                <w:p w14:paraId="652B5E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-27</w:t>
                  </w:r>
                </w:p>
              </w:tc>
              <w:tc>
                <w:tcPr>
                  <w:tcW w:w="448" w:type="dxa"/>
                  <w:noWrap w:val="0"/>
                  <w:vAlign w:val="center"/>
                </w:tcPr>
                <w:p w14:paraId="602BDC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0B1537CC">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8" w:type="dxa"/>
                  <w:noWrap w:val="0"/>
                  <w:vAlign w:val="center"/>
                </w:tcPr>
                <w:p w14:paraId="2224E27A">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438" w:type="dxa"/>
                  <w:noWrap w:val="0"/>
                  <w:vAlign w:val="center"/>
                </w:tcPr>
                <w:p w14:paraId="6951A4BE">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38" w:type="dxa"/>
                  <w:noWrap w:val="0"/>
                  <w:vAlign w:val="center"/>
                </w:tcPr>
                <w:p w14:paraId="239D7B5C">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74.5</w:t>
                  </w:r>
                </w:p>
              </w:tc>
              <w:tc>
                <w:tcPr>
                  <w:tcW w:w="438" w:type="dxa"/>
                  <w:noWrap w:val="0"/>
                  <w:vAlign w:val="center"/>
                </w:tcPr>
                <w:p w14:paraId="2D2EF88E">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34.42 </w:t>
                  </w:r>
                </w:p>
              </w:tc>
              <w:tc>
                <w:tcPr>
                  <w:tcW w:w="438" w:type="dxa"/>
                  <w:noWrap w:val="0"/>
                  <w:vAlign w:val="center"/>
                </w:tcPr>
                <w:p w14:paraId="01FD0B53">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33.76 </w:t>
                  </w:r>
                </w:p>
              </w:tc>
              <w:tc>
                <w:tcPr>
                  <w:tcW w:w="438" w:type="dxa"/>
                  <w:noWrap w:val="0"/>
                  <w:vAlign w:val="center"/>
                </w:tcPr>
                <w:p w14:paraId="7F9BD2E1">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36.48 </w:t>
                  </w:r>
                </w:p>
              </w:tc>
              <w:tc>
                <w:tcPr>
                  <w:tcW w:w="447" w:type="dxa"/>
                  <w:noWrap w:val="0"/>
                  <w:vAlign w:val="center"/>
                </w:tcPr>
                <w:p w14:paraId="24163503">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22.56 </w:t>
                  </w:r>
                </w:p>
              </w:tc>
            </w:tr>
            <w:tr w14:paraId="22A4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313A8313">
                  <w:pPr>
                    <w:pStyle w:val="349"/>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w:t>
                  </w:r>
                </w:p>
              </w:tc>
              <w:tc>
                <w:tcPr>
                  <w:tcW w:w="481" w:type="dxa"/>
                  <w:noWrap w:val="0"/>
                  <w:vAlign w:val="center"/>
                </w:tcPr>
                <w:p w14:paraId="26B44969">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color="auto"/>
                      <w:lang w:val="en-US" w:eastAsia="zh-CN" w:bidi="ar"/>
                    </w:rPr>
                  </w:pPr>
                  <w:r>
                    <w:rPr>
                      <w:rFonts w:hint="eastAsia" w:cs="Times New Roman"/>
                      <w:i w:val="0"/>
                      <w:iCs w:val="0"/>
                      <w:color w:val="000000"/>
                      <w:kern w:val="0"/>
                      <w:sz w:val="21"/>
                      <w:szCs w:val="21"/>
                      <w:u w:val="none" w:color="auto"/>
                      <w:lang w:val="en-US" w:eastAsia="zh-CN" w:bidi="ar"/>
                    </w:rPr>
                    <w:t>加油</w:t>
                  </w:r>
                  <w:r>
                    <w:rPr>
                      <w:rFonts w:hint="default" w:ascii="Times New Roman" w:hAnsi="Times New Roman" w:cs="Times New Roman"/>
                      <w:i w:val="0"/>
                      <w:iCs w:val="0"/>
                      <w:color w:val="000000"/>
                      <w:kern w:val="0"/>
                      <w:sz w:val="21"/>
                      <w:szCs w:val="21"/>
                      <w:u w:val="none" w:color="auto"/>
                      <w:lang w:val="en-US" w:eastAsia="zh-CN" w:bidi="ar"/>
                    </w:rPr>
                    <w:t>区</w:t>
                  </w:r>
                </w:p>
              </w:tc>
              <w:tc>
                <w:tcPr>
                  <w:tcW w:w="408" w:type="dxa"/>
                  <w:noWrap w:val="0"/>
                  <w:vAlign w:val="center"/>
                </w:tcPr>
                <w:p w14:paraId="134A0B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cs="Times New Roman"/>
                      <w:i w:val="0"/>
                      <w:iCs w:val="0"/>
                      <w:color w:val="000000"/>
                      <w:kern w:val="0"/>
                      <w:sz w:val="21"/>
                      <w:szCs w:val="21"/>
                      <w:u w:val="none" w:color="auto"/>
                      <w:lang w:val="en-US" w:eastAsia="zh-CN" w:bidi="ar"/>
                    </w:rPr>
                    <w:t>加油机2</w:t>
                  </w:r>
                </w:p>
              </w:tc>
              <w:tc>
                <w:tcPr>
                  <w:tcW w:w="389" w:type="dxa"/>
                  <w:noWrap w:val="0"/>
                  <w:vAlign w:val="center"/>
                </w:tcPr>
                <w:p w14:paraId="4F4BC8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color="auto"/>
                      <w:lang w:val="en-US" w:eastAsia="zh-CN" w:bidi="ar"/>
                    </w:rPr>
                  </w:pPr>
                  <w:r>
                    <w:rPr>
                      <w:rFonts w:hint="eastAsia" w:ascii="Times New Roman" w:hAnsi="Times New Roman" w:cs="Times New Roman"/>
                      <w:i w:val="0"/>
                      <w:iCs w:val="0"/>
                      <w:color w:val="000000"/>
                      <w:kern w:val="0"/>
                      <w:sz w:val="21"/>
                      <w:szCs w:val="21"/>
                      <w:u w:val="none" w:color="auto"/>
                      <w:lang w:val="en-US" w:eastAsia="zh-CN" w:bidi="ar"/>
                    </w:rPr>
                    <w:t>1</w:t>
                  </w:r>
                  <w:r>
                    <w:rPr>
                      <w:rFonts w:hint="default" w:ascii="Times New Roman" w:hAnsi="Times New Roman" w:eastAsia="宋体" w:cs="Times New Roman"/>
                      <w:i w:val="0"/>
                      <w:iCs w:val="0"/>
                      <w:color w:val="000000"/>
                      <w:kern w:val="0"/>
                      <w:sz w:val="21"/>
                      <w:szCs w:val="21"/>
                      <w:u w:val="none" w:color="auto"/>
                      <w:lang w:val="en-US" w:eastAsia="zh-CN" w:bidi="ar"/>
                    </w:rPr>
                    <w:t>台</w:t>
                  </w:r>
                </w:p>
              </w:tc>
              <w:tc>
                <w:tcPr>
                  <w:tcW w:w="741" w:type="dxa"/>
                  <w:noWrap w:val="0"/>
                  <w:vAlign w:val="center"/>
                </w:tcPr>
                <w:p w14:paraId="5F7E71EF">
                  <w:pPr>
                    <w:pStyle w:val="349"/>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60</w:t>
                  </w:r>
                </w:p>
              </w:tc>
              <w:tc>
                <w:tcPr>
                  <w:tcW w:w="471" w:type="dxa"/>
                  <w:vMerge w:val="continue"/>
                  <w:noWrap w:val="0"/>
                  <w:vAlign w:val="center"/>
                </w:tcPr>
                <w:p w14:paraId="29711FB3">
                  <w:pPr>
                    <w:pStyle w:val="349"/>
                    <w:rPr>
                      <w:rFonts w:hint="default" w:ascii="Times New Roman" w:hAnsi="Times New Roman" w:cs="Times New Roman"/>
                      <w:snapToGrid w:val="0"/>
                      <w:sz w:val="21"/>
                      <w:szCs w:val="21"/>
                      <w:u w:val="none" w:color="auto"/>
                      <w:lang w:val="en-US" w:eastAsia="zh-CN"/>
                    </w:rPr>
                  </w:pPr>
                </w:p>
              </w:tc>
              <w:tc>
                <w:tcPr>
                  <w:tcW w:w="741" w:type="dxa"/>
                  <w:noWrap w:val="0"/>
                  <w:vAlign w:val="center"/>
                </w:tcPr>
                <w:p w14:paraId="211B6A13">
                  <w:pPr>
                    <w:pStyle w:val="349"/>
                    <w:rPr>
                      <w:rFonts w:hint="default" w:ascii="Times New Roman" w:hAnsi="Times New Roman" w:eastAsia="宋体" w:cs="Times New Roman"/>
                      <w:snapToGrid w:val="0"/>
                      <w:sz w:val="21"/>
                      <w:szCs w:val="21"/>
                      <w:u w:val="none" w:color="auto"/>
                      <w:lang w:val="en-US" w:eastAsia="zh-CN"/>
                    </w:rPr>
                  </w:pPr>
                  <w:r>
                    <w:rPr>
                      <w:rFonts w:hint="eastAsia" w:cs="Times New Roman"/>
                      <w:snapToGrid w:val="0"/>
                      <w:sz w:val="21"/>
                      <w:szCs w:val="21"/>
                      <w:u w:val="none" w:color="auto"/>
                      <w:lang w:val="en-US" w:eastAsia="zh-CN"/>
                    </w:rPr>
                    <w:t>50</w:t>
                  </w:r>
                </w:p>
              </w:tc>
              <w:tc>
                <w:tcPr>
                  <w:tcW w:w="438" w:type="dxa"/>
                  <w:noWrap w:val="0"/>
                  <w:vAlign w:val="center"/>
                </w:tcPr>
                <w:p w14:paraId="326258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dxa"/>
                  <w:noWrap w:val="0"/>
                  <w:vAlign w:val="center"/>
                </w:tcPr>
                <w:p w14:paraId="4E4F1F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448" w:type="dxa"/>
                  <w:noWrap w:val="0"/>
                  <w:vAlign w:val="center"/>
                </w:tcPr>
                <w:p w14:paraId="3E875A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0C88CBA0">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8" w:type="dxa"/>
                  <w:noWrap w:val="0"/>
                  <w:vAlign w:val="center"/>
                </w:tcPr>
                <w:p w14:paraId="1020CECF">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38" w:type="dxa"/>
                  <w:noWrap w:val="0"/>
                  <w:vAlign w:val="center"/>
                </w:tcPr>
                <w:p w14:paraId="76DE869D">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38" w:type="dxa"/>
                  <w:noWrap w:val="0"/>
                  <w:vAlign w:val="center"/>
                </w:tcPr>
                <w:p w14:paraId="052123B5">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63.5</w:t>
                  </w:r>
                </w:p>
              </w:tc>
              <w:tc>
                <w:tcPr>
                  <w:tcW w:w="438" w:type="dxa"/>
                  <w:noWrap w:val="0"/>
                  <w:vAlign w:val="center"/>
                </w:tcPr>
                <w:p w14:paraId="0C995022">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34.42 </w:t>
                  </w:r>
                </w:p>
              </w:tc>
              <w:tc>
                <w:tcPr>
                  <w:tcW w:w="438" w:type="dxa"/>
                  <w:noWrap w:val="0"/>
                  <w:vAlign w:val="center"/>
                </w:tcPr>
                <w:p w14:paraId="35726F70">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30.03 </w:t>
                  </w:r>
                </w:p>
              </w:tc>
              <w:tc>
                <w:tcPr>
                  <w:tcW w:w="438" w:type="dxa"/>
                  <w:noWrap w:val="0"/>
                  <w:vAlign w:val="center"/>
                </w:tcPr>
                <w:p w14:paraId="2BD594A4">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36.48 </w:t>
                  </w:r>
                </w:p>
              </w:tc>
              <w:tc>
                <w:tcPr>
                  <w:tcW w:w="447" w:type="dxa"/>
                  <w:noWrap w:val="0"/>
                  <w:vAlign w:val="center"/>
                </w:tcPr>
                <w:p w14:paraId="650F94E7">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23.94 </w:t>
                  </w:r>
                </w:p>
              </w:tc>
            </w:tr>
            <w:tr w14:paraId="64CA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5BEB5F37">
                  <w:pPr>
                    <w:pStyle w:val="349"/>
                    <w:rPr>
                      <w:rFonts w:hint="default" w:ascii="Times New Roman" w:hAnsi="Times New Roman" w:eastAsia="宋体"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3</w:t>
                  </w:r>
                </w:p>
              </w:tc>
              <w:tc>
                <w:tcPr>
                  <w:tcW w:w="481" w:type="dxa"/>
                  <w:noWrap w:val="0"/>
                  <w:vAlign w:val="center"/>
                </w:tcPr>
                <w:p w14:paraId="22DF8342">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加油区</w:t>
                  </w:r>
                </w:p>
              </w:tc>
              <w:tc>
                <w:tcPr>
                  <w:tcW w:w="408" w:type="dxa"/>
                  <w:noWrap w:val="0"/>
                  <w:vAlign w:val="center"/>
                </w:tcPr>
                <w:p w14:paraId="38E286B8">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eastAsia" w:cs="Times New Roman"/>
                      <w:i w:val="0"/>
                      <w:iCs w:val="0"/>
                      <w:color w:val="000000"/>
                      <w:kern w:val="0"/>
                      <w:sz w:val="21"/>
                      <w:szCs w:val="21"/>
                      <w:u w:val="none" w:color="auto"/>
                      <w:lang w:val="en-US" w:eastAsia="zh-CN" w:bidi="ar"/>
                    </w:rPr>
                    <w:t>加油机3</w:t>
                  </w:r>
                </w:p>
              </w:tc>
              <w:tc>
                <w:tcPr>
                  <w:tcW w:w="389" w:type="dxa"/>
                  <w:noWrap w:val="0"/>
                  <w:vAlign w:val="center"/>
                </w:tcPr>
                <w:p w14:paraId="1F410959">
                  <w:pPr>
                    <w:keepNext w:val="0"/>
                    <w:keepLines w:val="0"/>
                    <w:widowControl/>
                    <w:suppressLineNumbers w:val="0"/>
                    <w:jc w:val="center"/>
                    <w:textAlignment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i w:val="0"/>
                      <w:iCs w:val="0"/>
                      <w:color w:val="000000"/>
                      <w:kern w:val="0"/>
                      <w:sz w:val="21"/>
                      <w:szCs w:val="21"/>
                      <w:u w:val="none" w:color="auto"/>
                      <w:lang w:val="en-US" w:eastAsia="zh-CN" w:bidi="ar"/>
                    </w:rPr>
                    <w:t>1台</w:t>
                  </w:r>
                </w:p>
              </w:tc>
              <w:tc>
                <w:tcPr>
                  <w:tcW w:w="741" w:type="dxa"/>
                  <w:noWrap w:val="0"/>
                  <w:vAlign w:val="center"/>
                </w:tcPr>
                <w:p w14:paraId="6B455604">
                  <w:pPr>
                    <w:pStyle w:val="349"/>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60</w:t>
                  </w:r>
                </w:p>
              </w:tc>
              <w:tc>
                <w:tcPr>
                  <w:tcW w:w="471" w:type="dxa"/>
                  <w:vMerge w:val="continue"/>
                  <w:noWrap w:val="0"/>
                  <w:vAlign w:val="center"/>
                </w:tcPr>
                <w:p w14:paraId="7BDB771F">
                  <w:pPr>
                    <w:pStyle w:val="349"/>
                    <w:rPr>
                      <w:rFonts w:hint="default" w:ascii="Times New Roman" w:hAnsi="Times New Roman" w:cs="Times New Roman"/>
                      <w:sz w:val="21"/>
                      <w:szCs w:val="21"/>
                      <w:u w:val="none" w:color="auto"/>
                      <w:lang w:val="en-US" w:eastAsia="zh-CN"/>
                    </w:rPr>
                  </w:pPr>
                </w:p>
              </w:tc>
              <w:tc>
                <w:tcPr>
                  <w:tcW w:w="741" w:type="dxa"/>
                  <w:noWrap w:val="0"/>
                  <w:vAlign w:val="center"/>
                </w:tcPr>
                <w:p w14:paraId="487B9B7D">
                  <w:pPr>
                    <w:pStyle w:val="34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50</w:t>
                  </w:r>
                </w:p>
              </w:tc>
              <w:tc>
                <w:tcPr>
                  <w:tcW w:w="438" w:type="dxa"/>
                  <w:noWrap w:val="0"/>
                  <w:vAlign w:val="center"/>
                </w:tcPr>
                <w:p w14:paraId="32666D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dxa"/>
                  <w:noWrap w:val="0"/>
                  <w:vAlign w:val="center"/>
                </w:tcPr>
                <w:p w14:paraId="1557B1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448" w:type="dxa"/>
                  <w:noWrap w:val="0"/>
                  <w:vAlign w:val="center"/>
                </w:tcPr>
                <w:p w14:paraId="14C839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6616FF7F">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8" w:type="dxa"/>
                  <w:noWrap w:val="0"/>
                  <w:vAlign w:val="center"/>
                </w:tcPr>
                <w:p w14:paraId="7EEE965C">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438" w:type="dxa"/>
                  <w:noWrap w:val="0"/>
                  <w:vAlign w:val="center"/>
                </w:tcPr>
                <w:p w14:paraId="54337AB3">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38" w:type="dxa"/>
                  <w:noWrap w:val="0"/>
                  <w:vAlign w:val="center"/>
                </w:tcPr>
                <w:p w14:paraId="72CA4B7A">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52.5</w:t>
                  </w:r>
                </w:p>
              </w:tc>
              <w:tc>
                <w:tcPr>
                  <w:tcW w:w="438" w:type="dxa"/>
                  <w:noWrap w:val="0"/>
                  <w:vAlign w:val="center"/>
                </w:tcPr>
                <w:p w14:paraId="1CDAE315">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34.42 </w:t>
                  </w:r>
                </w:p>
              </w:tc>
              <w:tc>
                <w:tcPr>
                  <w:tcW w:w="438" w:type="dxa"/>
                  <w:noWrap w:val="0"/>
                  <w:vAlign w:val="center"/>
                </w:tcPr>
                <w:p w14:paraId="7313271E">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27.43 </w:t>
                  </w:r>
                </w:p>
              </w:tc>
              <w:tc>
                <w:tcPr>
                  <w:tcW w:w="438" w:type="dxa"/>
                  <w:noWrap w:val="0"/>
                  <w:vAlign w:val="center"/>
                </w:tcPr>
                <w:p w14:paraId="4D348FB8">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36.48 </w:t>
                  </w:r>
                </w:p>
              </w:tc>
              <w:tc>
                <w:tcPr>
                  <w:tcW w:w="447" w:type="dxa"/>
                  <w:noWrap w:val="0"/>
                  <w:vAlign w:val="center"/>
                </w:tcPr>
                <w:p w14:paraId="791F5731">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25.60 </w:t>
                  </w:r>
                </w:p>
              </w:tc>
            </w:tr>
            <w:tr w14:paraId="2494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7A0191F0">
                  <w:pPr>
                    <w:pStyle w:val="349"/>
                    <w:rPr>
                      <w:rFonts w:hint="default" w:ascii="Times New Roman" w:hAnsi="Times New Roman" w:cs="Times New Roman"/>
                      <w:sz w:val="21"/>
                      <w:szCs w:val="21"/>
                      <w:u w:val="none" w:color="auto"/>
                      <w:lang w:val="en-US" w:eastAsia="zh-CN"/>
                    </w:rPr>
                  </w:pPr>
                  <w:r>
                    <w:rPr>
                      <w:rFonts w:hint="default" w:ascii="Times New Roman" w:hAnsi="Times New Roman" w:cs="Times New Roman"/>
                      <w:sz w:val="21"/>
                      <w:szCs w:val="21"/>
                      <w:u w:val="none" w:color="auto"/>
                      <w:lang w:val="en-US" w:eastAsia="zh-CN"/>
                    </w:rPr>
                    <w:t>4</w:t>
                  </w:r>
                </w:p>
              </w:tc>
              <w:tc>
                <w:tcPr>
                  <w:tcW w:w="481" w:type="dxa"/>
                  <w:noWrap w:val="0"/>
                  <w:vAlign w:val="center"/>
                </w:tcPr>
                <w:p w14:paraId="61CDB393">
                  <w:pPr>
                    <w:keepNext w:val="0"/>
                    <w:keepLines w:val="0"/>
                    <w:widowControl/>
                    <w:suppressLineNumbers w:val="0"/>
                    <w:jc w:val="both"/>
                    <w:textAlignment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加油区</w:t>
                  </w:r>
                </w:p>
              </w:tc>
              <w:tc>
                <w:tcPr>
                  <w:tcW w:w="408" w:type="dxa"/>
                  <w:noWrap w:val="0"/>
                  <w:vAlign w:val="center"/>
                </w:tcPr>
                <w:p w14:paraId="776823BC">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eastAsia" w:cs="Times New Roman"/>
                      <w:i w:val="0"/>
                      <w:iCs w:val="0"/>
                      <w:color w:val="000000"/>
                      <w:kern w:val="0"/>
                      <w:sz w:val="21"/>
                      <w:szCs w:val="21"/>
                      <w:u w:val="none" w:color="auto"/>
                      <w:lang w:val="en-US" w:eastAsia="zh-CN" w:bidi="ar"/>
                    </w:rPr>
                    <w:t>加油机4</w:t>
                  </w:r>
                </w:p>
              </w:tc>
              <w:tc>
                <w:tcPr>
                  <w:tcW w:w="389" w:type="dxa"/>
                  <w:noWrap w:val="0"/>
                  <w:vAlign w:val="center"/>
                </w:tcPr>
                <w:p w14:paraId="344A63A9">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w:t>
                  </w:r>
                  <w:r>
                    <w:rPr>
                      <w:rFonts w:hint="eastAsia" w:cs="Times New Roman"/>
                      <w:sz w:val="21"/>
                      <w:szCs w:val="21"/>
                      <w:u w:val="none" w:color="auto"/>
                      <w:lang w:val="en-US" w:eastAsia="zh-CN"/>
                    </w:rPr>
                    <w:t>台</w:t>
                  </w:r>
                </w:p>
              </w:tc>
              <w:tc>
                <w:tcPr>
                  <w:tcW w:w="741" w:type="dxa"/>
                  <w:noWrap w:val="0"/>
                  <w:vAlign w:val="center"/>
                </w:tcPr>
                <w:p w14:paraId="75506EFD">
                  <w:pPr>
                    <w:pStyle w:val="349"/>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60</w:t>
                  </w:r>
                </w:p>
              </w:tc>
              <w:tc>
                <w:tcPr>
                  <w:tcW w:w="471" w:type="dxa"/>
                  <w:vMerge w:val="continue"/>
                  <w:noWrap w:val="0"/>
                  <w:vAlign w:val="center"/>
                </w:tcPr>
                <w:p w14:paraId="39770683">
                  <w:pPr>
                    <w:pStyle w:val="349"/>
                    <w:rPr>
                      <w:rFonts w:hint="default" w:ascii="Times New Roman" w:hAnsi="Times New Roman" w:cs="Times New Roman"/>
                      <w:sz w:val="21"/>
                      <w:szCs w:val="21"/>
                      <w:u w:val="none" w:color="auto"/>
                      <w:lang w:val="en-US" w:eastAsia="zh-CN"/>
                    </w:rPr>
                  </w:pPr>
                </w:p>
              </w:tc>
              <w:tc>
                <w:tcPr>
                  <w:tcW w:w="741" w:type="dxa"/>
                  <w:noWrap w:val="0"/>
                  <w:vAlign w:val="center"/>
                </w:tcPr>
                <w:p w14:paraId="386A2EDD">
                  <w:pPr>
                    <w:pStyle w:val="34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50</w:t>
                  </w:r>
                </w:p>
              </w:tc>
              <w:tc>
                <w:tcPr>
                  <w:tcW w:w="438" w:type="dxa"/>
                  <w:noWrap w:val="0"/>
                  <w:vAlign w:val="center"/>
                </w:tcPr>
                <w:p w14:paraId="3911D7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dxa"/>
                  <w:noWrap w:val="0"/>
                  <w:vAlign w:val="center"/>
                </w:tcPr>
                <w:p w14:paraId="1E21E7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448" w:type="dxa"/>
                  <w:noWrap w:val="0"/>
                  <w:vAlign w:val="center"/>
                </w:tcPr>
                <w:p w14:paraId="6398AC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03B16D75">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8" w:type="dxa"/>
                  <w:noWrap w:val="0"/>
                  <w:vAlign w:val="center"/>
                </w:tcPr>
                <w:p w14:paraId="1698C906">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53.5</w:t>
                  </w:r>
                </w:p>
              </w:tc>
              <w:tc>
                <w:tcPr>
                  <w:tcW w:w="438" w:type="dxa"/>
                  <w:noWrap w:val="0"/>
                  <w:vAlign w:val="center"/>
                </w:tcPr>
                <w:p w14:paraId="431C9138">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38" w:type="dxa"/>
                  <w:noWrap w:val="0"/>
                  <w:vAlign w:val="center"/>
                </w:tcPr>
                <w:p w14:paraId="3456D937">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438" w:type="dxa"/>
                  <w:noWrap w:val="0"/>
                  <w:vAlign w:val="center"/>
                </w:tcPr>
                <w:p w14:paraId="11D0C966">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34.42 </w:t>
                  </w:r>
                </w:p>
              </w:tc>
              <w:tc>
                <w:tcPr>
                  <w:tcW w:w="438" w:type="dxa"/>
                  <w:noWrap w:val="0"/>
                  <w:vAlign w:val="center"/>
                </w:tcPr>
                <w:p w14:paraId="262DBB8A">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25.43 </w:t>
                  </w:r>
                </w:p>
              </w:tc>
              <w:tc>
                <w:tcPr>
                  <w:tcW w:w="438" w:type="dxa"/>
                  <w:noWrap w:val="0"/>
                  <w:vAlign w:val="center"/>
                </w:tcPr>
                <w:p w14:paraId="35D39A07">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36.48 </w:t>
                  </w:r>
                </w:p>
              </w:tc>
              <w:tc>
                <w:tcPr>
                  <w:tcW w:w="447" w:type="dxa"/>
                  <w:noWrap w:val="0"/>
                  <w:vAlign w:val="center"/>
                </w:tcPr>
                <w:p w14:paraId="59756959">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27.64 </w:t>
                  </w:r>
                </w:p>
              </w:tc>
            </w:tr>
            <w:tr w14:paraId="1DF5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134F6418">
                  <w:pPr>
                    <w:pStyle w:val="34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5</w:t>
                  </w:r>
                </w:p>
              </w:tc>
              <w:tc>
                <w:tcPr>
                  <w:tcW w:w="481" w:type="dxa"/>
                  <w:noWrap w:val="0"/>
                  <w:vAlign w:val="center"/>
                </w:tcPr>
                <w:p w14:paraId="16B7CF2E">
                  <w:pPr>
                    <w:keepNext w:val="0"/>
                    <w:keepLines w:val="0"/>
                    <w:widowControl/>
                    <w:suppressLineNumbers w:val="0"/>
                    <w:jc w:val="both"/>
                    <w:textAlignment w:val="center"/>
                    <w:rPr>
                      <w:rFonts w:hint="default" w:cs="Times New Roman"/>
                      <w:sz w:val="21"/>
                      <w:szCs w:val="21"/>
                      <w:u w:val="none" w:color="auto"/>
                      <w:lang w:val="en-US" w:eastAsia="zh-CN"/>
                    </w:rPr>
                  </w:pPr>
                  <w:r>
                    <w:rPr>
                      <w:rFonts w:hint="eastAsia" w:cs="Times New Roman"/>
                      <w:sz w:val="21"/>
                      <w:szCs w:val="21"/>
                      <w:u w:val="none" w:color="auto"/>
                      <w:lang w:val="en-US" w:eastAsia="zh-CN"/>
                    </w:rPr>
                    <w:t>卸油区</w:t>
                  </w:r>
                </w:p>
              </w:tc>
              <w:tc>
                <w:tcPr>
                  <w:tcW w:w="408" w:type="dxa"/>
                  <w:noWrap w:val="0"/>
                  <w:vAlign w:val="center"/>
                </w:tcPr>
                <w:p w14:paraId="364F2865">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油气回收系统</w:t>
                  </w:r>
                </w:p>
              </w:tc>
              <w:tc>
                <w:tcPr>
                  <w:tcW w:w="389" w:type="dxa"/>
                  <w:noWrap w:val="0"/>
                  <w:vAlign w:val="center"/>
                </w:tcPr>
                <w:p w14:paraId="3EB21B55">
                  <w:pPr>
                    <w:keepNext w:val="0"/>
                    <w:keepLines w:val="0"/>
                    <w:widowControl/>
                    <w:suppressLineNumbers w:val="0"/>
                    <w:jc w:val="center"/>
                    <w:textAlignment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1套</w:t>
                  </w:r>
                </w:p>
              </w:tc>
              <w:tc>
                <w:tcPr>
                  <w:tcW w:w="741" w:type="dxa"/>
                  <w:noWrap w:val="0"/>
                  <w:vAlign w:val="center"/>
                </w:tcPr>
                <w:p w14:paraId="009253F2">
                  <w:pPr>
                    <w:pStyle w:val="34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70</w:t>
                  </w:r>
                </w:p>
              </w:tc>
              <w:tc>
                <w:tcPr>
                  <w:tcW w:w="471" w:type="dxa"/>
                  <w:vMerge w:val="continue"/>
                  <w:noWrap w:val="0"/>
                  <w:vAlign w:val="center"/>
                </w:tcPr>
                <w:p w14:paraId="2C9BB9C9">
                  <w:pPr>
                    <w:pStyle w:val="349"/>
                    <w:rPr>
                      <w:rFonts w:hint="eastAsia" w:ascii="Times New Roman" w:hAnsi="Times New Roman" w:cs="Times New Roman"/>
                      <w:sz w:val="21"/>
                      <w:szCs w:val="21"/>
                      <w:u w:val="none" w:color="auto"/>
                      <w:lang w:val="en-US" w:eastAsia="zh-CN"/>
                    </w:rPr>
                  </w:pPr>
                </w:p>
              </w:tc>
              <w:tc>
                <w:tcPr>
                  <w:tcW w:w="741" w:type="dxa"/>
                  <w:noWrap w:val="0"/>
                  <w:vAlign w:val="center"/>
                </w:tcPr>
                <w:p w14:paraId="3A4A2C6B">
                  <w:pPr>
                    <w:pStyle w:val="349"/>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60</w:t>
                  </w:r>
                </w:p>
              </w:tc>
              <w:tc>
                <w:tcPr>
                  <w:tcW w:w="438" w:type="dxa"/>
                  <w:noWrap w:val="0"/>
                  <w:vAlign w:val="center"/>
                </w:tcPr>
                <w:p w14:paraId="1C1880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dxa"/>
                  <w:noWrap w:val="0"/>
                  <w:vAlign w:val="center"/>
                </w:tcPr>
                <w:p w14:paraId="05D62C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w:t>
                  </w:r>
                </w:p>
              </w:tc>
              <w:tc>
                <w:tcPr>
                  <w:tcW w:w="448" w:type="dxa"/>
                  <w:noWrap w:val="0"/>
                  <w:vAlign w:val="center"/>
                </w:tcPr>
                <w:p w14:paraId="56DD89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24A88668">
                  <w:pPr>
                    <w:keepNext w:val="0"/>
                    <w:keepLines w:val="0"/>
                    <w:widowControl/>
                    <w:suppressLineNumbers w:val="0"/>
                    <w:jc w:val="center"/>
                    <w:textAlignment w:val="center"/>
                    <w:rPr>
                      <w:rFonts w:hint="default"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38" w:type="dxa"/>
                  <w:noWrap w:val="0"/>
                  <w:vAlign w:val="center"/>
                </w:tcPr>
                <w:p w14:paraId="45E32D13">
                  <w:pPr>
                    <w:keepNext w:val="0"/>
                    <w:keepLines w:val="0"/>
                    <w:widowControl/>
                    <w:suppressLineNumbers w:val="0"/>
                    <w:jc w:val="center"/>
                    <w:textAlignment w:val="center"/>
                    <w:rPr>
                      <w:rFonts w:hint="default"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438" w:type="dxa"/>
                  <w:noWrap w:val="0"/>
                  <w:vAlign w:val="center"/>
                </w:tcPr>
                <w:p w14:paraId="2D7759FF">
                  <w:pPr>
                    <w:keepNext w:val="0"/>
                    <w:keepLines w:val="0"/>
                    <w:widowControl/>
                    <w:suppressLineNumbers w:val="0"/>
                    <w:jc w:val="center"/>
                    <w:textAlignment w:val="center"/>
                    <w:rPr>
                      <w:rFonts w:hint="default"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38" w:type="dxa"/>
                  <w:noWrap w:val="0"/>
                  <w:vAlign w:val="center"/>
                </w:tcPr>
                <w:p w14:paraId="5EA8217E">
                  <w:pPr>
                    <w:keepNext w:val="0"/>
                    <w:keepLines w:val="0"/>
                    <w:widowControl/>
                    <w:suppressLineNumbers w:val="0"/>
                    <w:jc w:val="center"/>
                    <w:textAlignment w:val="center"/>
                    <w:rPr>
                      <w:rFonts w:hint="default"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81.5</w:t>
                  </w:r>
                </w:p>
              </w:tc>
              <w:tc>
                <w:tcPr>
                  <w:tcW w:w="438" w:type="dxa"/>
                  <w:noWrap w:val="0"/>
                  <w:vAlign w:val="center"/>
                </w:tcPr>
                <w:p w14:paraId="11FF48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44.42 </w:t>
                  </w:r>
                </w:p>
              </w:tc>
              <w:tc>
                <w:tcPr>
                  <w:tcW w:w="438" w:type="dxa"/>
                  <w:noWrap w:val="0"/>
                  <w:vAlign w:val="center"/>
                </w:tcPr>
                <w:p w14:paraId="10DAC9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47.39 </w:t>
                  </w:r>
                </w:p>
              </w:tc>
              <w:tc>
                <w:tcPr>
                  <w:tcW w:w="438" w:type="dxa"/>
                  <w:noWrap w:val="0"/>
                  <w:vAlign w:val="center"/>
                </w:tcPr>
                <w:p w14:paraId="74F139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46.48 </w:t>
                  </w:r>
                </w:p>
              </w:tc>
              <w:tc>
                <w:tcPr>
                  <w:tcW w:w="447" w:type="dxa"/>
                  <w:noWrap w:val="0"/>
                  <w:vAlign w:val="center"/>
                </w:tcPr>
                <w:p w14:paraId="4BAE1D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31.78 </w:t>
                  </w:r>
                </w:p>
              </w:tc>
            </w:tr>
            <w:tr w14:paraId="2F28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16" w:type="dxa"/>
                  <w:noWrap w:val="0"/>
                  <w:vAlign w:val="center"/>
                </w:tcPr>
                <w:p w14:paraId="12BA5455">
                  <w:pPr>
                    <w:pStyle w:val="349"/>
                    <w:rPr>
                      <w:rFonts w:hint="default" w:cs="Times New Roman"/>
                      <w:sz w:val="21"/>
                      <w:szCs w:val="21"/>
                      <w:u w:val="none" w:color="auto"/>
                      <w:lang w:val="en-US" w:eastAsia="zh-CN"/>
                    </w:rPr>
                  </w:pPr>
                  <w:r>
                    <w:rPr>
                      <w:rFonts w:hint="eastAsia" w:cs="Times New Roman"/>
                      <w:sz w:val="21"/>
                      <w:szCs w:val="21"/>
                      <w:u w:val="none" w:color="auto"/>
                      <w:lang w:val="en-US" w:eastAsia="zh-CN"/>
                    </w:rPr>
                    <w:t>6</w:t>
                  </w:r>
                </w:p>
              </w:tc>
              <w:tc>
                <w:tcPr>
                  <w:tcW w:w="481" w:type="dxa"/>
                  <w:noWrap w:val="0"/>
                  <w:vAlign w:val="center"/>
                </w:tcPr>
                <w:p w14:paraId="0EFCC01E">
                  <w:pPr>
                    <w:keepNext w:val="0"/>
                    <w:keepLines w:val="0"/>
                    <w:widowControl/>
                    <w:suppressLineNumbers w:val="0"/>
                    <w:jc w:val="both"/>
                    <w:textAlignment w:val="center"/>
                    <w:rPr>
                      <w:rFonts w:hint="default" w:cs="Times New Roman"/>
                      <w:sz w:val="21"/>
                      <w:szCs w:val="21"/>
                      <w:u w:val="none" w:color="auto"/>
                      <w:lang w:val="en-US" w:eastAsia="zh-CN"/>
                    </w:rPr>
                  </w:pPr>
                  <w:r>
                    <w:rPr>
                      <w:rFonts w:hint="eastAsia" w:cs="Times New Roman"/>
                      <w:sz w:val="21"/>
                      <w:szCs w:val="21"/>
                      <w:u w:val="none" w:color="auto"/>
                      <w:lang w:val="en-US" w:eastAsia="zh-CN"/>
                    </w:rPr>
                    <w:t>厂区</w:t>
                  </w:r>
                </w:p>
              </w:tc>
              <w:tc>
                <w:tcPr>
                  <w:tcW w:w="408" w:type="dxa"/>
                  <w:noWrap w:val="0"/>
                  <w:vAlign w:val="center"/>
                </w:tcPr>
                <w:p w14:paraId="3750307B">
                  <w:pPr>
                    <w:keepNext w:val="0"/>
                    <w:keepLines w:val="0"/>
                    <w:widowControl/>
                    <w:suppressLineNumbers w:val="0"/>
                    <w:jc w:val="center"/>
                    <w:textAlignment w:val="center"/>
                    <w:rPr>
                      <w:rFonts w:hint="default" w:cs="Times New Roman"/>
                      <w:sz w:val="21"/>
                      <w:szCs w:val="21"/>
                      <w:u w:val="none" w:color="auto"/>
                      <w:lang w:val="en-US" w:eastAsia="zh-CN"/>
                    </w:rPr>
                  </w:pPr>
                  <w:r>
                    <w:rPr>
                      <w:rFonts w:hint="eastAsia" w:cs="Times New Roman"/>
                      <w:sz w:val="21"/>
                      <w:szCs w:val="21"/>
                      <w:u w:val="none" w:color="auto"/>
                      <w:lang w:val="en-US" w:eastAsia="zh-CN"/>
                    </w:rPr>
                    <w:t>自动洗车机</w:t>
                  </w:r>
                </w:p>
              </w:tc>
              <w:tc>
                <w:tcPr>
                  <w:tcW w:w="389" w:type="dxa"/>
                  <w:noWrap w:val="0"/>
                  <w:vAlign w:val="center"/>
                </w:tcPr>
                <w:p w14:paraId="22B26AEE">
                  <w:pPr>
                    <w:keepNext w:val="0"/>
                    <w:keepLines w:val="0"/>
                    <w:widowControl/>
                    <w:suppressLineNumbers w:val="0"/>
                    <w:jc w:val="center"/>
                    <w:textAlignment w:val="center"/>
                    <w:rPr>
                      <w:rFonts w:hint="default" w:cs="Times New Roman"/>
                      <w:sz w:val="21"/>
                      <w:szCs w:val="21"/>
                      <w:u w:val="none" w:color="auto"/>
                      <w:lang w:val="en-US" w:eastAsia="zh-CN"/>
                    </w:rPr>
                  </w:pPr>
                  <w:r>
                    <w:rPr>
                      <w:rFonts w:hint="eastAsia" w:cs="Times New Roman"/>
                      <w:sz w:val="21"/>
                      <w:szCs w:val="21"/>
                      <w:u w:val="none" w:color="auto"/>
                      <w:lang w:val="en-US" w:eastAsia="zh-CN"/>
                    </w:rPr>
                    <w:t>1台</w:t>
                  </w:r>
                </w:p>
              </w:tc>
              <w:tc>
                <w:tcPr>
                  <w:tcW w:w="741" w:type="dxa"/>
                  <w:noWrap w:val="0"/>
                  <w:vAlign w:val="center"/>
                </w:tcPr>
                <w:p w14:paraId="28230A8B">
                  <w:pPr>
                    <w:pStyle w:val="349"/>
                    <w:rPr>
                      <w:rFonts w:hint="default" w:cs="Times New Roman"/>
                      <w:sz w:val="21"/>
                      <w:szCs w:val="21"/>
                      <w:u w:val="none" w:color="auto"/>
                      <w:lang w:val="en-US" w:eastAsia="zh-CN"/>
                    </w:rPr>
                  </w:pPr>
                  <w:r>
                    <w:rPr>
                      <w:rFonts w:hint="eastAsia" w:cs="Times New Roman"/>
                      <w:sz w:val="21"/>
                      <w:szCs w:val="21"/>
                      <w:u w:val="none" w:color="auto"/>
                      <w:lang w:val="en-US" w:eastAsia="zh-CN"/>
                    </w:rPr>
                    <w:t>70</w:t>
                  </w:r>
                </w:p>
              </w:tc>
              <w:tc>
                <w:tcPr>
                  <w:tcW w:w="471" w:type="dxa"/>
                  <w:vMerge w:val="continue"/>
                  <w:noWrap w:val="0"/>
                  <w:vAlign w:val="center"/>
                </w:tcPr>
                <w:p w14:paraId="17A441F6">
                  <w:pPr>
                    <w:pStyle w:val="349"/>
                    <w:rPr>
                      <w:rFonts w:hint="eastAsia" w:ascii="Times New Roman" w:hAnsi="Times New Roman" w:cs="Times New Roman"/>
                      <w:sz w:val="21"/>
                      <w:szCs w:val="21"/>
                      <w:u w:val="none" w:color="auto"/>
                      <w:lang w:val="en-US" w:eastAsia="zh-CN"/>
                    </w:rPr>
                  </w:pPr>
                </w:p>
              </w:tc>
              <w:tc>
                <w:tcPr>
                  <w:tcW w:w="741" w:type="dxa"/>
                  <w:noWrap w:val="0"/>
                  <w:vAlign w:val="center"/>
                </w:tcPr>
                <w:p w14:paraId="19645DBE">
                  <w:pPr>
                    <w:pStyle w:val="349"/>
                    <w:rPr>
                      <w:rFonts w:hint="default" w:cs="Times New Roman"/>
                      <w:sz w:val="21"/>
                      <w:szCs w:val="21"/>
                      <w:u w:val="none" w:color="auto"/>
                      <w:lang w:val="en-US" w:eastAsia="zh-CN"/>
                    </w:rPr>
                  </w:pPr>
                  <w:r>
                    <w:rPr>
                      <w:rFonts w:hint="eastAsia" w:cs="Times New Roman"/>
                      <w:sz w:val="21"/>
                      <w:szCs w:val="21"/>
                      <w:u w:val="none" w:color="auto"/>
                      <w:lang w:val="en-US" w:eastAsia="zh-CN"/>
                    </w:rPr>
                    <w:t>65</w:t>
                  </w:r>
                </w:p>
              </w:tc>
              <w:tc>
                <w:tcPr>
                  <w:tcW w:w="438" w:type="dxa"/>
                  <w:noWrap w:val="0"/>
                  <w:vAlign w:val="center"/>
                </w:tcPr>
                <w:p w14:paraId="1FEE5F0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438" w:type="dxa"/>
                  <w:noWrap w:val="0"/>
                  <w:vAlign w:val="center"/>
                </w:tcPr>
                <w:p w14:paraId="5ECDF9F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w:t>
                  </w:r>
                </w:p>
              </w:tc>
              <w:tc>
                <w:tcPr>
                  <w:tcW w:w="448" w:type="dxa"/>
                  <w:noWrap w:val="0"/>
                  <w:vAlign w:val="center"/>
                </w:tcPr>
                <w:p w14:paraId="3184C9A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428" w:type="dxa"/>
                  <w:noWrap w:val="0"/>
                  <w:vAlign w:val="center"/>
                </w:tcPr>
                <w:p w14:paraId="0C6A6EE1">
                  <w:pPr>
                    <w:keepNext w:val="0"/>
                    <w:keepLines w:val="0"/>
                    <w:widowControl/>
                    <w:suppressLineNumbers w:val="0"/>
                    <w:jc w:val="center"/>
                    <w:textAlignment w:val="center"/>
                    <w:rPr>
                      <w:rFonts w:hint="eastAsia"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38" w:type="dxa"/>
                  <w:noWrap w:val="0"/>
                  <w:vAlign w:val="center"/>
                </w:tcPr>
                <w:p w14:paraId="21E5EEED">
                  <w:pPr>
                    <w:keepNext w:val="0"/>
                    <w:keepLines w:val="0"/>
                    <w:widowControl/>
                    <w:suppressLineNumbers w:val="0"/>
                    <w:jc w:val="center"/>
                    <w:textAlignment w:val="center"/>
                    <w:rPr>
                      <w:rFonts w:hint="eastAsia"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87.5</w:t>
                  </w:r>
                </w:p>
              </w:tc>
              <w:tc>
                <w:tcPr>
                  <w:tcW w:w="438" w:type="dxa"/>
                  <w:noWrap w:val="0"/>
                  <w:vAlign w:val="center"/>
                </w:tcPr>
                <w:p w14:paraId="764341F7">
                  <w:pPr>
                    <w:keepNext w:val="0"/>
                    <w:keepLines w:val="0"/>
                    <w:widowControl/>
                    <w:suppressLineNumbers w:val="0"/>
                    <w:jc w:val="center"/>
                    <w:textAlignment w:val="center"/>
                    <w:rPr>
                      <w:rFonts w:hint="eastAsia"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38" w:type="dxa"/>
                  <w:noWrap w:val="0"/>
                  <w:vAlign w:val="center"/>
                </w:tcPr>
                <w:p w14:paraId="1E940A55">
                  <w:pPr>
                    <w:keepNext w:val="0"/>
                    <w:keepLines w:val="0"/>
                    <w:widowControl/>
                    <w:suppressLineNumbers w:val="0"/>
                    <w:jc w:val="center"/>
                    <w:textAlignment w:val="center"/>
                    <w:rPr>
                      <w:rFonts w:hint="eastAsia"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438" w:type="dxa"/>
                  <w:noWrap w:val="0"/>
                  <w:vAlign w:val="center"/>
                </w:tcPr>
                <w:p w14:paraId="057182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42.40 </w:t>
                  </w:r>
                </w:p>
              </w:tc>
              <w:tc>
                <w:tcPr>
                  <w:tcW w:w="438" w:type="dxa"/>
                  <w:noWrap w:val="0"/>
                  <w:vAlign w:val="center"/>
                </w:tcPr>
                <w:p w14:paraId="6448F1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31.16 </w:t>
                  </w:r>
                </w:p>
              </w:tc>
              <w:tc>
                <w:tcPr>
                  <w:tcW w:w="438" w:type="dxa"/>
                  <w:noWrap w:val="0"/>
                  <w:vAlign w:val="center"/>
                </w:tcPr>
                <w:p w14:paraId="0CEBF3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50.00 </w:t>
                  </w:r>
                </w:p>
              </w:tc>
              <w:tc>
                <w:tcPr>
                  <w:tcW w:w="447" w:type="dxa"/>
                  <w:noWrap w:val="0"/>
                  <w:vAlign w:val="center"/>
                </w:tcPr>
                <w:p w14:paraId="18C88F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52.50 </w:t>
                  </w:r>
                </w:p>
              </w:tc>
            </w:tr>
          </w:tbl>
          <w:p w14:paraId="3D2EE794">
            <w:pPr>
              <w:pStyle w:val="118"/>
              <w:spacing w:line="360" w:lineRule="auto"/>
              <w:ind w:firstLine="420" w:firstLineChars="200"/>
              <w:rPr>
                <w:snapToGrid w:val="0"/>
              </w:rPr>
            </w:pPr>
            <w:r>
              <w:rPr>
                <w:snapToGrid w:val="0"/>
                <w:sz w:val="21"/>
                <w:szCs w:val="21"/>
              </w:rPr>
              <w:t>注：</w:t>
            </w:r>
            <w:r>
              <w:rPr>
                <w:sz w:val="21"/>
                <w:szCs w:val="21"/>
              </w:rPr>
              <w:t>表中坐标以</w:t>
            </w:r>
            <w:r>
              <w:rPr>
                <w:rFonts w:hint="eastAsia"/>
                <w:sz w:val="21"/>
                <w:szCs w:val="21"/>
                <w:lang w:val="en-US" w:eastAsia="zh-CN"/>
              </w:rPr>
              <w:t>厂区中心</w:t>
            </w:r>
            <w:r>
              <w:rPr>
                <w:sz w:val="21"/>
                <w:szCs w:val="21"/>
              </w:rPr>
              <w:t>（</w:t>
            </w:r>
            <w:r>
              <w:rPr>
                <w:rFonts w:hint="eastAsia"/>
                <w:sz w:val="21"/>
                <w:szCs w:val="21"/>
              </w:rPr>
              <w:t>111.830684326</w:t>
            </w:r>
            <w:r>
              <w:rPr>
                <w:rFonts w:hint="eastAsia"/>
                <w:sz w:val="21"/>
                <w:szCs w:val="21"/>
                <w:lang w:eastAsia="zh-CN"/>
              </w:rPr>
              <w:t>，</w:t>
            </w:r>
            <w:r>
              <w:rPr>
                <w:rFonts w:hint="eastAsia"/>
                <w:sz w:val="21"/>
                <w:szCs w:val="21"/>
              </w:rPr>
              <w:t>26.617177600</w:t>
            </w:r>
            <w:r>
              <w:rPr>
                <w:rFonts w:hint="default" w:ascii="Times New Roman" w:hAnsi="Times New Roman" w:cs="Times New Roman"/>
                <w:sz w:val="21"/>
                <w:szCs w:val="21"/>
                <w:lang w:val="en-US" w:eastAsia="zh-CN"/>
              </w:rPr>
              <w:t>°</w:t>
            </w:r>
            <w:r>
              <w:rPr>
                <w:sz w:val="21"/>
                <w:szCs w:val="21"/>
              </w:rPr>
              <w:t>）为坐标原点，正东向为X轴正方向，正北向为Y轴正方向。</w:t>
            </w:r>
          </w:p>
          <w:p w14:paraId="32169E63">
            <w:pPr>
              <w:pStyle w:val="118"/>
              <w:spacing w:line="240" w:lineRule="auto"/>
              <w:ind w:left="0" w:leftChars="0" w:firstLine="0" w:firstLineChars="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表4-1</w:t>
            </w:r>
            <w:r>
              <w:rPr>
                <w:rFonts w:hint="eastAsia" w:cs="Times New Roman"/>
                <w:b/>
                <w:bCs/>
                <w:kern w:val="2"/>
                <w:sz w:val="24"/>
                <w:szCs w:val="24"/>
                <w:lang w:val="en-US" w:eastAsia="zh-CN" w:bidi="ar-SA"/>
              </w:rPr>
              <w:t>2</w:t>
            </w:r>
            <w:r>
              <w:rPr>
                <w:rFonts w:hint="eastAsia" w:ascii="Times New Roman" w:hAnsi="Times New Roman" w:eastAsia="宋体" w:cs="Times New Roman"/>
                <w:b/>
                <w:bCs/>
                <w:kern w:val="2"/>
                <w:sz w:val="24"/>
                <w:szCs w:val="24"/>
                <w:lang w:val="en-US" w:eastAsia="zh-CN" w:bidi="ar-SA"/>
              </w:rPr>
              <w:t xml:space="preserve"> 工业企业噪声源强调查清单（室内声源）</w:t>
            </w:r>
          </w:p>
          <w:tbl>
            <w:tblPr>
              <w:tblStyle w:val="5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645"/>
              <w:gridCol w:w="647"/>
              <w:gridCol w:w="751"/>
              <w:gridCol w:w="502"/>
              <w:gridCol w:w="359"/>
              <w:gridCol w:w="395"/>
              <w:gridCol w:w="312"/>
              <w:gridCol w:w="360"/>
              <w:gridCol w:w="360"/>
              <w:gridCol w:w="360"/>
              <w:gridCol w:w="360"/>
              <w:gridCol w:w="538"/>
              <w:gridCol w:w="538"/>
              <w:gridCol w:w="538"/>
              <w:gridCol w:w="538"/>
              <w:gridCol w:w="361"/>
              <w:gridCol w:w="584"/>
            </w:tblGrid>
            <w:tr w14:paraId="2A6B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60" w:type="dxa"/>
                  <w:vMerge w:val="restart"/>
                  <w:noWrap w:val="0"/>
                  <w:vAlign w:val="center"/>
                </w:tcPr>
                <w:p w14:paraId="12217EA5">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序号</w:t>
                  </w:r>
                </w:p>
              </w:tc>
              <w:tc>
                <w:tcPr>
                  <w:tcW w:w="645" w:type="dxa"/>
                  <w:vMerge w:val="restart"/>
                  <w:noWrap w:val="0"/>
                  <w:vAlign w:val="center"/>
                </w:tcPr>
                <w:p w14:paraId="3DFA661A">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声源名称</w:t>
                  </w:r>
                </w:p>
              </w:tc>
              <w:tc>
                <w:tcPr>
                  <w:tcW w:w="647" w:type="dxa"/>
                  <w:vMerge w:val="restart"/>
                  <w:noWrap w:val="0"/>
                  <w:vAlign w:val="center"/>
                </w:tcPr>
                <w:p w14:paraId="5818020E">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数量（台）</w:t>
                  </w:r>
                </w:p>
              </w:tc>
              <w:tc>
                <w:tcPr>
                  <w:tcW w:w="751" w:type="dxa"/>
                  <w:vMerge w:val="restart"/>
                  <w:noWrap w:val="0"/>
                  <w:vAlign w:val="center"/>
                </w:tcPr>
                <w:p w14:paraId="23E8F361">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声源源强（</w:t>
                  </w:r>
                  <w:r>
                    <w:rPr>
                      <w:b/>
                      <w:bCs/>
                      <w:color w:val="000000"/>
                      <w:kern w:val="0"/>
                      <w:szCs w:val="21"/>
                      <w:u w:val="single"/>
                      <w:lang w:bidi="ar"/>
                    </w:rPr>
                    <w:t>dB</w:t>
                  </w:r>
                  <w:r>
                    <w:rPr>
                      <w:rFonts w:hint="eastAsia" w:ascii="宋体" w:hAnsi="宋体" w:cs="宋体"/>
                      <w:b/>
                      <w:bCs/>
                      <w:color w:val="000000"/>
                      <w:kern w:val="0"/>
                      <w:szCs w:val="21"/>
                      <w:u w:val="single"/>
                      <w:lang w:bidi="ar"/>
                    </w:rPr>
                    <w:t>（</w:t>
                  </w:r>
                  <w:r>
                    <w:rPr>
                      <w:b/>
                      <w:bCs/>
                      <w:color w:val="000000"/>
                      <w:kern w:val="0"/>
                      <w:szCs w:val="21"/>
                      <w:u w:val="single"/>
                      <w:lang w:bidi="ar"/>
                    </w:rPr>
                    <w:t>A</w:t>
                  </w:r>
                  <w:r>
                    <w:rPr>
                      <w:rFonts w:hint="eastAsia" w:ascii="宋体" w:hAnsi="宋体" w:cs="宋体"/>
                      <w:b/>
                      <w:bCs/>
                      <w:color w:val="000000"/>
                      <w:kern w:val="0"/>
                      <w:szCs w:val="21"/>
                      <w:u w:val="single"/>
                      <w:lang w:bidi="ar"/>
                    </w:rPr>
                    <w:t>））</w:t>
                  </w:r>
                </w:p>
              </w:tc>
              <w:tc>
                <w:tcPr>
                  <w:tcW w:w="502" w:type="dxa"/>
                  <w:vMerge w:val="restart"/>
                  <w:noWrap w:val="0"/>
                  <w:vAlign w:val="center"/>
                </w:tcPr>
                <w:p w14:paraId="270C364C">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声源控制措施</w:t>
                  </w:r>
                </w:p>
              </w:tc>
              <w:tc>
                <w:tcPr>
                  <w:tcW w:w="1066" w:type="dxa"/>
                  <w:gridSpan w:val="3"/>
                  <w:noWrap w:val="0"/>
                  <w:vAlign w:val="center"/>
                </w:tcPr>
                <w:p w14:paraId="7E9896CD">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空间相对位置</w:t>
                  </w:r>
                  <w:r>
                    <w:rPr>
                      <w:b/>
                      <w:bCs/>
                      <w:color w:val="000000"/>
                      <w:kern w:val="0"/>
                      <w:szCs w:val="21"/>
                      <w:u w:val="single"/>
                      <w:lang w:bidi="ar"/>
                    </w:rPr>
                    <w:t>/m</w:t>
                  </w:r>
                </w:p>
              </w:tc>
              <w:tc>
                <w:tcPr>
                  <w:tcW w:w="1440" w:type="dxa"/>
                  <w:gridSpan w:val="4"/>
                  <w:vMerge w:val="restart"/>
                  <w:noWrap w:val="0"/>
                  <w:vAlign w:val="center"/>
                </w:tcPr>
                <w:p w14:paraId="7076EF83">
                  <w:pPr>
                    <w:widowControl/>
                    <w:jc w:val="center"/>
                    <w:textAlignment w:val="center"/>
                    <w:rPr>
                      <w:rFonts w:hint="eastAsia" w:ascii="宋体" w:hAnsi="宋体" w:cs="宋体"/>
                      <w:b/>
                      <w:bCs/>
                      <w:color w:val="000000"/>
                      <w:szCs w:val="21"/>
                      <w:u w:val="single"/>
                    </w:rPr>
                  </w:pPr>
                  <w:r>
                    <w:rPr>
                      <w:b/>
                      <w:bCs/>
                      <w:color w:val="000000"/>
                      <w:kern w:val="0"/>
                      <w:szCs w:val="21"/>
                      <w:u w:val="single"/>
                      <w:lang w:bidi="ar"/>
                    </w:rPr>
                    <w:t>距室内边界距离/m</w:t>
                  </w:r>
                </w:p>
              </w:tc>
              <w:tc>
                <w:tcPr>
                  <w:tcW w:w="2152" w:type="dxa"/>
                  <w:gridSpan w:val="4"/>
                  <w:vMerge w:val="restart"/>
                  <w:noWrap w:val="0"/>
                  <w:vAlign w:val="center"/>
                </w:tcPr>
                <w:p w14:paraId="008EC6F3">
                  <w:pPr>
                    <w:widowControl/>
                    <w:jc w:val="center"/>
                    <w:textAlignment w:val="center"/>
                    <w:rPr>
                      <w:rFonts w:hint="eastAsia" w:ascii="宋体" w:hAnsi="宋体" w:cs="宋体"/>
                      <w:b/>
                      <w:bCs/>
                      <w:color w:val="000000"/>
                      <w:szCs w:val="21"/>
                      <w:u w:val="single"/>
                    </w:rPr>
                  </w:pPr>
                  <w:r>
                    <w:rPr>
                      <w:rFonts w:hint="eastAsia"/>
                      <w:b/>
                      <w:bCs/>
                      <w:u w:val="single"/>
                    </w:rPr>
                    <w:t>距室内边界距离</w:t>
                  </w:r>
                  <w:r>
                    <w:rPr>
                      <w:rFonts w:hint="eastAsia" w:ascii="宋体" w:hAnsi="宋体" w:cs="宋体"/>
                      <w:b/>
                      <w:bCs/>
                      <w:color w:val="000000"/>
                      <w:kern w:val="0"/>
                      <w:szCs w:val="21"/>
                      <w:u w:val="single"/>
                      <w:lang w:bidi="ar"/>
                    </w:rPr>
                    <w:t>声级</w:t>
                  </w:r>
                  <w:r>
                    <w:rPr>
                      <w:b/>
                      <w:bCs/>
                      <w:color w:val="000000"/>
                      <w:kern w:val="0"/>
                      <w:szCs w:val="21"/>
                      <w:u w:val="single"/>
                      <w:lang w:bidi="ar"/>
                    </w:rPr>
                    <w:t>/dB</w:t>
                  </w:r>
                  <w:r>
                    <w:rPr>
                      <w:rFonts w:hint="eastAsia" w:ascii="宋体" w:hAnsi="宋体" w:cs="宋体"/>
                      <w:b/>
                      <w:bCs/>
                      <w:color w:val="000000"/>
                      <w:kern w:val="0"/>
                      <w:szCs w:val="21"/>
                      <w:u w:val="single"/>
                      <w:lang w:bidi="ar"/>
                    </w:rPr>
                    <w:t>（</w:t>
                  </w:r>
                  <w:r>
                    <w:rPr>
                      <w:b/>
                      <w:bCs/>
                      <w:color w:val="000000"/>
                      <w:kern w:val="0"/>
                      <w:szCs w:val="21"/>
                      <w:u w:val="single"/>
                      <w:lang w:bidi="ar"/>
                    </w:rPr>
                    <w:t>A</w:t>
                  </w:r>
                  <w:r>
                    <w:rPr>
                      <w:rFonts w:hint="eastAsia" w:ascii="宋体" w:hAnsi="宋体" w:cs="宋体"/>
                      <w:b/>
                      <w:bCs/>
                      <w:color w:val="000000"/>
                      <w:kern w:val="0"/>
                      <w:szCs w:val="21"/>
                      <w:u w:val="single"/>
                      <w:lang w:bidi="ar"/>
                    </w:rPr>
                    <w:t>）</w:t>
                  </w:r>
                </w:p>
              </w:tc>
              <w:tc>
                <w:tcPr>
                  <w:tcW w:w="361" w:type="dxa"/>
                  <w:vMerge w:val="restart"/>
                  <w:noWrap w:val="0"/>
                  <w:vAlign w:val="center"/>
                </w:tcPr>
                <w:p w14:paraId="53FE2224">
                  <w:pPr>
                    <w:widowControl/>
                    <w:jc w:val="center"/>
                    <w:textAlignment w:val="center"/>
                    <w:rPr>
                      <w:rFonts w:hint="default" w:eastAsia="宋体"/>
                      <w:b/>
                      <w:bCs/>
                      <w:u w:val="single"/>
                      <w:lang w:val="en-US" w:eastAsia="zh-CN"/>
                    </w:rPr>
                  </w:pPr>
                  <w:r>
                    <w:rPr>
                      <w:rFonts w:hint="eastAsia"/>
                      <w:b/>
                      <w:bCs/>
                      <w:u w:val="single"/>
                      <w:lang w:val="en-US" w:eastAsia="zh-CN"/>
                    </w:rPr>
                    <w:t>建筑插入损失</w:t>
                  </w:r>
                </w:p>
              </w:tc>
              <w:tc>
                <w:tcPr>
                  <w:tcW w:w="584" w:type="dxa"/>
                  <w:vMerge w:val="restart"/>
                  <w:noWrap w:val="0"/>
                  <w:vAlign w:val="center"/>
                </w:tcPr>
                <w:p w14:paraId="478954E5">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运行时段（</w:t>
                  </w:r>
                  <w:r>
                    <w:rPr>
                      <w:b/>
                      <w:bCs/>
                      <w:color w:val="000000"/>
                      <w:kern w:val="0"/>
                      <w:szCs w:val="21"/>
                      <w:u w:val="single"/>
                      <w:lang w:bidi="ar"/>
                    </w:rPr>
                    <w:t>h</w:t>
                  </w:r>
                  <w:r>
                    <w:rPr>
                      <w:rFonts w:hint="eastAsia" w:ascii="宋体" w:hAnsi="宋体" w:cs="宋体"/>
                      <w:b/>
                      <w:bCs/>
                      <w:color w:val="000000"/>
                      <w:kern w:val="0"/>
                      <w:szCs w:val="21"/>
                      <w:u w:val="single"/>
                      <w:lang w:bidi="ar"/>
                    </w:rPr>
                    <w:t>）</w:t>
                  </w:r>
                </w:p>
              </w:tc>
            </w:tr>
            <w:tr w14:paraId="403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0" w:type="dxa"/>
                  <w:vMerge w:val="continue"/>
                  <w:noWrap w:val="0"/>
                  <w:vAlign w:val="center"/>
                </w:tcPr>
                <w:p w14:paraId="76054478">
                  <w:pPr>
                    <w:jc w:val="center"/>
                    <w:rPr>
                      <w:rFonts w:hint="eastAsia" w:ascii="宋体" w:hAnsi="宋体" w:cs="宋体"/>
                      <w:color w:val="000000"/>
                      <w:szCs w:val="21"/>
                      <w:u w:val="single"/>
                    </w:rPr>
                  </w:pPr>
                </w:p>
              </w:tc>
              <w:tc>
                <w:tcPr>
                  <w:tcW w:w="645" w:type="dxa"/>
                  <w:vMerge w:val="continue"/>
                  <w:noWrap w:val="0"/>
                  <w:vAlign w:val="center"/>
                </w:tcPr>
                <w:p w14:paraId="4A96588A">
                  <w:pPr>
                    <w:jc w:val="center"/>
                    <w:rPr>
                      <w:rFonts w:hint="eastAsia" w:ascii="宋体" w:hAnsi="宋体" w:cs="宋体"/>
                      <w:color w:val="000000"/>
                      <w:szCs w:val="21"/>
                      <w:u w:val="single"/>
                    </w:rPr>
                  </w:pPr>
                </w:p>
              </w:tc>
              <w:tc>
                <w:tcPr>
                  <w:tcW w:w="647" w:type="dxa"/>
                  <w:vMerge w:val="continue"/>
                  <w:noWrap w:val="0"/>
                  <w:vAlign w:val="center"/>
                </w:tcPr>
                <w:p w14:paraId="0707122E">
                  <w:pPr>
                    <w:jc w:val="center"/>
                    <w:rPr>
                      <w:rFonts w:hint="eastAsia" w:ascii="宋体" w:hAnsi="宋体" w:cs="宋体"/>
                      <w:color w:val="000000"/>
                      <w:szCs w:val="21"/>
                      <w:u w:val="single"/>
                    </w:rPr>
                  </w:pPr>
                </w:p>
              </w:tc>
              <w:tc>
                <w:tcPr>
                  <w:tcW w:w="751" w:type="dxa"/>
                  <w:vMerge w:val="continue"/>
                  <w:noWrap w:val="0"/>
                  <w:vAlign w:val="center"/>
                </w:tcPr>
                <w:p w14:paraId="6FD14809">
                  <w:pPr>
                    <w:jc w:val="center"/>
                    <w:rPr>
                      <w:rFonts w:hint="eastAsia" w:ascii="宋体" w:hAnsi="宋体" w:cs="宋体"/>
                      <w:color w:val="000000"/>
                      <w:szCs w:val="21"/>
                      <w:u w:val="single"/>
                    </w:rPr>
                  </w:pPr>
                </w:p>
              </w:tc>
              <w:tc>
                <w:tcPr>
                  <w:tcW w:w="502" w:type="dxa"/>
                  <w:vMerge w:val="continue"/>
                  <w:noWrap w:val="0"/>
                  <w:vAlign w:val="center"/>
                </w:tcPr>
                <w:p w14:paraId="011A55CB">
                  <w:pPr>
                    <w:jc w:val="center"/>
                    <w:rPr>
                      <w:rFonts w:hint="eastAsia" w:ascii="宋体" w:hAnsi="宋体" w:cs="宋体"/>
                      <w:color w:val="000000"/>
                      <w:szCs w:val="21"/>
                      <w:u w:val="single"/>
                    </w:rPr>
                  </w:pPr>
                </w:p>
              </w:tc>
              <w:tc>
                <w:tcPr>
                  <w:tcW w:w="359" w:type="dxa"/>
                  <w:vMerge w:val="restart"/>
                  <w:noWrap w:val="0"/>
                  <w:vAlign w:val="center"/>
                </w:tcPr>
                <w:p w14:paraId="72818926">
                  <w:pPr>
                    <w:widowControl/>
                    <w:jc w:val="center"/>
                    <w:textAlignment w:val="center"/>
                    <w:rPr>
                      <w:b/>
                      <w:bCs/>
                      <w:color w:val="000000"/>
                      <w:szCs w:val="21"/>
                      <w:u w:val="single"/>
                    </w:rPr>
                  </w:pPr>
                  <w:r>
                    <w:rPr>
                      <w:b/>
                      <w:bCs/>
                      <w:color w:val="000000"/>
                      <w:kern w:val="0"/>
                      <w:szCs w:val="21"/>
                      <w:u w:val="single"/>
                      <w:lang w:bidi="ar"/>
                    </w:rPr>
                    <w:t>X</w:t>
                  </w:r>
                </w:p>
              </w:tc>
              <w:tc>
                <w:tcPr>
                  <w:tcW w:w="395" w:type="dxa"/>
                  <w:vMerge w:val="restart"/>
                  <w:noWrap w:val="0"/>
                  <w:vAlign w:val="center"/>
                </w:tcPr>
                <w:p w14:paraId="1D3A4060">
                  <w:pPr>
                    <w:widowControl/>
                    <w:jc w:val="center"/>
                    <w:textAlignment w:val="center"/>
                    <w:rPr>
                      <w:b/>
                      <w:bCs/>
                      <w:color w:val="000000"/>
                      <w:szCs w:val="21"/>
                      <w:u w:val="single"/>
                    </w:rPr>
                  </w:pPr>
                  <w:r>
                    <w:rPr>
                      <w:b/>
                      <w:bCs/>
                      <w:color w:val="000000"/>
                      <w:kern w:val="0"/>
                      <w:szCs w:val="21"/>
                      <w:u w:val="single"/>
                      <w:lang w:bidi="ar"/>
                    </w:rPr>
                    <w:t>Y</w:t>
                  </w:r>
                </w:p>
              </w:tc>
              <w:tc>
                <w:tcPr>
                  <w:tcW w:w="312" w:type="dxa"/>
                  <w:vMerge w:val="restart"/>
                  <w:noWrap w:val="0"/>
                  <w:vAlign w:val="center"/>
                </w:tcPr>
                <w:p w14:paraId="59DF1161">
                  <w:pPr>
                    <w:widowControl/>
                    <w:jc w:val="center"/>
                    <w:textAlignment w:val="center"/>
                    <w:rPr>
                      <w:b/>
                      <w:bCs/>
                      <w:color w:val="000000"/>
                      <w:szCs w:val="21"/>
                      <w:u w:val="single"/>
                    </w:rPr>
                  </w:pPr>
                  <w:r>
                    <w:rPr>
                      <w:b/>
                      <w:bCs/>
                      <w:color w:val="000000"/>
                      <w:kern w:val="0"/>
                      <w:szCs w:val="21"/>
                      <w:u w:val="single"/>
                      <w:lang w:bidi="ar"/>
                    </w:rPr>
                    <w:t>Z</w:t>
                  </w:r>
                </w:p>
              </w:tc>
              <w:tc>
                <w:tcPr>
                  <w:tcW w:w="1440" w:type="dxa"/>
                  <w:gridSpan w:val="4"/>
                  <w:vMerge w:val="continue"/>
                  <w:noWrap w:val="0"/>
                  <w:vAlign w:val="center"/>
                </w:tcPr>
                <w:p w14:paraId="695D63B4">
                  <w:pPr>
                    <w:jc w:val="center"/>
                    <w:rPr>
                      <w:rFonts w:hint="eastAsia" w:ascii="宋体" w:hAnsi="宋体" w:cs="宋体"/>
                      <w:b/>
                      <w:bCs/>
                      <w:color w:val="000000"/>
                      <w:szCs w:val="21"/>
                      <w:u w:val="single"/>
                    </w:rPr>
                  </w:pPr>
                </w:p>
              </w:tc>
              <w:tc>
                <w:tcPr>
                  <w:tcW w:w="2152" w:type="dxa"/>
                  <w:gridSpan w:val="4"/>
                  <w:vMerge w:val="continue"/>
                  <w:noWrap w:val="0"/>
                  <w:vAlign w:val="center"/>
                </w:tcPr>
                <w:p w14:paraId="3D8F4BCB">
                  <w:pPr>
                    <w:jc w:val="center"/>
                    <w:rPr>
                      <w:rFonts w:hint="eastAsia" w:ascii="宋体" w:hAnsi="宋体" w:cs="宋体"/>
                      <w:b/>
                      <w:bCs/>
                      <w:color w:val="000000"/>
                      <w:szCs w:val="21"/>
                      <w:u w:val="single"/>
                    </w:rPr>
                  </w:pPr>
                </w:p>
              </w:tc>
              <w:tc>
                <w:tcPr>
                  <w:tcW w:w="361" w:type="dxa"/>
                  <w:vMerge w:val="continue"/>
                  <w:noWrap w:val="0"/>
                  <w:vAlign w:val="center"/>
                </w:tcPr>
                <w:p w14:paraId="2F42AA75">
                  <w:pPr>
                    <w:jc w:val="center"/>
                    <w:rPr>
                      <w:rFonts w:hint="eastAsia" w:ascii="宋体" w:hAnsi="宋体" w:cs="宋体"/>
                      <w:b/>
                      <w:bCs/>
                      <w:color w:val="000000"/>
                      <w:szCs w:val="21"/>
                      <w:u w:val="single"/>
                    </w:rPr>
                  </w:pPr>
                </w:p>
              </w:tc>
              <w:tc>
                <w:tcPr>
                  <w:tcW w:w="584" w:type="dxa"/>
                  <w:vMerge w:val="continue"/>
                  <w:noWrap w:val="0"/>
                  <w:vAlign w:val="center"/>
                </w:tcPr>
                <w:p w14:paraId="2EA97F5E">
                  <w:pPr>
                    <w:jc w:val="center"/>
                    <w:rPr>
                      <w:rFonts w:hint="eastAsia" w:ascii="宋体" w:hAnsi="宋体" w:cs="宋体"/>
                      <w:color w:val="000000"/>
                      <w:szCs w:val="21"/>
                      <w:u w:val="single"/>
                    </w:rPr>
                  </w:pPr>
                </w:p>
              </w:tc>
            </w:tr>
            <w:tr w14:paraId="2C61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0" w:type="dxa"/>
                  <w:vMerge w:val="continue"/>
                  <w:noWrap w:val="0"/>
                  <w:vAlign w:val="center"/>
                </w:tcPr>
                <w:p w14:paraId="06E50C64">
                  <w:pPr>
                    <w:jc w:val="center"/>
                    <w:rPr>
                      <w:rFonts w:hint="eastAsia" w:ascii="宋体" w:hAnsi="宋体" w:cs="宋体"/>
                      <w:color w:val="000000"/>
                      <w:szCs w:val="21"/>
                      <w:u w:val="single"/>
                    </w:rPr>
                  </w:pPr>
                </w:p>
              </w:tc>
              <w:tc>
                <w:tcPr>
                  <w:tcW w:w="645" w:type="dxa"/>
                  <w:vMerge w:val="continue"/>
                  <w:noWrap w:val="0"/>
                  <w:vAlign w:val="center"/>
                </w:tcPr>
                <w:p w14:paraId="4DDC0E4B">
                  <w:pPr>
                    <w:jc w:val="center"/>
                    <w:rPr>
                      <w:rFonts w:hint="eastAsia" w:ascii="宋体" w:hAnsi="宋体" w:cs="宋体"/>
                      <w:color w:val="000000"/>
                      <w:szCs w:val="21"/>
                      <w:u w:val="single"/>
                    </w:rPr>
                  </w:pPr>
                </w:p>
              </w:tc>
              <w:tc>
                <w:tcPr>
                  <w:tcW w:w="647" w:type="dxa"/>
                  <w:vMerge w:val="continue"/>
                  <w:noWrap w:val="0"/>
                  <w:vAlign w:val="center"/>
                </w:tcPr>
                <w:p w14:paraId="598378FE">
                  <w:pPr>
                    <w:jc w:val="center"/>
                    <w:rPr>
                      <w:rFonts w:hint="eastAsia" w:ascii="宋体" w:hAnsi="宋体" w:cs="宋体"/>
                      <w:color w:val="000000"/>
                      <w:szCs w:val="21"/>
                      <w:u w:val="single"/>
                    </w:rPr>
                  </w:pPr>
                </w:p>
              </w:tc>
              <w:tc>
                <w:tcPr>
                  <w:tcW w:w="751" w:type="dxa"/>
                  <w:vMerge w:val="continue"/>
                  <w:noWrap w:val="0"/>
                  <w:vAlign w:val="center"/>
                </w:tcPr>
                <w:p w14:paraId="69A01099">
                  <w:pPr>
                    <w:jc w:val="center"/>
                    <w:rPr>
                      <w:rFonts w:hint="eastAsia" w:ascii="宋体" w:hAnsi="宋体" w:cs="宋体"/>
                      <w:color w:val="000000"/>
                      <w:szCs w:val="21"/>
                      <w:u w:val="single"/>
                    </w:rPr>
                  </w:pPr>
                </w:p>
              </w:tc>
              <w:tc>
                <w:tcPr>
                  <w:tcW w:w="502" w:type="dxa"/>
                  <w:vMerge w:val="continue"/>
                  <w:noWrap w:val="0"/>
                  <w:vAlign w:val="center"/>
                </w:tcPr>
                <w:p w14:paraId="6977EF57">
                  <w:pPr>
                    <w:jc w:val="center"/>
                    <w:rPr>
                      <w:rFonts w:hint="eastAsia" w:ascii="宋体" w:hAnsi="宋体" w:cs="宋体"/>
                      <w:color w:val="000000"/>
                      <w:szCs w:val="21"/>
                      <w:u w:val="single"/>
                    </w:rPr>
                  </w:pPr>
                </w:p>
              </w:tc>
              <w:tc>
                <w:tcPr>
                  <w:tcW w:w="359" w:type="dxa"/>
                  <w:vMerge w:val="continue"/>
                  <w:noWrap w:val="0"/>
                  <w:vAlign w:val="center"/>
                </w:tcPr>
                <w:p w14:paraId="0F8D4ABB">
                  <w:pPr>
                    <w:jc w:val="center"/>
                    <w:rPr>
                      <w:b/>
                      <w:bCs/>
                      <w:color w:val="000000"/>
                      <w:szCs w:val="21"/>
                      <w:u w:val="single"/>
                    </w:rPr>
                  </w:pPr>
                </w:p>
              </w:tc>
              <w:tc>
                <w:tcPr>
                  <w:tcW w:w="395" w:type="dxa"/>
                  <w:vMerge w:val="continue"/>
                  <w:noWrap w:val="0"/>
                  <w:vAlign w:val="center"/>
                </w:tcPr>
                <w:p w14:paraId="1C61FA9E">
                  <w:pPr>
                    <w:jc w:val="center"/>
                    <w:rPr>
                      <w:b/>
                      <w:bCs/>
                      <w:color w:val="000000"/>
                      <w:szCs w:val="21"/>
                      <w:u w:val="single"/>
                    </w:rPr>
                  </w:pPr>
                </w:p>
              </w:tc>
              <w:tc>
                <w:tcPr>
                  <w:tcW w:w="312" w:type="dxa"/>
                  <w:vMerge w:val="continue"/>
                  <w:noWrap w:val="0"/>
                  <w:vAlign w:val="center"/>
                </w:tcPr>
                <w:p w14:paraId="2A362B5F">
                  <w:pPr>
                    <w:jc w:val="center"/>
                    <w:rPr>
                      <w:b/>
                      <w:bCs/>
                      <w:color w:val="000000"/>
                      <w:szCs w:val="21"/>
                      <w:u w:val="single"/>
                    </w:rPr>
                  </w:pPr>
                </w:p>
              </w:tc>
              <w:tc>
                <w:tcPr>
                  <w:tcW w:w="360" w:type="dxa"/>
                  <w:noWrap w:val="0"/>
                  <w:vAlign w:val="center"/>
                </w:tcPr>
                <w:p w14:paraId="53755EDC">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东</w:t>
                  </w:r>
                </w:p>
              </w:tc>
              <w:tc>
                <w:tcPr>
                  <w:tcW w:w="360" w:type="dxa"/>
                  <w:noWrap w:val="0"/>
                  <w:vAlign w:val="center"/>
                </w:tcPr>
                <w:p w14:paraId="27052C18">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南</w:t>
                  </w:r>
                </w:p>
              </w:tc>
              <w:tc>
                <w:tcPr>
                  <w:tcW w:w="360" w:type="dxa"/>
                  <w:noWrap w:val="0"/>
                  <w:vAlign w:val="center"/>
                </w:tcPr>
                <w:p w14:paraId="542443A3">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西</w:t>
                  </w:r>
                </w:p>
              </w:tc>
              <w:tc>
                <w:tcPr>
                  <w:tcW w:w="360" w:type="dxa"/>
                  <w:noWrap w:val="0"/>
                  <w:vAlign w:val="center"/>
                </w:tcPr>
                <w:p w14:paraId="77107437">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北</w:t>
                  </w:r>
                </w:p>
              </w:tc>
              <w:tc>
                <w:tcPr>
                  <w:tcW w:w="538" w:type="dxa"/>
                  <w:noWrap w:val="0"/>
                  <w:vAlign w:val="center"/>
                </w:tcPr>
                <w:p w14:paraId="01D4506C">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东</w:t>
                  </w:r>
                </w:p>
              </w:tc>
              <w:tc>
                <w:tcPr>
                  <w:tcW w:w="538" w:type="dxa"/>
                  <w:noWrap w:val="0"/>
                  <w:vAlign w:val="center"/>
                </w:tcPr>
                <w:p w14:paraId="32A062BE">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南</w:t>
                  </w:r>
                </w:p>
              </w:tc>
              <w:tc>
                <w:tcPr>
                  <w:tcW w:w="538" w:type="dxa"/>
                  <w:noWrap w:val="0"/>
                  <w:vAlign w:val="center"/>
                </w:tcPr>
                <w:p w14:paraId="38651BA4">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西</w:t>
                  </w:r>
                </w:p>
              </w:tc>
              <w:tc>
                <w:tcPr>
                  <w:tcW w:w="538" w:type="dxa"/>
                  <w:noWrap w:val="0"/>
                  <w:vAlign w:val="center"/>
                </w:tcPr>
                <w:p w14:paraId="353C48BA">
                  <w:pPr>
                    <w:widowControl/>
                    <w:jc w:val="center"/>
                    <w:textAlignment w:val="center"/>
                    <w:rPr>
                      <w:rFonts w:hint="eastAsia" w:ascii="宋体" w:hAnsi="宋体" w:cs="宋体"/>
                      <w:b/>
                      <w:bCs/>
                      <w:color w:val="000000"/>
                      <w:szCs w:val="21"/>
                      <w:u w:val="single"/>
                    </w:rPr>
                  </w:pPr>
                  <w:r>
                    <w:rPr>
                      <w:rFonts w:hint="eastAsia" w:ascii="宋体" w:hAnsi="宋体" w:cs="宋体"/>
                      <w:b/>
                      <w:bCs/>
                      <w:color w:val="000000"/>
                      <w:kern w:val="0"/>
                      <w:szCs w:val="21"/>
                      <w:u w:val="single"/>
                      <w:lang w:bidi="ar"/>
                    </w:rPr>
                    <w:t>北</w:t>
                  </w:r>
                </w:p>
              </w:tc>
              <w:tc>
                <w:tcPr>
                  <w:tcW w:w="361" w:type="dxa"/>
                  <w:vMerge w:val="continue"/>
                  <w:noWrap w:val="0"/>
                  <w:vAlign w:val="center"/>
                </w:tcPr>
                <w:p w14:paraId="647D1CBD">
                  <w:pPr>
                    <w:widowControl/>
                    <w:jc w:val="center"/>
                    <w:textAlignment w:val="center"/>
                    <w:rPr>
                      <w:rFonts w:hint="eastAsia" w:ascii="宋体" w:hAnsi="宋体" w:cs="宋体"/>
                      <w:b/>
                      <w:bCs/>
                      <w:color w:val="000000"/>
                      <w:kern w:val="0"/>
                      <w:szCs w:val="21"/>
                      <w:u w:val="single"/>
                      <w:lang w:bidi="ar"/>
                    </w:rPr>
                  </w:pPr>
                </w:p>
              </w:tc>
              <w:tc>
                <w:tcPr>
                  <w:tcW w:w="584" w:type="dxa"/>
                  <w:vMerge w:val="continue"/>
                  <w:noWrap w:val="0"/>
                  <w:vAlign w:val="center"/>
                </w:tcPr>
                <w:p w14:paraId="1FFD612C">
                  <w:pPr>
                    <w:jc w:val="center"/>
                    <w:rPr>
                      <w:rFonts w:hint="eastAsia" w:ascii="宋体" w:hAnsi="宋体" w:cs="宋体"/>
                      <w:color w:val="000000"/>
                      <w:szCs w:val="21"/>
                      <w:u w:val="single"/>
                    </w:rPr>
                  </w:pPr>
                </w:p>
              </w:tc>
            </w:tr>
            <w:tr w14:paraId="7EB2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60" w:type="dxa"/>
                  <w:noWrap w:val="0"/>
                  <w:vAlign w:val="center"/>
                </w:tcPr>
                <w:p w14:paraId="06A6E1AD">
                  <w:pPr>
                    <w:widowControl/>
                    <w:jc w:val="center"/>
                    <w:textAlignment w:val="center"/>
                    <w:rPr>
                      <w:color w:val="000000"/>
                      <w:szCs w:val="21"/>
                      <w:u w:val="single"/>
                    </w:rPr>
                  </w:pPr>
                  <w:r>
                    <w:rPr>
                      <w:color w:val="000000"/>
                      <w:kern w:val="0"/>
                      <w:szCs w:val="21"/>
                      <w:u w:val="single"/>
                      <w:lang w:bidi="ar"/>
                    </w:rPr>
                    <w:t>1</w:t>
                  </w:r>
                </w:p>
              </w:tc>
              <w:tc>
                <w:tcPr>
                  <w:tcW w:w="645" w:type="dxa"/>
                  <w:noWrap/>
                  <w:vAlign w:val="center"/>
                </w:tcPr>
                <w:p w14:paraId="441967FF">
                  <w:pPr>
                    <w:widowControl/>
                    <w:textAlignment w:val="center"/>
                    <w:rPr>
                      <w:rFonts w:hint="eastAsia" w:ascii="宋体" w:hAnsi="宋体" w:cs="宋体"/>
                      <w:color w:val="000000"/>
                      <w:szCs w:val="21"/>
                      <w:u w:val="single"/>
                    </w:rPr>
                  </w:pPr>
                  <w:r>
                    <w:rPr>
                      <w:rFonts w:hint="eastAsia" w:ascii="宋体" w:hAnsi="宋体" w:cs="宋体"/>
                      <w:color w:val="000000"/>
                      <w:szCs w:val="21"/>
                      <w:u w:val="single"/>
                    </w:rPr>
                    <w:t>潜油泵</w:t>
                  </w:r>
                </w:p>
              </w:tc>
              <w:tc>
                <w:tcPr>
                  <w:tcW w:w="647" w:type="dxa"/>
                  <w:noWrap w:val="0"/>
                  <w:vAlign w:val="center"/>
                </w:tcPr>
                <w:p w14:paraId="48BCB66C">
                  <w:pPr>
                    <w:widowControl/>
                    <w:jc w:val="center"/>
                    <w:textAlignment w:val="center"/>
                    <w:rPr>
                      <w:color w:val="000000"/>
                      <w:szCs w:val="21"/>
                      <w:u w:val="single"/>
                    </w:rPr>
                  </w:pPr>
                  <w:r>
                    <w:rPr>
                      <w:color w:val="000000"/>
                      <w:kern w:val="0"/>
                      <w:szCs w:val="21"/>
                      <w:u w:val="single"/>
                      <w:lang w:bidi="ar"/>
                    </w:rPr>
                    <w:t>1</w:t>
                  </w:r>
                </w:p>
              </w:tc>
              <w:tc>
                <w:tcPr>
                  <w:tcW w:w="751" w:type="dxa"/>
                  <w:noWrap w:val="0"/>
                  <w:vAlign w:val="center"/>
                </w:tcPr>
                <w:p w14:paraId="18D4F62C">
                  <w:pPr>
                    <w:widowControl/>
                    <w:jc w:val="center"/>
                    <w:textAlignment w:val="center"/>
                    <w:rPr>
                      <w:rFonts w:hint="default" w:eastAsia="宋体"/>
                      <w:color w:val="000000"/>
                      <w:szCs w:val="21"/>
                      <w:u w:val="single"/>
                      <w:lang w:val="en-US" w:eastAsia="zh-CN"/>
                    </w:rPr>
                  </w:pPr>
                  <w:r>
                    <w:rPr>
                      <w:rFonts w:hint="eastAsia"/>
                      <w:color w:val="000000"/>
                      <w:kern w:val="0"/>
                      <w:szCs w:val="21"/>
                      <w:u w:val="single"/>
                      <w:lang w:val="en-US" w:eastAsia="zh-CN" w:bidi="ar"/>
                    </w:rPr>
                    <w:t>85</w:t>
                  </w:r>
                </w:p>
              </w:tc>
              <w:tc>
                <w:tcPr>
                  <w:tcW w:w="502" w:type="dxa"/>
                  <w:noWrap w:val="0"/>
                  <w:vAlign w:val="center"/>
                </w:tcPr>
                <w:p w14:paraId="3C5EAC52">
                  <w:pPr>
                    <w:widowControl/>
                    <w:jc w:val="center"/>
                    <w:textAlignment w:val="center"/>
                    <w:rPr>
                      <w:rFonts w:hint="eastAsia" w:ascii="宋体" w:hAnsi="宋体" w:cs="宋体"/>
                      <w:color w:val="000000"/>
                      <w:szCs w:val="21"/>
                      <w:u w:val="single"/>
                    </w:rPr>
                  </w:pPr>
                  <w:r>
                    <w:rPr>
                      <w:rFonts w:hint="eastAsia" w:ascii="宋体" w:hAnsi="宋体" w:cs="宋体"/>
                      <w:color w:val="000000"/>
                      <w:kern w:val="0"/>
                      <w:szCs w:val="21"/>
                      <w:u w:val="single"/>
                      <w:lang w:bidi="ar"/>
                    </w:rPr>
                    <w:t>墙体隔声、设备减振等</w:t>
                  </w:r>
                </w:p>
              </w:tc>
              <w:tc>
                <w:tcPr>
                  <w:tcW w:w="359" w:type="dxa"/>
                  <w:noWrap w:val="0"/>
                  <w:vAlign w:val="center"/>
                </w:tcPr>
                <w:p w14:paraId="270CF920">
                  <w:pPr>
                    <w:keepNext w:val="0"/>
                    <w:keepLines w:val="0"/>
                    <w:widowControl/>
                    <w:suppressLineNumbers w:val="0"/>
                    <w:jc w:val="center"/>
                    <w:textAlignment w:val="center"/>
                    <w:rPr>
                      <w:color w:val="000000"/>
                      <w:szCs w:val="21"/>
                      <w:u w:val="single"/>
                    </w:rPr>
                  </w:pPr>
                  <w:r>
                    <w:rPr>
                      <w:rFonts w:hint="eastAsia" w:ascii="宋体" w:hAnsi="宋体" w:eastAsia="宋体" w:cs="宋体"/>
                      <w:i w:val="0"/>
                      <w:iCs w:val="0"/>
                      <w:color w:val="000000"/>
                      <w:kern w:val="0"/>
                      <w:sz w:val="21"/>
                      <w:szCs w:val="21"/>
                      <w:u w:val="single"/>
                      <w:lang w:val="en-US" w:eastAsia="zh-CN" w:bidi="ar"/>
                    </w:rPr>
                    <w:t>-1</w:t>
                  </w:r>
                </w:p>
              </w:tc>
              <w:tc>
                <w:tcPr>
                  <w:tcW w:w="395" w:type="dxa"/>
                  <w:noWrap w:val="0"/>
                  <w:vAlign w:val="center"/>
                </w:tcPr>
                <w:p w14:paraId="33FA27AE">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312" w:type="dxa"/>
                  <w:noWrap w:val="0"/>
                  <w:vAlign w:val="center"/>
                </w:tcPr>
                <w:p w14:paraId="35AB0770">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360" w:type="dxa"/>
                  <w:noWrap w:val="0"/>
                  <w:vAlign w:val="center"/>
                </w:tcPr>
                <w:p w14:paraId="4A0D00F7">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18</w:t>
                  </w:r>
                </w:p>
              </w:tc>
              <w:tc>
                <w:tcPr>
                  <w:tcW w:w="360" w:type="dxa"/>
                  <w:noWrap w:val="0"/>
                  <w:vAlign w:val="center"/>
                </w:tcPr>
                <w:p w14:paraId="43A2AA31">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49</w:t>
                  </w:r>
                </w:p>
              </w:tc>
              <w:tc>
                <w:tcPr>
                  <w:tcW w:w="360" w:type="dxa"/>
                  <w:noWrap w:val="0"/>
                  <w:vAlign w:val="center"/>
                </w:tcPr>
                <w:p w14:paraId="0BB24630">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16</w:t>
                  </w:r>
                </w:p>
              </w:tc>
              <w:tc>
                <w:tcPr>
                  <w:tcW w:w="360" w:type="dxa"/>
                  <w:noWrap w:val="0"/>
                  <w:vAlign w:val="center"/>
                </w:tcPr>
                <w:p w14:paraId="2E9A2D20">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46</w:t>
                  </w:r>
                </w:p>
              </w:tc>
              <w:tc>
                <w:tcPr>
                  <w:tcW w:w="538" w:type="dxa"/>
                  <w:noWrap w:val="0"/>
                  <w:vAlign w:val="center"/>
                </w:tcPr>
                <w:p w14:paraId="67D053AD">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57.04 </w:t>
                  </w:r>
                </w:p>
              </w:tc>
              <w:tc>
                <w:tcPr>
                  <w:tcW w:w="538" w:type="dxa"/>
                  <w:noWrap w:val="0"/>
                  <w:vAlign w:val="center"/>
                </w:tcPr>
                <w:p w14:paraId="0C31DEF0">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51.20 </w:t>
                  </w:r>
                </w:p>
              </w:tc>
              <w:tc>
                <w:tcPr>
                  <w:tcW w:w="538" w:type="dxa"/>
                  <w:noWrap w:val="0"/>
                  <w:vAlign w:val="center"/>
                </w:tcPr>
                <w:p w14:paraId="027CD98A">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60.92 </w:t>
                  </w:r>
                </w:p>
              </w:tc>
              <w:tc>
                <w:tcPr>
                  <w:tcW w:w="538" w:type="dxa"/>
                  <w:noWrap w:val="0"/>
                  <w:vAlign w:val="center"/>
                </w:tcPr>
                <w:p w14:paraId="7CD195AA">
                  <w:pPr>
                    <w:keepNext w:val="0"/>
                    <w:keepLines w:val="0"/>
                    <w:widowControl/>
                    <w:suppressLineNumbers w:val="0"/>
                    <w:jc w:val="center"/>
                    <w:textAlignment w:val="center"/>
                    <w:rPr>
                      <w:color w:val="000000"/>
                      <w:szCs w:val="21"/>
                      <w:u w:val="single"/>
                    </w:rPr>
                  </w:pPr>
                  <w:r>
                    <w:rPr>
                      <w:rFonts w:hint="default" w:ascii="Times New Roman" w:hAnsi="Times New Roman" w:eastAsia="宋体" w:cs="Times New Roman"/>
                      <w:i w:val="0"/>
                      <w:iCs w:val="0"/>
                      <w:color w:val="000000"/>
                      <w:kern w:val="0"/>
                      <w:sz w:val="21"/>
                      <w:szCs w:val="21"/>
                      <w:u w:val="single"/>
                      <w:lang w:val="en-US" w:eastAsia="zh-CN" w:bidi="ar"/>
                    </w:rPr>
                    <w:t xml:space="preserve">51.74 </w:t>
                  </w:r>
                </w:p>
              </w:tc>
              <w:tc>
                <w:tcPr>
                  <w:tcW w:w="361" w:type="dxa"/>
                  <w:noWrap w:val="0"/>
                  <w:vAlign w:val="center"/>
                </w:tcPr>
                <w:p w14:paraId="071C54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15</w:t>
                  </w:r>
                </w:p>
              </w:tc>
              <w:tc>
                <w:tcPr>
                  <w:tcW w:w="584" w:type="dxa"/>
                  <w:noWrap w:val="0"/>
                  <w:vAlign w:val="center"/>
                </w:tcPr>
                <w:p w14:paraId="77E44331">
                  <w:pPr>
                    <w:widowControl/>
                    <w:jc w:val="center"/>
                    <w:textAlignment w:val="center"/>
                    <w:rPr>
                      <w:rFonts w:hint="default" w:eastAsia="宋体"/>
                      <w:color w:val="000000"/>
                      <w:szCs w:val="21"/>
                      <w:u w:val="single"/>
                      <w:lang w:val="en-US" w:eastAsia="zh-CN"/>
                    </w:rPr>
                  </w:pPr>
                  <w:r>
                    <w:rPr>
                      <w:rFonts w:hint="eastAsia"/>
                      <w:color w:val="000000"/>
                      <w:kern w:val="0"/>
                      <w:szCs w:val="21"/>
                      <w:u w:val="single"/>
                      <w:lang w:val="en-US" w:eastAsia="zh-CN" w:bidi="ar"/>
                    </w:rPr>
                    <w:t>8760</w:t>
                  </w:r>
                </w:p>
              </w:tc>
            </w:tr>
          </w:tbl>
          <w:p w14:paraId="0E2492CE">
            <w:pPr>
              <w:adjustRightInd w:val="0"/>
              <w:snapToGrid w:val="0"/>
              <w:jc w:val="center"/>
              <w:rPr>
                <w:rFonts w:hint="eastAsia"/>
                <w:b/>
                <w:bCs/>
                <w:color w:val="000000"/>
                <w:kern w:val="0"/>
                <w:sz w:val="24"/>
                <w:u w:val="single" w:color="auto"/>
                <w:lang w:bidi="ar"/>
              </w:rPr>
            </w:pPr>
            <w:r>
              <w:rPr>
                <w:rFonts w:hint="eastAsia"/>
                <w:b/>
                <w:bCs/>
                <w:color w:val="000000"/>
                <w:kern w:val="0"/>
                <w:sz w:val="24"/>
                <w:u w:val="single" w:color="auto"/>
                <w:lang w:bidi="ar"/>
              </w:rPr>
              <w:t>表4-1</w:t>
            </w:r>
            <w:r>
              <w:rPr>
                <w:rFonts w:hint="eastAsia"/>
                <w:b/>
                <w:bCs/>
                <w:color w:val="000000"/>
                <w:kern w:val="0"/>
                <w:sz w:val="24"/>
                <w:u w:val="single" w:color="auto"/>
                <w:lang w:val="en-US" w:eastAsia="zh-CN" w:bidi="ar"/>
              </w:rPr>
              <w:t>3</w:t>
            </w:r>
            <w:r>
              <w:rPr>
                <w:rFonts w:hint="eastAsia"/>
                <w:b/>
                <w:bCs/>
                <w:color w:val="000000"/>
                <w:kern w:val="0"/>
                <w:sz w:val="24"/>
                <w:u w:val="single" w:color="auto"/>
                <w:lang w:bidi="ar"/>
              </w:rPr>
              <w:t xml:space="preserve"> 工业企业噪声源强调查清单</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935"/>
              <w:gridCol w:w="845"/>
              <w:gridCol w:w="777"/>
              <w:gridCol w:w="765"/>
              <w:gridCol w:w="765"/>
              <w:gridCol w:w="964"/>
              <w:gridCol w:w="1286"/>
              <w:gridCol w:w="721"/>
            </w:tblGrid>
            <w:tr w14:paraId="30EF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56" w:type="pct"/>
                  <w:vMerge w:val="restart"/>
                  <w:noWrap w:val="0"/>
                  <w:vAlign w:val="center"/>
                </w:tcPr>
                <w:p w14:paraId="4C8B7926">
                  <w:pPr>
                    <w:pStyle w:val="353"/>
                    <w:adjustRightInd w:val="0"/>
                    <w:snapToGrid w:val="0"/>
                    <w:rPr>
                      <w:sz w:val="21"/>
                      <w:szCs w:val="21"/>
                      <w:u w:val="single" w:color="auto"/>
                    </w:rPr>
                  </w:pPr>
                  <w:r>
                    <w:rPr>
                      <w:sz w:val="21"/>
                      <w:szCs w:val="21"/>
                      <w:u w:val="single" w:color="auto"/>
                    </w:rPr>
                    <w:t>序号</w:t>
                  </w:r>
                </w:p>
              </w:tc>
              <w:tc>
                <w:tcPr>
                  <w:tcW w:w="1139" w:type="pct"/>
                  <w:vMerge w:val="restart"/>
                  <w:noWrap w:val="0"/>
                  <w:vAlign w:val="center"/>
                </w:tcPr>
                <w:p w14:paraId="1BD4EFB2">
                  <w:pPr>
                    <w:pStyle w:val="353"/>
                    <w:adjustRightInd w:val="0"/>
                    <w:snapToGrid w:val="0"/>
                    <w:rPr>
                      <w:sz w:val="21"/>
                      <w:szCs w:val="21"/>
                      <w:u w:val="single" w:color="auto"/>
                    </w:rPr>
                  </w:pPr>
                  <w:r>
                    <w:rPr>
                      <w:rFonts w:hint="eastAsia"/>
                      <w:sz w:val="21"/>
                      <w:szCs w:val="21"/>
                      <w:u w:val="single" w:color="auto"/>
                    </w:rPr>
                    <w:t>声源名称</w:t>
                  </w:r>
                </w:p>
              </w:tc>
              <w:tc>
                <w:tcPr>
                  <w:tcW w:w="497" w:type="pct"/>
                  <w:vMerge w:val="restart"/>
                  <w:noWrap w:val="0"/>
                  <w:vAlign w:val="center"/>
                </w:tcPr>
                <w:p w14:paraId="50720D58">
                  <w:pPr>
                    <w:pStyle w:val="353"/>
                    <w:adjustRightInd w:val="0"/>
                    <w:snapToGrid w:val="0"/>
                    <w:rPr>
                      <w:sz w:val="21"/>
                      <w:szCs w:val="21"/>
                      <w:u w:val="single" w:color="auto"/>
                    </w:rPr>
                  </w:pPr>
                  <w:r>
                    <w:rPr>
                      <w:sz w:val="21"/>
                      <w:szCs w:val="21"/>
                      <w:u w:val="single" w:color="auto"/>
                    </w:rPr>
                    <w:t>建筑物插入损失/dB（A）</w:t>
                  </w:r>
                </w:p>
              </w:tc>
              <w:tc>
                <w:tcPr>
                  <w:tcW w:w="2681" w:type="pct"/>
                  <w:gridSpan w:val="5"/>
                  <w:noWrap w:val="0"/>
                  <w:vAlign w:val="center"/>
                </w:tcPr>
                <w:p w14:paraId="722DC59C">
                  <w:pPr>
                    <w:pStyle w:val="353"/>
                    <w:adjustRightInd w:val="0"/>
                    <w:snapToGrid w:val="0"/>
                    <w:rPr>
                      <w:sz w:val="21"/>
                      <w:szCs w:val="21"/>
                      <w:u w:val="single" w:color="auto"/>
                    </w:rPr>
                  </w:pPr>
                  <w:r>
                    <w:rPr>
                      <w:sz w:val="21"/>
                      <w:szCs w:val="21"/>
                      <w:u w:val="single" w:color="auto"/>
                    </w:rPr>
                    <w:t>室内边界声级/dB（A）</w:t>
                  </w:r>
                </w:p>
              </w:tc>
              <w:tc>
                <w:tcPr>
                  <w:tcW w:w="424" w:type="pct"/>
                  <w:vMerge w:val="restart"/>
                  <w:noWrap w:val="0"/>
                  <w:vAlign w:val="center"/>
                </w:tcPr>
                <w:p w14:paraId="4C402FCE">
                  <w:pPr>
                    <w:pStyle w:val="353"/>
                    <w:adjustRightInd w:val="0"/>
                    <w:snapToGrid w:val="0"/>
                    <w:rPr>
                      <w:sz w:val="21"/>
                      <w:szCs w:val="21"/>
                      <w:u w:val="single" w:color="auto"/>
                    </w:rPr>
                  </w:pPr>
                  <w:r>
                    <w:rPr>
                      <w:sz w:val="21"/>
                      <w:szCs w:val="21"/>
                      <w:u w:val="single" w:color="auto"/>
                    </w:rPr>
                    <w:t>备注</w:t>
                  </w:r>
                </w:p>
              </w:tc>
            </w:tr>
            <w:tr w14:paraId="0CCE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 w:type="pct"/>
                  <w:vMerge w:val="continue"/>
                  <w:noWrap w:val="0"/>
                  <w:vAlign w:val="center"/>
                </w:tcPr>
                <w:p w14:paraId="762F62BA">
                  <w:pPr>
                    <w:pStyle w:val="353"/>
                    <w:adjustRightInd w:val="0"/>
                    <w:snapToGrid w:val="0"/>
                    <w:rPr>
                      <w:sz w:val="21"/>
                      <w:szCs w:val="21"/>
                      <w:u w:val="single" w:color="auto"/>
                    </w:rPr>
                  </w:pPr>
                </w:p>
              </w:tc>
              <w:tc>
                <w:tcPr>
                  <w:tcW w:w="1139" w:type="pct"/>
                  <w:vMerge w:val="continue"/>
                  <w:noWrap w:val="0"/>
                  <w:vAlign w:val="center"/>
                </w:tcPr>
                <w:p w14:paraId="224C4B1E">
                  <w:pPr>
                    <w:pStyle w:val="353"/>
                    <w:adjustRightInd w:val="0"/>
                    <w:snapToGrid w:val="0"/>
                    <w:rPr>
                      <w:sz w:val="21"/>
                      <w:szCs w:val="21"/>
                      <w:u w:val="single" w:color="auto"/>
                    </w:rPr>
                  </w:pPr>
                </w:p>
              </w:tc>
              <w:tc>
                <w:tcPr>
                  <w:tcW w:w="497" w:type="pct"/>
                  <w:vMerge w:val="continue"/>
                  <w:noWrap w:val="0"/>
                  <w:vAlign w:val="center"/>
                </w:tcPr>
                <w:p w14:paraId="5552874E">
                  <w:pPr>
                    <w:pStyle w:val="353"/>
                    <w:adjustRightInd w:val="0"/>
                    <w:snapToGrid w:val="0"/>
                    <w:rPr>
                      <w:sz w:val="21"/>
                      <w:szCs w:val="21"/>
                      <w:u w:val="single" w:color="auto"/>
                    </w:rPr>
                  </w:pPr>
                </w:p>
              </w:tc>
              <w:tc>
                <w:tcPr>
                  <w:tcW w:w="1924" w:type="pct"/>
                  <w:gridSpan w:val="4"/>
                  <w:noWrap w:val="0"/>
                  <w:vAlign w:val="center"/>
                </w:tcPr>
                <w:p w14:paraId="3703EC57">
                  <w:pPr>
                    <w:pStyle w:val="353"/>
                    <w:adjustRightInd w:val="0"/>
                    <w:snapToGrid w:val="0"/>
                    <w:rPr>
                      <w:sz w:val="21"/>
                      <w:szCs w:val="21"/>
                      <w:u w:val="single" w:color="auto"/>
                    </w:rPr>
                  </w:pPr>
                  <w:r>
                    <w:rPr>
                      <w:sz w:val="21"/>
                      <w:szCs w:val="21"/>
                      <w:u w:val="single" w:color="auto"/>
                    </w:rPr>
                    <w:t>声压级/dB（A）</w:t>
                  </w:r>
                </w:p>
              </w:tc>
              <w:tc>
                <w:tcPr>
                  <w:tcW w:w="757" w:type="pct"/>
                  <w:vMerge w:val="restart"/>
                  <w:noWrap w:val="0"/>
                  <w:vAlign w:val="center"/>
                </w:tcPr>
                <w:p w14:paraId="47D36A16">
                  <w:pPr>
                    <w:pStyle w:val="353"/>
                    <w:adjustRightInd w:val="0"/>
                    <w:snapToGrid w:val="0"/>
                    <w:rPr>
                      <w:sz w:val="21"/>
                      <w:szCs w:val="21"/>
                      <w:u w:val="single" w:color="auto"/>
                    </w:rPr>
                  </w:pPr>
                  <w:r>
                    <w:rPr>
                      <w:sz w:val="21"/>
                      <w:szCs w:val="21"/>
                      <w:u w:val="single" w:color="auto"/>
                    </w:rPr>
                    <w:t>厂界外距离</w:t>
                  </w:r>
                </w:p>
              </w:tc>
              <w:tc>
                <w:tcPr>
                  <w:tcW w:w="424" w:type="pct"/>
                  <w:vMerge w:val="continue"/>
                  <w:noWrap w:val="0"/>
                  <w:vAlign w:val="center"/>
                </w:tcPr>
                <w:p w14:paraId="70276D2A">
                  <w:pPr>
                    <w:pStyle w:val="353"/>
                    <w:adjustRightInd w:val="0"/>
                    <w:snapToGrid w:val="0"/>
                    <w:rPr>
                      <w:sz w:val="21"/>
                      <w:szCs w:val="21"/>
                      <w:u w:val="single" w:color="auto"/>
                    </w:rPr>
                  </w:pPr>
                </w:p>
              </w:tc>
            </w:tr>
            <w:tr w14:paraId="5F56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56" w:type="pct"/>
                  <w:vMerge w:val="continue"/>
                  <w:noWrap w:val="0"/>
                  <w:vAlign w:val="center"/>
                </w:tcPr>
                <w:p w14:paraId="6E1193E6">
                  <w:pPr>
                    <w:pStyle w:val="353"/>
                    <w:adjustRightInd w:val="0"/>
                    <w:snapToGrid w:val="0"/>
                    <w:rPr>
                      <w:sz w:val="21"/>
                      <w:szCs w:val="21"/>
                      <w:u w:val="single" w:color="auto"/>
                    </w:rPr>
                  </w:pPr>
                </w:p>
              </w:tc>
              <w:tc>
                <w:tcPr>
                  <w:tcW w:w="1139" w:type="pct"/>
                  <w:vMerge w:val="continue"/>
                  <w:noWrap w:val="0"/>
                  <w:vAlign w:val="center"/>
                </w:tcPr>
                <w:p w14:paraId="2E13F542">
                  <w:pPr>
                    <w:pStyle w:val="353"/>
                    <w:adjustRightInd w:val="0"/>
                    <w:snapToGrid w:val="0"/>
                    <w:rPr>
                      <w:sz w:val="21"/>
                      <w:szCs w:val="21"/>
                      <w:u w:val="single" w:color="auto"/>
                    </w:rPr>
                  </w:pPr>
                </w:p>
              </w:tc>
              <w:tc>
                <w:tcPr>
                  <w:tcW w:w="497" w:type="pct"/>
                  <w:vMerge w:val="continue"/>
                  <w:noWrap w:val="0"/>
                  <w:vAlign w:val="center"/>
                </w:tcPr>
                <w:p w14:paraId="1C912FFD">
                  <w:pPr>
                    <w:pStyle w:val="353"/>
                    <w:adjustRightInd w:val="0"/>
                    <w:snapToGrid w:val="0"/>
                    <w:rPr>
                      <w:sz w:val="21"/>
                      <w:szCs w:val="21"/>
                      <w:u w:val="single" w:color="auto"/>
                    </w:rPr>
                  </w:pPr>
                </w:p>
              </w:tc>
              <w:tc>
                <w:tcPr>
                  <w:tcW w:w="457" w:type="pct"/>
                  <w:noWrap w:val="0"/>
                  <w:vAlign w:val="center"/>
                </w:tcPr>
                <w:p w14:paraId="07FF3CA4">
                  <w:pPr>
                    <w:pStyle w:val="353"/>
                    <w:adjustRightInd w:val="0"/>
                    <w:snapToGrid w:val="0"/>
                    <w:rPr>
                      <w:sz w:val="21"/>
                      <w:szCs w:val="21"/>
                      <w:u w:val="single" w:color="auto"/>
                    </w:rPr>
                  </w:pPr>
                  <w:r>
                    <w:rPr>
                      <w:sz w:val="21"/>
                      <w:szCs w:val="21"/>
                      <w:u w:val="single" w:color="auto"/>
                    </w:rPr>
                    <w:t>东</w:t>
                  </w:r>
                </w:p>
              </w:tc>
              <w:tc>
                <w:tcPr>
                  <w:tcW w:w="450" w:type="pct"/>
                  <w:noWrap w:val="0"/>
                  <w:vAlign w:val="center"/>
                </w:tcPr>
                <w:p w14:paraId="5873FBEA">
                  <w:pPr>
                    <w:pStyle w:val="353"/>
                    <w:adjustRightInd w:val="0"/>
                    <w:snapToGrid w:val="0"/>
                    <w:rPr>
                      <w:sz w:val="21"/>
                      <w:szCs w:val="21"/>
                      <w:u w:val="single" w:color="auto"/>
                    </w:rPr>
                  </w:pPr>
                  <w:r>
                    <w:rPr>
                      <w:sz w:val="21"/>
                      <w:szCs w:val="21"/>
                      <w:u w:val="single" w:color="auto"/>
                    </w:rPr>
                    <w:t>南</w:t>
                  </w:r>
                </w:p>
              </w:tc>
              <w:tc>
                <w:tcPr>
                  <w:tcW w:w="450" w:type="pct"/>
                  <w:noWrap w:val="0"/>
                  <w:vAlign w:val="center"/>
                </w:tcPr>
                <w:p w14:paraId="0129D2DE">
                  <w:pPr>
                    <w:pStyle w:val="353"/>
                    <w:adjustRightInd w:val="0"/>
                    <w:snapToGrid w:val="0"/>
                    <w:rPr>
                      <w:sz w:val="21"/>
                      <w:szCs w:val="21"/>
                      <w:u w:val="single" w:color="auto"/>
                    </w:rPr>
                  </w:pPr>
                  <w:r>
                    <w:rPr>
                      <w:sz w:val="21"/>
                      <w:szCs w:val="21"/>
                      <w:u w:val="single" w:color="auto"/>
                    </w:rPr>
                    <w:t>西</w:t>
                  </w:r>
                </w:p>
              </w:tc>
              <w:tc>
                <w:tcPr>
                  <w:tcW w:w="566" w:type="pct"/>
                  <w:noWrap w:val="0"/>
                  <w:vAlign w:val="center"/>
                </w:tcPr>
                <w:p w14:paraId="5D0BA929">
                  <w:pPr>
                    <w:pStyle w:val="353"/>
                    <w:adjustRightInd w:val="0"/>
                    <w:snapToGrid w:val="0"/>
                    <w:rPr>
                      <w:sz w:val="21"/>
                      <w:szCs w:val="21"/>
                      <w:u w:val="single" w:color="auto"/>
                    </w:rPr>
                  </w:pPr>
                  <w:r>
                    <w:rPr>
                      <w:sz w:val="21"/>
                      <w:szCs w:val="21"/>
                      <w:u w:val="single" w:color="auto"/>
                    </w:rPr>
                    <w:t>北</w:t>
                  </w:r>
                </w:p>
              </w:tc>
              <w:tc>
                <w:tcPr>
                  <w:tcW w:w="757" w:type="pct"/>
                  <w:vMerge w:val="continue"/>
                  <w:noWrap w:val="0"/>
                  <w:vAlign w:val="center"/>
                </w:tcPr>
                <w:p w14:paraId="1423FC79">
                  <w:pPr>
                    <w:pStyle w:val="353"/>
                    <w:adjustRightInd w:val="0"/>
                    <w:snapToGrid w:val="0"/>
                    <w:rPr>
                      <w:sz w:val="21"/>
                      <w:szCs w:val="21"/>
                      <w:u w:val="single" w:color="auto"/>
                    </w:rPr>
                  </w:pPr>
                </w:p>
              </w:tc>
              <w:tc>
                <w:tcPr>
                  <w:tcW w:w="424" w:type="pct"/>
                  <w:vMerge w:val="continue"/>
                  <w:noWrap w:val="0"/>
                  <w:vAlign w:val="center"/>
                </w:tcPr>
                <w:p w14:paraId="4ECC0199">
                  <w:pPr>
                    <w:pStyle w:val="353"/>
                    <w:adjustRightInd w:val="0"/>
                    <w:snapToGrid w:val="0"/>
                    <w:rPr>
                      <w:sz w:val="21"/>
                      <w:szCs w:val="21"/>
                      <w:u w:val="single" w:color="auto"/>
                    </w:rPr>
                  </w:pPr>
                </w:p>
              </w:tc>
            </w:tr>
            <w:tr w14:paraId="3C55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noWrap w:val="0"/>
                  <w:vAlign w:val="center"/>
                </w:tcPr>
                <w:p w14:paraId="692E6D58">
                  <w:pPr>
                    <w:pStyle w:val="349"/>
                    <w:rPr>
                      <w:bCs w:val="0"/>
                      <w:sz w:val="21"/>
                      <w:szCs w:val="21"/>
                      <w:u w:val="single" w:color="auto"/>
                    </w:rPr>
                  </w:pPr>
                  <w:r>
                    <w:rPr>
                      <w:bCs w:val="0"/>
                      <w:sz w:val="21"/>
                      <w:szCs w:val="21"/>
                      <w:u w:val="single" w:color="auto"/>
                    </w:rPr>
                    <w:t>1</w:t>
                  </w:r>
                </w:p>
              </w:tc>
              <w:tc>
                <w:tcPr>
                  <w:tcW w:w="1139" w:type="pct"/>
                  <w:shd w:val="clear" w:color="auto" w:fill="auto"/>
                  <w:noWrap w:val="0"/>
                  <w:vAlign w:val="center"/>
                </w:tcPr>
                <w:p w14:paraId="62C7A131">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i w:val="0"/>
                      <w:iCs w:val="0"/>
                      <w:color w:val="000000"/>
                      <w:kern w:val="0"/>
                      <w:sz w:val="21"/>
                      <w:szCs w:val="21"/>
                      <w:u w:val="single" w:color="auto"/>
                      <w:lang w:val="en-US" w:eastAsia="zh-CN" w:bidi="ar"/>
                    </w:rPr>
                    <w:t>加油机1</w:t>
                  </w:r>
                </w:p>
              </w:tc>
              <w:tc>
                <w:tcPr>
                  <w:tcW w:w="497" w:type="pct"/>
                  <w:vMerge w:val="restart"/>
                  <w:noWrap w:val="0"/>
                  <w:vAlign w:val="center"/>
                </w:tcPr>
                <w:p w14:paraId="2410079E">
                  <w:pPr>
                    <w:widowControl/>
                    <w:adjustRightInd w:val="0"/>
                    <w:snapToGrid w:val="0"/>
                    <w:jc w:val="center"/>
                    <w:textAlignment w:val="center"/>
                    <w:rPr>
                      <w:rFonts w:hint="eastAsia"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 w:val="21"/>
                      <w:szCs w:val="21"/>
                      <w:u w:val="single" w:color="auto"/>
                      <w:lang w:val="en-US" w:eastAsia="zh-CN" w:bidi="ar"/>
                    </w:rPr>
                    <w:t>0</w:t>
                  </w:r>
                </w:p>
              </w:tc>
              <w:tc>
                <w:tcPr>
                  <w:tcW w:w="777" w:type="dxa"/>
                  <w:shd w:val="clear" w:color="auto" w:fill="auto"/>
                  <w:noWrap w:val="0"/>
                  <w:vAlign w:val="center"/>
                </w:tcPr>
                <w:p w14:paraId="2C49E9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24.42 </w:t>
                  </w:r>
                </w:p>
              </w:tc>
              <w:tc>
                <w:tcPr>
                  <w:tcW w:w="765" w:type="dxa"/>
                  <w:shd w:val="clear" w:color="auto" w:fill="auto"/>
                  <w:noWrap w:val="0"/>
                  <w:vAlign w:val="center"/>
                </w:tcPr>
                <w:p w14:paraId="571269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23.76 </w:t>
                  </w:r>
                </w:p>
              </w:tc>
              <w:tc>
                <w:tcPr>
                  <w:tcW w:w="765" w:type="dxa"/>
                  <w:shd w:val="clear" w:color="auto" w:fill="auto"/>
                  <w:noWrap w:val="0"/>
                  <w:vAlign w:val="center"/>
                </w:tcPr>
                <w:p w14:paraId="51E275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26.48 </w:t>
                  </w:r>
                </w:p>
              </w:tc>
              <w:tc>
                <w:tcPr>
                  <w:tcW w:w="962" w:type="dxa"/>
                  <w:shd w:val="clear" w:color="auto" w:fill="auto"/>
                  <w:noWrap w:val="0"/>
                  <w:vAlign w:val="center"/>
                </w:tcPr>
                <w:p w14:paraId="7E37D2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12.56 </w:t>
                  </w:r>
                </w:p>
              </w:tc>
              <w:tc>
                <w:tcPr>
                  <w:tcW w:w="757" w:type="pct"/>
                  <w:vMerge w:val="restart"/>
                  <w:noWrap w:val="0"/>
                  <w:vAlign w:val="center"/>
                </w:tcPr>
                <w:p w14:paraId="79CE6238">
                  <w:pPr>
                    <w:pStyle w:val="349"/>
                    <w:rPr>
                      <w:bCs w:val="0"/>
                      <w:sz w:val="21"/>
                      <w:szCs w:val="21"/>
                      <w:u w:val="single" w:color="auto"/>
                    </w:rPr>
                  </w:pPr>
                  <w:r>
                    <w:rPr>
                      <w:bCs w:val="0"/>
                      <w:sz w:val="21"/>
                      <w:szCs w:val="21"/>
                      <w:u w:val="single" w:color="auto"/>
                    </w:rPr>
                    <w:t>1m</w:t>
                  </w:r>
                </w:p>
              </w:tc>
              <w:tc>
                <w:tcPr>
                  <w:tcW w:w="424" w:type="pct"/>
                  <w:vMerge w:val="restart"/>
                  <w:noWrap w:val="0"/>
                  <w:vAlign w:val="center"/>
                </w:tcPr>
                <w:p w14:paraId="2249220F">
                  <w:pPr>
                    <w:pStyle w:val="349"/>
                    <w:rPr>
                      <w:rFonts w:hint="eastAsia" w:eastAsia="宋体"/>
                      <w:bCs w:val="0"/>
                      <w:sz w:val="21"/>
                      <w:szCs w:val="21"/>
                      <w:u w:val="single" w:color="auto"/>
                      <w:lang w:val="en-US" w:eastAsia="zh-CN"/>
                    </w:rPr>
                  </w:pPr>
                  <w:r>
                    <w:rPr>
                      <w:rFonts w:hint="eastAsia"/>
                      <w:bCs w:val="0"/>
                      <w:sz w:val="21"/>
                      <w:szCs w:val="21"/>
                      <w:u w:val="single" w:color="auto"/>
                      <w:lang w:val="en-US" w:eastAsia="zh-CN"/>
                    </w:rPr>
                    <w:t>室外</w:t>
                  </w:r>
                </w:p>
              </w:tc>
            </w:tr>
            <w:tr w14:paraId="382A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noWrap w:val="0"/>
                  <w:vAlign w:val="center"/>
                </w:tcPr>
                <w:p w14:paraId="5741226A">
                  <w:pPr>
                    <w:pStyle w:val="349"/>
                    <w:rPr>
                      <w:bCs w:val="0"/>
                      <w:sz w:val="21"/>
                      <w:szCs w:val="21"/>
                      <w:u w:val="single" w:color="auto"/>
                    </w:rPr>
                  </w:pPr>
                  <w:r>
                    <w:rPr>
                      <w:bCs w:val="0"/>
                      <w:sz w:val="21"/>
                      <w:szCs w:val="21"/>
                      <w:u w:val="single" w:color="auto"/>
                    </w:rPr>
                    <w:t>2</w:t>
                  </w:r>
                </w:p>
              </w:tc>
              <w:tc>
                <w:tcPr>
                  <w:tcW w:w="1139" w:type="pct"/>
                  <w:shd w:val="clear" w:color="auto" w:fill="auto"/>
                  <w:noWrap w:val="0"/>
                  <w:vAlign w:val="center"/>
                </w:tcPr>
                <w:p w14:paraId="5601CC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加油机2</w:t>
                  </w:r>
                </w:p>
              </w:tc>
              <w:tc>
                <w:tcPr>
                  <w:tcW w:w="497" w:type="pct"/>
                  <w:vMerge w:val="continue"/>
                  <w:noWrap w:val="0"/>
                  <w:vAlign w:val="center"/>
                </w:tcPr>
                <w:p w14:paraId="40E2AAFA">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p>
              </w:tc>
              <w:tc>
                <w:tcPr>
                  <w:tcW w:w="777" w:type="dxa"/>
                  <w:shd w:val="clear" w:color="auto" w:fill="auto"/>
                  <w:noWrap w:val="0"/>
                  <w:vAlign w:val="center"/>
                </w:tcPr>
                <w:p w14:paraId="6DE16A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24.42 </w:t>
                  </w:r>
                </w:p>
              </w:tc>
              <w:tc>
                <w:tcPr>
                  <w:tcW w:w="765" w:type="dxa"/>
                  <w:shd w:val="clear" w:color="auto" w:fill="auto"/>
                  <w:noWrap w:val="0"/>
                  <w:vAlign w:val="center"/>
                </w:tcPr>
                <w:p w14:paraId="0657E4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20.03 </w:t>
                  </w:r>
                </w:p>
              </w:tc>
              <w:tc>
                <w:tcPr>
                  <w:tcW w:w="765" w:type="dxa"/>
                  <w:shd w:val="clear" w:color="auto" w:fill="auto"/>
                  <w:noWrap w:val="0"/>
                  <w:vAlign w:val="center"/>
                </w:tcPr>
                <w:p w14:paraId="58AD8C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26.48 </w:t>
                  </w:r>
                </w:p>
              </w:tc>
              <w:tc>
                <w:tcPr>
                  <w:tcW w:w="962" w:type="dxa"/>
                  <w:shd w:val="clear" w:color="auto" w:fill="auto"/>
                  <w:noWrap w:val="0"/>
                  <w:vAlign w:val="center"/>
                </w:tcPr>
                <w:p w14:paraId="396E4F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13.94 </w:t>
                  </w:r>
                </w:p>
              </w:tc>
              <w:tc>
                <w:tcPr>
                  <w:tcW w:w="757" w:type="pct"/>
                  <w:vMerge w:val="continue"/>
                  <w:noWrap w:val="0"/>
                  <w:vAlign w:val="center"/>
                </w:tcPr>
                <w:p w14:paraId="1EE2ECC1">
                  <w:pPr>
                    <w:pStyle w:val="349"/>
                    <w:rPr>
                      <w:bCs w:val="0"/>
                      <w:sz w:val="21"/>
                      <w:szCs w:val="21"/>
                      <w:u w:val="single" w:color="auto"/>
                    </w:rPr>
                  </w:pPr>
                </w:p>
              </w:tc>
              <w:tc>
                <w:tcPr>
                  <w:tcW w:w="424" w:type="pct"/>
                  <w:vMerge w:val="continue"/>
                  <w:noWrap w:val="0"/>
                  <w:vAlign w:val="center"/>
                </w:tcPr>
                <w:p w14:paraId="20972483">
                  <w:pPr>
                    <w:pStyle w:val="349"/>
                    <w:rPr>
                      <w:bCs w:val="0"/>
                      <w:sz w:val="21"/>
                      <w:szCs w:val="21"/>
                      <w:u w:val="single" w:color="auto"/>
                    </w:rPr>
                  </w:pPr>
                </w:p>
              </w:tc>
            </w:tr>
            <w:tr w14:paraId="4A74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noWrap w:val="0"/>
                  <w:vAlign w:val="center"/>
                </w:tcPr>
                <w:p w14:paraId="02084FF9">
                  <w:pPr>
                    <w:pStyle w:val="349"/>
                    <w:rPr>
                      <w:bCs w:val="0"/>
                      <w:sz w:val="21"/>
                      <w:szCs w:val="21"/>
                      <w:u w:val="single" w:color="auto"/>
                    </w:rPr>
                  </w:pPr>
                  <w:r>
                    <w:rPr>
                      <w:bCs w:val="0"/>
                      <w:sz w:val="21"/>
                      <w:szCs w:val="21"/>
                      <w:u w:val="single" w:color="auto"/>
                    </w:rPr>
                    <w:t>3</w:t>
                  </w:r>
                </w:p>
              </w:tc>
              <w:tc>
                <w:tcPr>
                  <w:tcW w:w="1139" w:type="pct"/>
                  <w:shd w:val="clear" w:color="auto" w:fill="auto"/>
                  <w:noWrap w:val="0"/>
                  <w:vAlign w:val="center"/>
                </w:tcPr>
                <w:p w14:paraId="392363ED">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i w:val="0"/>
                      <w:iCs w:val="0"/>
                      <w:color w:val="000000"/>
                      <w:kern w:val="0"/>
                      <w:sz w:val="21"/>
                      <w:szCs w:val="21"/>
                      <w:u w:val="single" w:color="auto"/>
                      <w:lang w:val="en-US" w:eastAsia="zh-CN" w:bidi="ar"/>
                    </w:rPr>
                    <w:t>加油机3</w:t>
                  </w:r>
                </w:p>
              </w:tc>
              <w:tc>
                <w:tcPr>
                  <w:tcW w:w="497" w:type="pct"/>
                  <w:vMerge w:val="continue"/>
                  <w:noWrap w:val="0"/>
                  <w:vAlign w:val="center"/>
                </w:tcPr>
                <w:p w14:paraId="2CCA7EEA">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p>
              </w:tc>
              <w:tc>
                <w:tcPr>
                  <w:tcW w:w="777" w:type="dxa"/>
                  <w:shd w:val="clear" w:color="auto" w:fill="auto"/>
                  <w:noWrap w:val="0"/>
                  <w:vAlign w:val="center"/>
                </w:tcPr>
                <w:p w14:paraId="4D5269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24.42 </w:t>
                  </w:r>
                </w:p>
              </w:tc>
              <w:tc>
                <w:tcPr>
                  <w:tcW w:w="765" w:type="dxa"/>
                  <w:shd w:val="clear" w:color="auto" w:fill="auto"/>
                  <w:noWrap w:val="0"/>
                  <w:vAlign w:val="center"/>
                </w:tcPr>
                <w:p w14:paraId="4CC168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17.43 </w:t>
                  </w:r>
                </w:p>
              </w:tc>
              <w:tc>
                <w:tcPr>
                  <w:tcW w:w="765" w:type="dxa"/>
                  <w:shd w:val="clear" w:color="auto" w:fill="auto"/>
                  <w:noWrap w:val="0"/>
                  <w:vAlign w:val="center"/>
                </w:tcPr>
                <w:p w14:paraId="3258D8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26.48 </w:t>
                  </w:r>
                </w:p>
              </w:tc>
              <w:tc>
                <w:tcPr>
                  <w:tcW w:w="962" w:type="dxa"/>
                  <w:shd w:val="clear" w:color="auto" w:fill="auto"/>
                  <w:noWrap w:val="0"/>
                  <w:vAlign w:val="center"/>
                </w:tcPr>
                <w:p w14:paraId="253E32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15.60 </w:t>
                  </w:r>
                </w:p>
              </w:tc>
              <w:tc>
                <w:tcPr>
                  <w:tcW w:w="757" w:type="pct"/>
                  <w:vMerge w:val="continue"/>
                  <w:noWrap w:val="0"/>
                  <w:vAlign w:val="center"/>
                </w:tcPr>
                <w:p w14:paraId="060251F5">
                  <w:pPr>
                    <w:pStyle w:val="349"/>
                    <w:rPr>
                      <w:bCs w:val="0"/>
                      <w:sz w:val="21"/>
                      <w:szCs w:val="21"/>
                      <w:u w:val="single" w:color="auto"/>
                    </w:rPr>
                  </w:pPr>
                </w:p>
              </w:tc>
              <w:tc>
                <w:tcPr>
                  <w:tcW w:w="424" w:type="pct"/>
                  <w:vMerge w:val="continue"/>
                  <w:noWrap w:val="0"/>
                  <w:vAlign w:val="center"/>
                </w:tcPr>
                <w:p w14:paraId="2DE9F614">
                  <w:pPr>
                    <w:pStyle w:val="349"/>
                    <w:rPr>
                      <w:bCs w:val="0"/>
                      <w:sz w:val="21"/>
                      <w:szCs w:val="21"/>
                      <w:u w:val="single" w:color="auto"/>
                    </w:rPr>
                  </w:pPr>
                </w:p>
              </w:tc>
            </w:tr>
            <w:tr w14:paraId="0CBB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6" w:type="pct"/>
                  <w:noWrap w:val="0"/>
                  <w:vAlign w:val="center"/>
                </w:tcPr>
                <w:p w14:paraId="7B444F87">
                  <w:pPr>
                    <w:pStyle w:val="349"/>
                    <w:rPr>
                      <w:bCs w:val="0"/>
                      <w:sz w:val="21"/>
                      <w:szCs w:val="21"/>
                      <w:u w:val="single" w:color="auto"/>
                    </w:rPr>
                  </w:pPr>
                  <w:r>
                    <w:rPr>
                      <w:bCs w:val="0"/>
                      <w:sz w:val="21"/>
                      <w:szCs w:val="21"/>
                      <w:u w:val="single" w:color="auto"/>
                    </w:rPr>
                    <w:t>4</w:t>
                  </w:r>
                </w:p>
              </w:tc>
              <w:tc>
                <w:tcPr>
                  <w:tcW w:w="1139" w:type="pct"/>
                  <w:shd w:val="clear" w:color="auto" w:fill="auto"/>
                  <w:noWrap w:val="0"/>
                  <w:vAlign w:val="center"/>
                </w:tcPr>
                <w:p w14:paraId="5554D2D8">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i w:val="0"/>
                      <w:iCs w:val="0"/>
                      <w:color w:val="000000"/>
                      <w:kern w:val="0"/>
                      <w:sz w:val="21"/>
                      <w:szCs w:val="21"/>
                      <w:u w:val="single" w:color="auto"/>
                      <w:lang w:val="en-US" w:eastAsia="zh-CN" w:bidi="ar"/>
                    </w:rPr>
                    <w:t>加油机4</w:t>
                  </w:r>
                </w:p>
              </w:tc>
              <w:tc>
                <w:tcPr>
                  <w:tcW w:w="497" w:type="pct"/>
                  <w:vMerge w:val="continue"/>
                  <w:noWrap w:val="0"/>
                  <w:vAlign w:val="center"/>
                </w:tcPr>
                <w:p w14:paraId="1B81884D">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p>
              </w:tc>
              <w:tc>
                <w:tcPr>
                  <w:tcW w:w="777" w:type="dxa"/>
                  <w:shd w:val="clear" w:color="auto" w:fill="auto"/>
                  <w:noWrap w:val="0"/>
                  <w:vAlign w:val="center"/>
                </w:tcPr>
                <w:p w14:paraId="2D59DD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24.42 </w:t>
                  </w:r>
                </w:p>
              </w:tc>
              <w:tc>
                <w:tcPr>
                  <w:tcW w:w="765" w:type="dxa"/>
                  <w:shd w:val="clear" w:color="auto" w:fill="auto"/>
                  <w:noWrap w:val="0"/>
                  <w:vAlign w:val="center"/>
                </w:tcPr>
                <w:p w14:paraId="26A920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15.43 </w:t>
                  </w:r>
                </w:p>
              </w:tc>
              <w:tc>
                <w:tcPr>
                  <w:tcW w:w="765" w:type="dxa"/>
                  <w:shd w:val="clear" w:color="auto" w:fill="auto"/>
                  <w:noWrap w:val="0"/>
                  <w:vAlign w:val="center"/>
                </w:tcPr>
                <w:p w14:paraId="47F217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26.48 </w:t>
                  </w:r>
                </w:p>
              </w:tc>
              <w:tc>
                <w:tcPr>
                  <w:tcW w:w="962" w:type="dxa"/>
                  <w:shd w:val="clear" w:color="auto" w:fill="auto"/>
                  <w:noWrap w:val="0"/>
                  <w:vAlign w:val="center"/>
                </w:tcPr>
                <w:p w14:paraId="4E2565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17.64 </w:t>
                  </w:r>
                </w:p>
              </w:tc>
              <w:tc>
                <w:tcPr>
                  <w:tcW w:w="757" w:type="pct"/>
                  <w:vMerge w:val="continue"/>
                  <w:noWrap w:val="0"/>
                  <w:vAlign w:val="center"/>
                </w:tcPr>
                <w:p w14:paraId="1741B777">
                  <w:pPr>
                    <w:pStyle w:val="349"/>
                    <w:rPr>
                      <w:bCs w:val="0"/>
                      <w:sz w:val="21"/>
                      <w:szCs w:val="21"/>
                      <w:u w:val="single" w:color="auto"/>
                    </w:rPr>
                  </w:pPr>
                </w:p>
              </w:tc>
              <w:tc>
                <w:tcPr>
                  <w:tcW w:w="424" w:type="pct"/>
                  <w:vMerge w:val="continue"/>
                  <w:noWrap w:val="0"/>
                  <w:vAlign w:val="center"/>
                </w:tcPr>
                <w:p w14:paraId="15EEFA10">
                  <w:pPr>
                    <w:pStyle w:val="349"/>
                    <w:rPr>
                      <w:bCs w:val="0"/>
                      <w:sz w:val="21"/>
                      <w:szCs w:val="21"/>
                      <w:u w:val="single" w:color="auto"/>
                    </w:rPr>
                  </w:pPr>
                </w:p>
              </w:tc>
            </w:tr>
            <w:tr w14:paraId="3798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6" w:type="pct"/>
                  <w:noWrap w:val="0"/>
                  <w:vAlign w:val="center"/>
                </w:tcPr>
                <w:p w14:paraId="5AD2773A">
                  <w:pPr>
                    <w:pStyle w:val="349"/>
                    <w:rPr>
                      <w:bCs w:val="0"/>
                      <w:sz w:val="21"/>
                      <w:szCs w:val="21"/>
                      <w:u w:val="single" w:color="auto"/>
                    </w:rPr>
                  </w:pPr>
                  <w:r>
                    <w:rPr>
                      <w:bCs w:val="0"/>
                      <w:sz w:val="21"/>
                      <w:szCs w:val="21"/>
                      <w:u w:val="single" w:color="auto"/>
                    </w:rPr>
                    <w:t>5</w:t>
                  </w:r>
                </w:p>
              </w:tc>
              <w:tc>
                <w:tcPr>
                  <w:tcW w:w="1139" w:type="pct"/>
                  <w:shd w:val="clear" w:color="auto" w:fill="auto"/>
                  <w:noWrap w:val="0"/>
                  <w:vAlign w:val="center"/>
                </w:tcPr>
                <w:p w14:paraId="0C46CC05">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sz w:val="21"/>
                      <w:szCs w:val="21"/>
                      <w:u w:val="single" w:color="auto"/>
                      <w:lang w:val="en-US" w:eastAsia="zh-CN"/>
                    </w:rPr>
                    <w:t>油气回收系统</w:t>
                  </w:r>
                </w:p>
              </w:tc>
              <w:tc>
                <w:tcPr>
                  <w:tcW w:w="497" w:type="pct"/>
                  <w:vMerge w:val="continue"/>
                  <w:noWrap w:val="0"/>
                  <w:vAlign w:val="center"/>
                </w:tcPr>
                <w:p w14:paraId="1D34D1BC">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p>
              </w:tc>
              <w:tc>
                <w:tcPr>
                  <w:tcW w:w="777" w:type="dxa"/>
                  <w:shd w:val="clear" w:color="auto" w:fill="auto"/>
                  <w:noWrap w:val="0"/>
                  <w:vAlign w:val="center"/>
                </w:tcPr>
                <w:p w14:paraId="7B72D3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34.42 </w:t>
                  </w:r>
                </w:p>
              </w:tc>
              <w:tc>
                <w:tcPr>
                  <w:tcW w:w="765" w:type="dxa"/>
                  <w:shd w:val="clear" w:color="auto" w:fill="auto"/>
                  <w:noWrap w:val="0"/>
                  <w:vAlign w:val="center"/>
                </w:tcPr>
                <w:p w14:paraId="112B95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37.39 </w:t>
                  </w:r>
                </w:p>
              </w:tc>
              <w:tc>
                <w:tcPr>
                  <w:tcW w:w="765" w:type="dxa"/>
                  <w:shd w:val="clear" w:color="auto" w:fill="auto"/>
                  <w:noWrap w:val="0"/>
                  <w:vAlign w:val="center"/>
                </w:tcPr>
                <w:p w14:paraId="3406E1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36.48 </w:t>
                  </w:r>
                </w:p>
              </w:tc>
              <w:tc>
                <w:tcPr>
                  <w:tcW w:w="962" w:type="dxa"/>
                  <w:shd w:val="clear" w:color="auto" w:fill="auto"/>
                  <w:noWrap w:val="0"/>
                  <w:vAlign w:val="center"/>
                </w:tcPr>
                <w:p w14:paraId="442E95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21.78 </w:t>
                  </w:r>
                </w:p>
              </w:tc>
              <w:tc>
                <w:tcPr>
                  <w:tcW w:w="757" w:type="pct"/>
                  <w:vMerge w:val="continue"/>
                  <w:noWrap w:val="0"/>
                  <w:vAlign w:val="center"/>
                </w:tcPr>
                <w:p w14:paraId="5C7DC21A">
                  <w:pPr>
                    <w:pStyle w:val="349"/>
                    <w:rPr>
                      <w:bCs w:val="0"/>
                      <w:sz w:val="21"/>
                      <w:szCs w:val="21"/>
                      <w:u w:val="single" w:color="auto"/>
                    </w:rPr>
                  </w:pPr>
                </w:p>
              </w:tc>
              <w:tc>
                <w:tcPr>
                  <w:tcW w:w="424" w:type="pct"/>
                  <w:vMerge w:val="continue"/>
                  <w:noWrap w:val="0"/>
                  <w:vAlign w:val="center"/>
                </w:tcPr>
                <w:p w14:paraId="2B23A469">
                  <w:pPr>
                    <w:pStyle w:val="349"/>
                    <w:rPr>
                      <w:bCs w:val="0"/>
                      <w:sz w:val="21"/>
                      <w:szCs w:val="21"/>
                      <w:u w:val="single" w:color="auto"/>
                    </w:rPr>
                  </w:pPr>
                </w:p>
              </w:tc>
            </w:tr>
            <w:tr w14:paraId="6F4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noWrap w:val="0"/>
                  <w:vAlign w:val="center"/>
                </w:tcPr>
                <w:p w14:paraId="46523CE1">
                  <w:pPr>
                    <w:pStyle w:val="349"/>
                    <w:rPr>
                      <w:bCs w:val="0"/>
                      <w:sz w:val="21"/>
                      <w:szCs w:val="21"/>
                      <w:u w:val="single" w:color="auto"/>
                    </w:rPr>
                  </w:pPr>
                  <w:r>
                    <w:rPr>
                      <w:bCs w:val="0"/>
                      <w:sz w:val="21"/>
                      <w:szCs w:val="21"/>
                      <w:u w:val="single" w:color="auto"/>
                    </w:rPr>
                    <w:t>6</w:t>
                  </w:r>
                </w:p>
              </w:tc>
              <w:tc>
                <w:tcPr>
                  <w:tcW w:w="1139" w:type="pct"/>
                  <w:shd w:val="clear" w:color="auto" w:fill="auto"/>
                  <w:noWrap w:val="0"/>
                  <w:vAlign w:val="center"/>
                </w:tcPr>
                <w:p w14:paraId="0A2C17A6">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sz w:val="21"/>
                      <w:szCs w:val="21"/>
                      <w:u w:val="single" w:color="auto"/>
                      <w:lang w:val="en-US" w:eastAsia="zh-CN"/>
                    </w:rPr>
                    <w:t>自动洗车机</w:t>
                  </w:r>
                </w:p>
              </w:tc>
              <w:tc>
                <w:tcPr>
                  <w:tcW w:w="497" w:type="pct"/>
                  <w:vMerge w:val="continue"/>
                  <w:noWrap w:val="0"/>
                  <w:vAlign w:val="center"/>
                </w:tcPr>
                <w:p w14:paraId="52D24C11">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p>
              </w:tc>
              <w:tc>
                <w:tcPr>
                  <w:tcW w:w="777" w:type="dxa"/>
                  <w:shd w:val="clear" w:color="auto" w:fill="auto"/>
                  <w:noWrap w:val="0"/>
                  <w:vAlign w:val="center"/>
                </w:tcPr>
                <w:p w14:paraId="67EB1A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32.40 </w:t>
                  </w:r>
                </w:p>
              </w:tc>
              <w:tc>
                <w:tcPr>
                  <w:tcW w:w="765" w:type="dxa"/>
                  <w:shd w:val="clear" w:color="auto" w:fill="auto"/>
                  <w:noWrap w:val="0"/>
                  <w:vAlign w:val="center"/>
                </w:tcPr>
                <w:p w14:paraId="22E78D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21.16 </w:t>
                  </w:r>
                </w:p>
              </w:tc>
              <w:tc>
                <w:tcPr>
                  <w:tcW w:w="765" w:type="dxa"/>
                  <w:shd w:val="clear" w:color="auto" w:fill="auto"/>
                  <w:noWrap w:val="0"/>
                  <w:vAlign w:val="center"/>
                </w:tcPr>
                <w:p w14:paraId="25AC29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40.00 </w:t>
                  </w:r>
                </w:p>
              </w:tc>
              <w:tc>
                <w:tcPr>
                  <w:tcW w:w="962" w:type="dxa"/>
                  <w:shd w:val="clear" w:color="auto" w:fill="auto"/>
                  <w:noWrap w:val="0"/>
                  <w:vAlign w:val="center"/>
                </w:tcPr>
                <w:p w14:paraId="3699DD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42.50 </w:t>
                  </w:r>
                </w:p>
              </w:tc>
              <w:tc>
                <w:tcPr>
                  <w:tcW w:w="757" w:type="pct"/>
                  <w:vMerge w:val="continue"/>
                  <w:noWrap w:val="0"/>
                  <w:vAlign w:val="center"/>
                </w:tcPr>
                <w:p w14:paraId="0D800633">
                  <w:pPr>
                    <w:pStyle w:val="349"/>
                    <w:rPr>
                      <w:bCs w:val="0"/>
                      <w:sz w:val="21"/>
                      <w:szCs w:val="21"/>
                      <w:u w:val="single" w:color="auto"/>
                    </w:rPr>
                  </w:pPr>
                </w:p>
              </w:tc>
              <w:tc>
                <w:tcPr>
                  <w:tcW w:w="424" w:type="pct"/>
                  <w:vMerge w:val="continue"/>
                  <w:noWrap w:val="0"/>
                  <w:vAlign w:val="center"/>
                </w:tcPr>
                <w:p w14:paraId="6CAA0EAA">
                  <w:pPr>
                    <w:pStyle w:val="349"/>
                    <w:rPr>
                      <w:bCs w:val="0"/>
                      <w:sz w:val="21"/>
                      <w:szCs w:val="21"/>
                      <w:u w:val="single" w:color="auto"/>
                    </w:rPr>
                  </w:pPr>
                </w:p>
              </w:tc>
            </w:tr>
            <w:tr w14:paraId="0F94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noWrap w:val="0"/>
                  <w:vAlign w:val="center"/>
                </w:tcPr>
                <w:p w14:paraId="03C3AAF6">
                  <w:pPr>
                    <w:pStyle w:val="349"/>
                    <w:rPr>
                      <w:bCs w:val="0"/>
                      <w:sz w:val="21"/>
                      <w:szCs w:val="21"/>
                      <w:u w:val="single" w:color="auto"/>
                    </w:rPr>
                  </w:pPr>
                  <w:r>
                    <w:rPr>
                      <w:bCs w:val="0"/>
                      <w:sz w:val="21"/>
                      <w:szCs w:val="21"/>
                      <w:u w:val="single" w:color="auto"/>
                    </w:rPr>
                    <w:t>7</w:t>
                  </w:r>
                </w:p>
              </w:tc>
              <w:tc>
                <w:tcPr>
                  <w:tcW w:w="1139" w:type="pct"/>
                  <w:noWrap w:val="0"/>
                  <w:vAlign w:val="center"/>
                </w:tcPr>
                <w:p w14:paraId="4294A1E8">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bidi="ar"/>
                    </w:rPr>
                  </w:pPr>
                  <w:r>
                    <w:rPr>
                      <w:rFonts w:hint="eastAsia" w:ascii="宋体" w:hAnsi="宋体" w:cs="宋体"/>
                      <w:color w:val="000000"/>
                      <w:sz w:val="21"/>
                      <w:szCs w:val="21"/>
                      <w:u w:val="single" w:color="auto"/>
                    </w:rPr>
                    <w:t>潜油泵</w:t>
                  </w:r>
                </w:p>
              </w:tc>
              <w:tc>
                <w:tcPr>
                  <w:tcW w:w="497" w:type="pct"/>
                  <w:noWrap w:val="0"/>
                  <w:vAlign w:val="center"/>
                </w:tcPr>
                <w:p w14:paraId="3F7E27D6">
                  <w:pPr>
                    <w:widowControl/>
                    <w:adjustRightInd w:val="0"/>
                    <w:snapToGrid w:val="0"/>
                    <w:jc w:val="center"/>
                    <w:textAlignment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 w:val="21"/>
                      <w:szCs w:val="21"/>
                      <w:u w:val="single" w:color="auto"/>
                      <w:lang w:val="en-US" w:eastAsia="zh-CN" w:bidi="ar"/>
                    </w:rPr>
                    <w:t>15</w:t>
                  </w:r>
                </w:p>
              </w:tc>
              <w:tc>
                <w:tcPr>
                  <w:tcW w:w="777" w:type="dxa"/>
                  <w:noWrap w:val="0"/>
                  <w:vAlign w:val="center"/>
                </w:tcPr>
                <w:p w14:paraId="202A95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42.04 </w:t>
                  </w:r>
                </w:p>
              </w:tc>
              <w:tc>
                <w:tcPr>
                  <w:tcW w:w="765" w:type="dxa"/>
                  <w:noWrap w:val="0"/>
                  <w:vAlign w:val="center"/>
                </w:tcPr>
                <w:p w14:paraId="748E56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36.20 </w:t>
                  </w:r>
                </w:p>
              </w:tc>
              <w:tc>
                <w:tcPr>
                  <w:tcW w:w="765" w:type="dxa"/>
                  <w:noWrap w:val="0"/>
                  <w:vAlign w:val="center"/>
                </w:tcPr>
                <w:p w14:paraId="67CFEC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45.92 </w:t>
                  </w:r>
                </w:p>
              </w:tc>
              <w:tc>
                <w:tcPr>
                  <w:tcW w:w="962" w:type="dxa"/>
                  <w:noWrap w:val="0"/>
                  <w:vAlign w:val="center"/>
                </w:tcPr>
                <w:p w14:paraId="390AB0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i w:val="0"/>
                      <w:iCs w:val="0"/>
                      <w:color w:val="000000"/>
                      <w:kern w:val="0"/>
                      <w:sz w:val="21"/>
                      <w:szCs w:val="21"/>
                      <w:u w:val="single" w:color="auto"/>
                      <w:lang w:val="en-US" w:eastAsia="zh-CN" w:bidi="ar"/>
                    </w:rPr>
                    <w:t xml:space="preserve">36.74 </w:t>
                  </w:r>
                </w:p>
              </w:tc>
              <w:tc>
                <w:tcPr>
                  <w:tcW w:w="757" w:type="pct"/>
                  <w:vMerge w:val="continue"/>
                  <w:noWrap w:val="0"/>
                  <w:vAlign w:val="center"/>
                </w:tcPr>
                <w:p w14:paraId="54F1047D">
                  <w:pPr>
                    <w:pStyle w:val="349"/>
                    <w:rPr>
                      <w:bCs w:val="0"/>
                      <w:sz w:val="21"/>
                      <w:szCs w:val="21"/>
                      <w:u w:val="single" w:color="auto"/>
                    </w:rPr>
                  </w:pPr>
                </w:p>
              </w:tc>
              <w:tc>
                <w:tcPr>
                  <w:tcW w:w="424" w:type="pct"/>
                  <w:noWrap w:val="0"/>
                  <w:vAlign w:val="center"/>
                </w:tcPr>
                <w:p w14:paraId="5F9008ED">
                  <w:pPr>
                    <w:pStyle w:val="349"/>
                    <w:rPr>
                      <w:rFonts w:hint="eastAsia" w:eastAsia="宋体"/>
                      <w:bCs w:val="0"/>
                      <w:sz w:val="21"/>
                      <w:szCs w:val="21"/>
                      <w:u w:val="single" w:color="auto"/>
                      <w:lang w:val="en-US" w:eastAsia="zh-CN"/>
                    </w:rPr>
                  </w:pPr>
                  <w:r>
                    <w:rPr>
                      <w:rFonts w:hint="eastAsia"/>
                      <w:bCs w:val="0"/>
                      <w:sz w:val="21"/>
                      <w:szCs w:val="21"/>
                      <w:u w:val="single" w:color="auto"/>
                      <w:lang w:val="en-US" w:eastAsia="zh-CN"/>
                    </w:rPr>
                    <w:t>室内</w:t>
                  </w:r>
                </w:p>
              </w:tc>
            </w:tr>
          </w:tbl>
          <w:p w14:paraId="0EF817EB">
            <w:pPr>
              <w:pStyle w:val="118"/>
              <w:spacing w:line="360" w:lineRule="auto"/>
              <w:ind w:left="0" w:leftChars="0" w:firstLine="0" w:firstLineChars="0"/>
              <w:rPr>
                <w:snapToGrid w:val="0"/>
              </w:rPr>
            </w:pPr>
            <w:r>
              <w:rPr>
                <w:rFonts w:hint="eastAsia" w:ascii="Times New Roman" w:hAnsi="Times New Roman" w:eastAsia="宋体" w:cs="Times New Roman"/>
                <w:b/>
                <w:bCs/>
                <w:kern w:val="2"/>
                <w:sz w:val="24"/>
                <w:szCs w:val="24"/>
                <w:lang w:val="en-US" w:eastAsia="zh-CN" w:bidi="ar-SA"/>
              </w:rPr>
              <w:t>4.7.</w:t>
            </w:r>
            <w:r>
              <w:rPr>
                <w:rFonts w:hint="eastAsia" w:cs="Times New Roman"/>
                <w:b/>
                <w:bCs/>
                <w:kern w:val="2"/>
                <w:sz w:val="24"/>
                <w:szCs w:val="24"/>
                <w:lang w:val="en-US" w:eastAsia="zh-CN" w:bidi="ar-SA"/>
              </w:rPr>
              <w:t>2</w:t>
            </w:r>
            <w:r>
              <w:rPr>
                <w:rFonts w:hint="eastAsia" w:ascii="Times New Roman" w:hAnsi="Times New Roman" w:eastAsia="宋体" w:cs="Times New Roman"/>
                <w:b/>
                <w:bCs/>
                <w:kern w:val="2"/>
                <w:sz w:val="24"/>
                <w:szCs w:val="24"/>
                <w:lang w:val="en-US" w:eastAsia="zh-CN" w:bidi="ar-SA"/>
              </w:rPr>
              <w:t xml:space="preserve"> </w:t>
            </w:r>
            <w:r>
              <w:rPr>
                <w:rFonts w:hint="eastAsia"/>
                <w:b/>
                <w:bCs/>
                <w:kern w:val="0"/>
                <w:sz w:val="24"/>
                <w:szCs w:val="24"/>
                <w:u w:val="none" w:color="auto"/>
              </w:rPr>
              <w:t>噪声影响及厂界和保护目标达标情况分析</w:t>
            </w:r>
          </w:p>
          <w:p w14:paraId="07EAE4EA">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（1）噪声预测模式及参数</w:t>
            </w:r>
          </w:p>
          <w:p w14:paraId="5A183127">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噪声预测采用《环境影响评价技术导则 声环境》（HJ 2.4-20</w:t>
            </w:r>
            <w:r>
              <w:rPr>
                <w:rFonts w:hint="default" w:ascii="Times New Roman" w:hAnsi="Times New Roman" w:eastAsia="宋体" w:cs="Times New Roman"/>
                <w:sz w:val="24"/>
                <w:szCs w:val="24"/>
                <w:u w:val="none"/>
                <w:lang w:val="en-US" w:eastAsia="zh-CN"/>
              </w:rPr>
              <w:t>21</w:t>
            </w:r>
            <w:r>
              <w:rPr>
                <w:rFonts w:hint="default" w:ascii="Times New Roman" w:hAnsi="Times New Roman" w:eastAsia="宋体" w:cs="Times New Roman"/>
                <w:sz w:val="24"/>
                <w:szCs w:val="24"/>
                <w:u w:val="none"/>
              </w:rPr>
              <w:t>）推荐的模式。本次评价具体预测模式如下：</w:t>
            </w:r>
          </w:p>
          <w:p w14:paraId="37740683">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a.多个噪声源叠加的综合噪声计算公式如下：</w:t>
            </w:r>
          </w:p>
          <w:p w14:paraId="187F3010">
            <w:pPr>
              <w:pStyle w:val="50"/>
              <w:spacing w:after="0" w:line="360" w:lineRule="auto"/>
              <w:ind w:left="0" w:leftChars="0" w:firstLine="480"/>
              <w:jc w:val="center"/>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object>
                <v:shape id="_x0000_i1027" o:spt="75" type="#_x0000_t75" style="height:39.85pt;width:100.4pt;" o:ole="t" filled="f" o:preferrelative="t" stroked="f" coordsize="21600,21600">
                  <v:path/>
                  <v:fill on="f" focussize="0,0"/>
                  <v:stroke on="f"/>
                  <v:imagedata r:id="rId19" o:title=""/>
                  <o:lock v:ext="edit" aspectratio="t"/>
                  <w10:wrap type="none"/>
                  <w10:anchorlock/>
                </v:shape>
                <o:OLEObject Type="Embed" ProgID="Equations" ShapeID="_x0000_i1027" DrawAspect="Content" ObjectID="_1468075727" r:id="rId18">
                  <o:LockedField>false</o:LockedField>
                </o:OLEObject>
              </w:object>
            </w:r>
          </w:p>
          <w:p w14:paraId="55B536B7">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式中：L</w:t>
            </w:r>
            <w:r>
              <w:rPr>
                <w:rFonts w:hint="default" w:ascii="Times New Roman" w:hAnsi="Times New Roman" w:eastAsia="宋体" w:cs="Times New Roman"/>
                <w:sz w:val="24"/>
                <w:szCs w:val="24"/>
                <w:u w:val="none"/>
                <w:vertAlign w:val="subscript"/>
              </w:rPr>
              <w:t>A</w:t>
            </w:r>
            <w:r>
              <w:rPr>
                <w:rFonts w:hint="default" w:ascii="Times New Roman" w:hAnsi="Times New Roman" w:eastAsia="宋体" w:cs="Times New Roman"/>
                <w:sz w:val="24"/>
                <w:szCs w:val="24"/>
                <w:u w:val="none"/>
              </w:rPr>
              <w:t>——多个噪声源叠加的综合噪声声压级，dB</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A</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w:t>
            </w:r>
          </w:p>
          <w:p w14:paraId="45447699">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      L</w:t>
            </w:r>
            <w:r>
              <w:rPr>
                <w:rFonts w:hint="default" w:ascii="Times New Roman" w:hAnsi="Times New Roman" w:eastAsia="宋体" w:cs="Times New Roman"/>
                <w:sz w:val="24"/>
                <w:szCs w:val="24"/>
                <w:u w:val="none"/>
                <w:vertAlign w:val="subscript"/>
              </w:rPr>
              <w:t>i</w:t>
            </w:r>
            <w:r>
              <w:rPr>
                <w:rFonts w:hint="default" w:ascii="Times New Roman" w:hAnsi="Times New Roman" w:eastAsia="宋体" w:cs="Times New Roman"/>
                <w:sz w:val="24"/>
                <w:szCs w:val="24"/>
                <w:u w:val="none"/>
              </w:rPr>
              <w:t>——第i个噪声源的声压级，dB</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A</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w:t>
            </w:r>
          </w:p>
          <w:p w14:paraId="35C69FCD">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      n——噪声源的个数。</w:t>
            </w:r>
          </w:p>
          <w:p w14:paraId="7039837D">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b.考虑噪声扩散衰减的情况下，项目厂界四周声环境预测模式按点声源模式预测，预测模式为距离衰减模式：</w:t>
            </w:r>
          </w:p>
          <w:p w14:paraId="14874747">
            <w:pPr>
              <w:pStyle w:val="50"/>
              <w:spacing w:after="0" w:line="360" w:lineRule="auto"/>
              <w:ind w:left="0" w:leftChars="0"/>
              <w:jc w:val="center"/>
              <w:rPr>
                <w:rFonts w:hint="eastAsia" w:ascii="Times New Roman" w:hAnsi="Times New Roman" w:eastAsia="宋体" w:cs="Times New Roman"/>
                <w:sz w:val="24"/>
                <w:szCs w:val="24"/>
                <w:u w:val="none"/>
                <w:lang w:eastAsia="zh-CN"/>
              </w:rPr>
            </w:pPr>
            <w:r>
              <w:rPr>
                <w:rFonts w:hint="default" w:ascii="Times New Roman" w:hAnsi="Times New Roman" w:eastAsia="宋体" w:cs="Times New Roman"/>
                <w:sz w:val="24"/>
                <w:szCs w:val="24"/>
                <w:u w:val="none"/>
              </w:rPr>
              <w:t>L=L</w:t>
            </w:r>
            <w:r>
              <w:rPr>
                <w:rFonts w:hint="default" w:ascii="Times New Roman" w:hAnsi="Times New Roman" w:eastAsia="宋体" w:cs="Times New Roman"/>
                <w:sz w:val="24"/>
                <w:szCs w:val="24"/>
                <w:u w:val="none"/>
                <w:vertAlign w:val="subscript"/>
              </w:rPr>
              <w:t>0</w:t>
            </w:r>
            <w:r>
              <w:rPr>
                <w:rFonts w:hint="default" w:ascii="Times New Roman" w:hAnsi="Times New Roman" w:eastAsia="宋体" w:cs="Times New Roman"/>
                <w:sz w:val="24"/>
                <w:szCs w:val="24"/>
                <w:u w:val="none"/>
              </w:rPr>
              <w:t>—20lg</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r/r</w:t>
            </w:r>
            <w:r>
              <w:rPr>
                <w:rFonts w:hint="default" w:ascii="Times New Roman" w:hAnsi="Times New Roman" w:eastAsia="宋体" w:cs="Times New Roman"/>
                <w:sz w:val="24"/>
                <w:szCs w:val="24"/>
                <w:u w:val="none"/>
                <w:vertAlign w:val="subscript"/>
              </w:rPr>
              <w:t>0</w:t>
            </w:r>
            <w:r>
              <w:rPr>
                <w:rFonts w:hint="eastAsia" w:eastAsia="宋体" w:cs="Times New Roman"/>
                <w:sz w:val="24"/>
                <w:szCs w:val="24"/>
                <w:u w:val="none"/>
                <w:lang w:eastAsia="zh-CN"/>
              </w:rPr>
              <w:t>）</w:t>
            </w:r>
          </w:p>
          <w:p w14:paraId="34A4B527">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式中 ：L—受声点的声压级，dB</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A</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w:t>
            </w:r>
          </w:p>
          <w:p w14:paraId="69931AC0">
            <w:pPr>
              <w:pStyle w:val="50"/>
              <w:spacing w:after="0" w:line="360" w:lineRule="auto"/>
              <w:ind w:left="0" w:leftChars="0" w:firstLine="1200" w:firstLineChars="50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L</w:t>
            </w:r>
            <w:r>
              <w:rPr>
                <w:rFonts w:hint="default" w:ascii="Times New Roman" w:hAnsi="Times New Roman" w:eastAsia="宋体" w:cs="Times New Roman"/>
                <w:sz w:val="24"/>
                <w:szCs w:val="24"/>
                <w:u w:val="none"/>
                <w:vertAlign w:val="subscript"/>
              </w:rPr>
              <w:t>0</w:t>
            </w:r>
            <w:r>
              <w:rPr>
                <w:rFonts w:hint="default" w:ascii="Times New Roman" w:hAnsi="Times New Roman" w:eastAsia="宋体" w:cs="Times New Roman"/>
                <w:sz w:val="24"/>
                <w:szCs w:val="24"/>
                <w:u w:val="none"/>
              </w:rPr>
              <w:t>—厂房外声源源强，dB</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A</w:t>
            </w:r>
            <w:r>
              <w:rPr>
                <w:rFonts w:hint="eastAsia" w:eastAsia="宋体" w:cs="Times New Roman"/>
                <w:sz w:val="24"/>
                <w:szCs w:val="24"/>
                <w:u w:val="none"/>
                <w:lang w:eastAsia="zh-CN"/>
              </w:rPr>
              <w:t>）</w:t>
            </w:r>
            <w:r>
              <w:rPr>
                <w:rFonts w:hint="default" w:ascii="Times New Roman" w:hAnsi="Times New Roman" w:eastAsia="宋体" w:cs="Times New Roman"/>
                <w:sz w:val="24"/>
                <w:szCs w:val="24"/>
                <w:u w:val="none"/>
              </w:rPr>
              <w:t>；</w:t>
            </w:r>
          </w:p>
          <w:p w14:paraId="4F10BA0A">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       r—厂房外声源与厂界之间的距离，m；</w:t>
            </w:r>
          </w:p>
          <w:p w14:paraId="6A7FF769">
            <w:pPr>
              <w:pStyle w:val="50"/>
              <w:spacing w:after="0" w:line="360" w:lineRule="auto"/>
              <w:ind w:left="0" w:leftChars="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       r</w:t>
            </w:r>
            <w:r>
              <w:rPr>
                <w:rFonts w:hint="default" w:ascii="Times New Roman" w:hAnsi="Times New Roman" w:eastAsia="宋体" w:cs="Times New Roman"/>
                <w:sz w:val="24"/>
                <w:szCs w:val="24"/>
                <w:u w:val="none"/>
                <w:vertAlign w:val="subscript"/>
              </w:rPr>
              <w:t>0</w:t>
            </w:r>
            <w:r>
              <w:rPr>
                <w:rFonts w:hint="default" w:ascii="Times New Roman" w:hAnsi="Times New Roman" w:eastAsia="宋体" w:cs="Times New Roman"/>
                <w:sz w:val="24"/>
                <w:szCs w:val="24"/>
                <w:u w:val="none"/>
              </w:rPr>
              <w:t>—距噪声源距离，m。</w:t>
            </w:r>
          </w:p>
          <w:p w14:paraId="52C8BA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c.室内声源等效室外声源声功率级计算方法：</w:t>
            </w:r>
          </w:p>
          <w:p w14:paraId="3C8C23E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L</w:t>
            </w:r>
            <w:r>
              <w:rPr>
                <w:rFonts w:hint="eastAsia" w:ascii="Times New Roman" w:hAnsi="Times New Roman" w:eastAsia="宋体" w:cs="Times New Roman"/>
                <w:b w:val="0"/>
                <w:bCs w:val="0"/>
                <w:kern w:val="0"/>
                <w:sz w:val="24"/>
                <w:szCs w:val="24"/>
                <w:u w:val="none"/>
                <w:vertAlign w:val="subscript"/>
                <w:lang w:val="en-US" w:eastAsia="zh-CN"/>
              </w:rPr>
              <w:t>p2</w:t>
            </w:r>
            <w:r>
              <w:rPr>
                <w:rFonts w:hint="eastAsia" w:ascii="Times New Roman" w:hAnsi="Times New Roman" w:eastAsia="宋体" w:cs="Times New Roman"/>
                <w:b w:val="0"/>
                <w:bCs w:val="0"/>
                <w:kern w:val="0"/>
                <w:sz w:val="24"/>
                <w:szCs w:val="24"/>
                <w:u w:val="none"/>
                <w:lang w:val="en-US" w:eastAsia="zh-CN"/>
              </w:rPr>
              <w:t>=L</w:t>
            </w:r>
            <w:r>
              <w:rPr>
                <w:rFonts w:hint="eastAsia" w:ascii="Times New Roman" w:hAnsi="Times New Roman" w:eastAsia="宋体" w:cs="Times New Roman"/>
                <w:b w:val="0"/>
                <w:bCs w:val="0"/>
                <w:kern w:val="0"/>
                <w:sz w:val="24"/>
                <w:szCs w:val="24"/>
                <w:u w:val="none"/>
                <w:vertAlign w:val="subscript"/>
                <w:lang w:val="en-US" w:eastAsia="zh-CN"/>
              </w:rPr>
              <w:t>P1</w:t>
            </w:r>
            <w:r>
              <w:rPr>
                <w:rFonts w:hint="eastAsia" w:ascii="Times New Roman" w:hAnsi="Times New Roman" w:eastAsia="宋体" w:cs="Times New Roman"/>
                <w:b w:val="0"/>
                <w:bCs w:val="0"/>
                <w:kern w:val="0"/>
                <w:sz w:val="24"/>
                <w:szCs w:val="24"/>
                <w:u w:val="none"/>
                <w:lang w:val="en-US" w:eastAsia="zh-CN"/>
              </w:rPr>
              <w:t>-（TL+6）</w:t>
            </w:r>
          </w:p>
          <w:p w14:paraId="14651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式中：L</w:t>
            </w:r>
            <w:r>
              <w:rPr>
                <w:rFonts w:hint="eastAsia" w:ascii="Times New Roman" w:hAnsi="Times New Roman" w:eastAsia="宋体" w:cs="Times New Roman"/>
                <w:b w:val="0"/>
                <w:bCs w:val="0"/>
                <w:kern w:val="0"/>
                <w:sz w:val="24"/>
                <w:szCs w:val="24"/>
                <w:u w:val="none"/>
                <w:vertAlign w:val="subscript"/>
                <w:lang w:val="en-US" w:eastAsia="zh-CN"/>
              </w:rPr>
              <w:t>P1</w:t>
            </w:r>
            <w:r>
              <w:rPr>
                <w:rFonts w:hint="eastAsia"/>
                <w:sz w:val="24"/>
                <w:szCs w:val="24"/>
                <w:u w:val="none"/>
              </w:rPr>
              <w:t>—</w:t>
            </w:r>
            <w:r>
              <w:rPr>
                <w:rFonts w:hint="eastAsia"/>
                <w:sz w:val="24"/>
                <w:szCs w:val="24"/>
                <w:u w:val="none"/>
                <w:lang w:val="en-US" w:eastAsia="zh-CN"/>
              </w:rPr>
              <w:t>靠近开口处（或窗户）室内某倍频带的声压级或A声级</w:t>
            </w:r>
            <w:r>
              <w:rPr>
                <w:rFonts w:hint="eastAsia"/>
                <w:sz w:val="24"/>
                <w:szCs w:val="24"/>
                <w:u w:val="none"/>
              </w:rPr>
              <w:t>，dB</w:t>
            </w:r>
            <w:r>
              <w:rPr>
                <w:rFonts w:hint="eastAsia"/>
                <w:sz w:val="24"/>
                <w:szCs w:val="24"/>
                <w:u w:val="none"/>
                <w:lang w:eastAsia="zh-CN"/>
              </w:rPr>
              <w:t>（</w:t>
            </w:r>
            <w:r>
              <w:rPr>
                <w:rFonts w:hint="eastAsia"/>
                <w:sz w:val="24"/>
                <w:szCs w:val="24"/>
                <w:u w:val="none"/>
              </w:rPr>
              <w:t>A</w:t>
            </w:r>
            <w:r>
              <w:rPr>
                <w:rFonts w:hint="eastAsia"/>
                <w:sz w:val="24"/>
                <w:szCs w:val="24"/>
                <w:u w:val="none"/>
                <w:lang w:eastAsia="zh-CN"/>
              </w:rPr>
              <w:t>）</w:t>
            </w:r>
            <w:r>
              <w:rPr>
                <w:rFonts w:hint="eastAsia"/>
                <w:sz w:val="24"/>
                <w:szCs w:val="24"/>
                <w:u w:val="none"/>
              </w:rPr>
              <w:t>；</w:t>
            </w:r>
          </w:p>
          <w:p w14:paraId="3FDE2CB4">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L</w:t>
            </w:r>
            <w:r>
              <w:rPr>
                <w:rFonts w:hint="eastAsia" w:ascii="Times New Roman" w:hAnsi="Times New Roman" w:eastAsia="宋体" w:cs="Times New Roman"/>
                <w:b w:val="0"/>
                <w:bCs w:val="0"/>
                <w:kern w:val="0"/>
                <w:sz w:val="24"/>
                <w:szCs w:val="24"/>
                <w:u w:val="none"/>
                <w:vertAlign w:val="subscript"/>
                <w:lang w:val="en-US" w:eastAsia="zh-CN"/>
              </w:rPr>
              <w:t>P2</w:t>
            </w:r>
            <w:r>
              <w:rPr>
                <w:rFonts w:hint="eastAsia"/>
                <w:sz w:val="24"/>
                <w:szCs w:val="24"/>
                <w:u w:val="none"/>
              </w:rPr>
              <w:t>—</w:t>
            </w:r>
            <w:r>
              <w:rPr>
                <w:rFonts w:hint="eastAsia"/>
                <w:sz w:val="24"/>
                <w:szCs w:val="24"/>
                <w:u w:val="none"/>
                <w:lang w:val="en-US" w:eastAsia="zh-CN"/>
              </w:rPr>
              <w:t>靠近开口处（或窗户）室外某倍频带的声压级或A声级</w:t>
            </w:r>
            <w:r>
              <w:rPr>
                <w:rFonts w:hint="eastAsia"/>
                <w:sz w:val="24"/>
                <w:szCs w:val="24"/>
                <w:u w:val="none"/>
              </w:rPr>
              <w:t>，dB</w:t>
            </w:r>
            <w:r>
              <w:rPr>
                <w:rFonts w:hint="eastAsia"/>
                <w:sz w:val="24"/>
                <w:szCs w:val="24"/>
                <w:u w:val="none"/>
                <w:lang w:eastAsia="zh-CN"/>
              </w:rPr>
              <w:t>（</w:t>
            </w:r>
            <w:r>
              <w:rPr>
                <w:rFonts w:hint="eastAsia"/>
                <w:sz w:val="24"/>
                <w:szCs w:val="24"/>
                <w:u w:val="none"/>
              </w:rPr>
              <w:t>A</w:t>
            </w:r>
            <w:r>
              <w:rPr>
                <w:rFonts w:hint="eastAsia"/>
                <w:sz w:val="24"/>
                <w:szCs w:val="24"/>
                <w:u w:val="none"/>
                <w:lang w:eastAsia="zh-CN"/>
              </w:rPr>
              <w:t>）</w:t>
            </w:r>
            <w:r>
              <w:rPr>
                <w:rFonts w:hint="eastAsia"/>
                <w:sz w:val="24"/>
                <w:szCs w:val="24"/>
                <w:u w:val="none"/>
              </w:rPr>
              <w:t>；</w:t>
            </w:r>
          </w:p>
          <w:p w14:paraId="51482477">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TL</w:t>
            </w:r>
            <w:r>
              <w:rPr>
                <w:rFonts w:hint="eastAsia"/>
                <w:sz w:val="24"/>
                <w:szCs w:val="24"/>
                <w:u w:val="none"/>
              </w:rPr>
              <w:t>—</w:t>
            </w:r>
            <w:r>
              <w:rPr>
                <w:rFonts w:hint="eastAsia"/>
                <w:sz w:val="24"/>
                <w:szCs w:val="24"/>
                <w:u w:val="none"/>
                <w:lang w:val="en-US" w:eastAsia="zh-CN"/>
              </w:rPr>
              <w:t>隔墙（或窗户）倍频带或A声级的隔声量，</w:t>
            </w:r>
            <w:r>
              <w:rPr>
                <w:rFonts w:hint="eastAsia"/>
                <w:sz w:val="24"/>
                <w:szCs w:val="24"/>
                <w:u w:val="none"/>
              </w:rPr>
              <w:t>dB</w:t>
            </w:r>
            <w:r>
              <w:rPr>
                <w:rFonts w:hint="eastAsia"/>
                <w:sz w:val="24"/>
                <w:szCs w:val="24"/>
                <w:u w:val="none"/>
                <w:lang w:eastAsia="zh-CN"/>
              </w:rPr>
              <w:t>。</w:t>
            </w:r>
          </w:p>
          <w:p w14:paraId="08A2EA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d.室内声源靠近围护结构处产生的倍频带声压级或A声级计算方法：</w:t>
            </w:r>
          </w:p>
          <w:p w14:paraId="63C5B97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kern w:val="0"/>
                <w:sz w:val="24"/>
                <w:szCs w:val="24"/>
                <w:u w:val="none"/>
                <w:lang w:val="en-US" w:eastAsia="zh-CN"/>
              </w:rPr>
            </w:pPr>
            <w:r>
              <w:rPr>
                <w:rFonts w:hint="default" w:ascii="Times New Roman" w:hAnsi="Times New Roman" w:eastAsia="宋体" w:cs="Times New Roman"/>
                <w:b w:val="0"/>
                <w:bCs w:val="0"/>
                <w:kern w:val="0"/>
                <w:sz w:val="24"/>
                <w:szCs w:val="24"/>
                <w:u w:val="none"/>
                <w:lang w:val="en-US" w:eastAsia="zh-CN"/>
              </w:rPr>
              <w:t>L</w:t>
            </w:r>
            <w:r>
              <w:rPr>
                <w:rFonts w:hint="default" w:ascii="Times New Roman" w:hAnsi="Times New Roman" w:eastAsia="宋体" w:cs="Times New Roman"/>
                <w:b w:val="0"/>
                <w:bCs w:val="0"/>
                <w:kern w:val="0"/>
                <w:sz w:val="24"/>
                <w:szCs w:val="24"/>
                <w:u w:val="none"/>
                <w:vertAlign w:val="subscript"/>
                <w:lang w:val="en-US" w:eastAsia="zh-CN"/>
              </w:rPr>
              <w:t>p1</w:t>
            </w:r>
            <w:r>
              <w:rPr>
                <w:rFonts w:hint="default" w:ascii="Times New Roman" w:hAnsi="Times New Roman" w:eastAsia="宋体" w:cs="Times New Roman"/>
                <w:b w:val="0"/>
                <w:bCs w:val="0"/>
                <w:kern w:val="0"/>
                <w:sz w:val="24"/>
                <w:szCs w:val="24"/>
                <w:u w:val="none"/>
                <w:lang w:val="en-US" w:eastAsia="zh-CN"/>
              </w:rPr>
              <w:t>=L</w:t>
            </w:r>
            <w:r>
              <w:rPr>
                <w:rFonts w:hint="default" w:ascii="Times New Roman" w:hAnsi="Times New Roman" w:eastAsia="宋体" w:cs="Times New Roman"/>
                <w:b w:val="0"/>
                <w:bCs w:val="0"/>
                <w:kern w:val="0"/>
                <w:sz w:val="24"/>
                <w:szCs w:val="24"/>
                <w:u w:val="none"/>
                <w:vertAlign w:val="subscript"/>
                <w:lang w:val="en-US" w:eastAsia="zh-CN"/>
              </w:rPr>
              <w:t>w</w:t>
            </w:r>
            <w:r>
              <w:rPr>
                <w:rFonts w:hint="default" w:ascii="Times New Roman" w:hAnsi="Times New Roman" w:eastAsia="宋体" w:cs="Times New Roman"/>
                <w:b w:val="0"/>
                <w:bCs w:val="0"/>
                <w:kern w:val="0"/>
                <w:sz w:val="24"/>
                <w:szCs w:val="24"/>
                <w:u w:val="none"/>
                <w:lang w:val="en-US" w:eastAsia="zh-CN"/>
              </w:rPr>
              <w:t>+10lg（Q/4πr</w:t>
            </w:r>
            <w:r>
              <w:rPr>
                <w:rFonts w:hint="default" w:ascii="Times New Roman" w:hAnsi="Times New Roman" w:eastAsia="宋体" w:cs="Times New Roman"/>
                <w:b w:val="0"/>
                <w:bCs w:val="0"/>
                <w:kern w:val="0"/>
                <w:sz w:val="24"/>
                <w:szCs w:val="24"/>
                <w:u w:val="none"/>
                <w:vertAlign w:val="superscript"/>
                <w:lang w:val="en-US" w:eastAsia="zh-CN"/>
              </w:rPr>
              <w:t>2</w:t>
            </w:r>
            <w:r>
              <w:rPr>
                <w:rFonts w:hint="default" w:ascii="Times New Roman" w:hAnsi="Times New Roman" w:eastAsia="宋体" w:cs="Times New Roman"/>
                <w:b w:val="0"/>
                <w:bCs w:val="0"/>
                <w:kern w:val="0"/>
                <w:sz w:val="24"/>
                <w:szCs w:val="24"/>
                <w:u w:val="none"/>
                <w:lang w:val="en-US" w:eastAsia="zh-CN"/>
              </w:rPr>
              <w:t>+</w:t>
            </w:r>
            <w:r>
              <w:rPr>
                <w:rFonts w:hint="eastAsia" w:ascii="Times New Roman" w:hAnsi="Times New Roman" w:eastAsia="宋体" w:cs="Times New Roman"/>
                <w:b w:val="0"/>
                <w:bCs w:val="0"/>
                <w:kern w:val="0"/>
                <w:sz w:val="24"/>
                <w:szCs w:val="24"/>
                <w:u w:val="none"/>
                <w:lang w:val="en-US" w:eastAsia="zh-CN"/>
              </w:rPr>
              <w:t>4/R</w:t>
            </w:r>
            <w:r>
              <w:rPr>
                <w:rFonts w:hint="default" w:ascii="Times New Roman" w:hAnsi="Times New Roman" w:eastAsia="宋体" w:cs="Times New Roman"/>
                <w:b w:val="0"/>
                <w:bCs w:val="0"/>
                <w:kern w:val="0"/>
                <w:sz w:val="24"/>
                <w:szCs w:val="24"/>
                <w:u w:val="none"/>
                <w:lang w:val="en-US" w:eastAsia="zh-CN"/>
              </w:rPr>
              <w:t>）</w:t>
            </w:r>
          </w:p>
          <w:p w14:paraId="13A532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式中：L</w:t>
            </w:r>
            <w:r>
              <w:rPr>
                <w:rFonts w:hint="eastAsia" w:ascii="Times New Roman" w:hAnsi="Times New Roman" w:eastAsia="宋体" w:cs="Times New Roman"/>
                <w:b w:val="0"/>
                <w:bCs w:val="0"/>
                <w:kern w:val="0"/>
                <w:sz w:val="24"/>
                <w:szCs w:val="24"/>
                <w:u w:val="none"/>
                <w:vertAlign w:val="subscript"/>
                <w:lang w:val="en-US" w:eastAsia="zh-CN"/>
              </w:rPr>
              <w:t>P1</w:t>
            </w:r>
            <w:r>
              <w:rPr>
                <w:rFonts w:hint="eastAsia"/>
                <w:sz w:val="24"/>
                <w:szCs w:val="24"/>
                <w:u w:val="none"/>
              </w:rPr>
              <w:t>—</w:t>
            </w:r>
            <w:r>
              <w:rPr>
                <w:rFonts w:hint="eastAsia"/>
                <w:sz w:val="24"/>
                <w:szCs w:val="24"/>
                <w:u w:val="none"/>
                <w:lang w:val="en-US" w:eastAsia="zh-CN"/>
              </w:rPr>
              <w:t>靠近开口处（或窗户）室内某倍频带的声压级或A声级</w:t>
            </w:r>
            <w:r>
              <w:rPr>
                <w:rFonts w:hint="eastAsia"/>
                <w:sz w:val="24"/>
                <w:szCs w:val="24"/>
                <w:u w:val="none"/>
              </w:rPr>
              <w:t>，dB</w:t>
            </w:r>
            <w:r>
              <w:rPr>
                <w:rFonts w:hint="eastAsia"/>
                <w:sz w:val="24"/>
                <w:szCs w:val="24"/>
                <w:u w:val="none"/>
                <w:lang w:eastAsia="zh-CN"/>
              </w:rPr>
              <w:t>（</w:t>
            </w:r>
            <w:r>
              <w:rPr>
                <w:rFonts w:hint="eastAsia"/>
                <w:sz w:val="24"/>
                <w:szCs w:val="24"/>
                <w:u w:val="none"/>
              </w:rPr>
              <w:t>A</w:t>
            </w:r>
            <w:r>
              <w:rPr>
                <w:rFonts w:hint="eastAsia"/>
                <w:sz w:val="24"/>
                <w:szCs w:val="24"/>
                <w:u w:val="none"/>
                <w:lang w:eastAsia="zh-CN"/>
              </w:rPr>
              <w:t>）</w:t>
            </w:r>
            <w:r>
              <w:rPr>
                <w:rFonts w:hint="eastAsia"/>
                <w:sz w:val="24"/>
                <w:szCs w:val="24"/>
                <w:u w:val="none"/>
              </w:rPr>
              <w:t>；</w:t>
            </w:r>
          </w:p>
          <w:p w14:paraId="3959299D">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 w:val="0"/>
                <w:bCs w:val="0"/>
                <w:kern w:val="0"/>
                <w:sz w:val="24"/>
                <w:szCs w:val="24"/>
                <w:u w:val="none"/>
                <w:lang w:val="en-US" w:eastAsia="zh-CN"/>
              </w:rPr>
            </w:pPr>
            <w:r>
              <w:rPr>
                <w:rFonts w:hint="default" w:ascii="Times New Roman" w:hAnsi="Times New Roman" w:eastAsia="宋体" w:cs="Times New Roman"/>
                <w:b w:val="0"/>
                <w:bCs w:val="0"/>
                <w:kern w:val="0"/>
                <w:sz w:val="24"/>
                <w:szCs w:val="24"/>
                <w:u w:val="none"/>
                <w:lang w:val="en-US" w:eastAsia="zh-CN"/>
              </w:rPr>
              <w:t>L</w:t>
            </w:r>
            <w:r>
              <w:rPr>
                <w:rFonts w:hint="default" w:ascii="Times New Roman" w:hAnsi="Times New Roman" w:eastAsia="宋体" w:cs="Times New Roman"/>
                <w:b w:val="0"/>
                <w:bCs w:val="0"/>
                <w:kern w:val="0"/>
                <w:sz w:val="24"/>
                <w:szCs w:val="24"/>
                <w:u w:val="none"/>
                <w:vertAlign w:val="subscript"/>
                <w:lang w:val="en-US" w:eastAsia="zh-CN"/>
              </w:rPr>
              <w:t>w</w:t>
            </w:r>
            <w:r>
              <w:rPr>
                <w:rFonts w:hint="eastAsia"/>
                <w:sz w:val="24"/>
                <w:szCs w:val="24"/>
                <w:u w:val="none"/>
              </w:rPr>
              <w:t>—</w:t>
            </w:r>
            <w:r>
              <w:rPr>
                <w:rFonts w:hint="eastAsia"/>
                <w:sz w:val="24"/>
                <w:szCs w:val="24"/>
                <w:u w:val="none"/>
                <w:lang w:val="en-US" w:eastAsia="zh-CN"/>
              </w:rPr>
              <w:t>点声源声功率级（A计权或倍频带），</w:t>
            </w:r>
            <w:r>
              <w:rPr>
                <w:rFonts w:hint="eastAsia"/>
                <w:sz w:val="24"/>
                <w:szCs w:val="24"/>
                <w:u w:val="none"/>
              </w:rPr>
              <w:t>dB</w:t>
            </w:r>
            <w:r>
              <w:rPr>
                <w:rFonts w:hint="eastAsia"/>
                <w:sz w:val="24"/>
                <w:szCs w:val="24"/>
                <w:u w:val="none"/>
                <w:lang w:eastAsia="zh-CN"/>
              </w:rPr>
              <w:t>；</w:t>
            </w:r>
          </w:p>
          <w:p w14:paraId="22DBD67A">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Q</w:t>
            </w:r>
            <w:r>
              <w:rPr>
                <w:rFonts w:hint="eastAsia"/>
                <w:sz w:val="24"/>
                <w:szCs w:val="24"/>
                <w:u w:val="none"/>
              </w:rPr>
              <w:t>—</w:t>
            </w:r>
            <w:r>
              <w:rPr>
                <w:rFonts w:hint="eastAsia"/>
                <w:sz w:val="24"/>
                <w:szCs w:val="24"/>
                <w:u w:val="none"/>
                <w:lang w:val="en-US" w:eastAsia="zh-CN"/>
              </w:rPr>
              <w:t>指向性因数；通常对无指向性声源，当声源放在房间中心时，Q=1；当放在一面墙的中心时，Q=2；当放在两面墙夹角处时，Q=4；当放在三面墙夹角处时，Q=8；</w:t>
            </w:r>
          </w:p>
          <w:p w14:paraId="45B67C0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kern w:val="0"/>
                <w:sz w:val="24"/>
                <w:szCs w:val="24"/>
                <w:u w:val="none"/>
                <w:lang w:val="en-US" w:eastAsia="zh-CN"/>
              </w:rPr>
            </w:pPr>
            <w:r>
              <w:rPr>
                <w:rFonts w:hint="default" w:ascii="Times New Roman" w:hAnsi="Times New Roman" w:eastAsia="宋体" w:cs="Times New Roman"/>
                <w:b w:val="0"/>
                <w:bCs w:val="0"/>
                <w:kern w:val="0"/>
                <w:sz w:val="24"/>
                <w:szCs w:val="24"/>
                <w:u w:val="none"/>
                <w:lang w:val="en-US" w:eastAsia="zh-CN"/>
              </w:rPr>
              <w:t>R</w:t>
            </w: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房间常数；R=Sα/（1-α），S为房间内表面面积，m</w:t>
            </w:r>
            <w:r>
              <w:rPr>
                <w:rFonts w:hint="default" w:ascii="Times New Roman" w:hAnsi="Times New Roman" w:cs="Times New Roman"/>
                <w:sz w:val="24"/>
                <w:szCs w:val="24"/>
                <w:u w:val="none"/>
                <w:vertAlign w:val="superscript"/>
                <w:lang w:val="en-US" w:eastAsia="zh-CN"/>
              </w:rPr>
              <w:t>2</w:t>
            </w:r>
            <w:r>
              <w:rPr>
                <w:rFonts w:hint="default" w:ascii="Times New Roman" w:hAnsi="Times New Roman" w:cs="Times New Roman"/>
                <w:sz w:val="24"/>
                <w:szCs w:val="24"/>
                <w:u w:val="none"/>
                <w:lang w:val="en-US" w:eastAsia="zh-CN"/>
              </w:rPr>
              <w:t>；α为平均吸声系数；</w:t>
            </w:r>
          </w:p>
          <w:p w14:paraId="5A725ABE">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r</w:t>
            </w:r>
            <w:r>
              <w:rPr>
                <w:rFonts w:hint="eastAsia"/>
                <w:sz w:val="24"/>
                <w:szCs w:val="24"/>
                <w:u w:val="none"/>
              </w:rPr>
              <w:t>—</w:t>
            </w:r>
            <w:r>
              <w:rPr>
                <w:rFonts w:hint="eastAsia"/>
                <w:sz w:val="24"/>
                <w:szCs w:val="24"/>
                <w:u w:val="none"/>
                <w:lang w:val="en-US" w:eastAsia="zh-CN"/>
              </w:rPr>
              <w:t>声源到靠近围护结构某点处的距离，m。</w:t>
            </w:r>
          </w:p>
          <w:p w14:paraId="716753BF">
            <w:pPr>
              <w:pStyle w:val="118"/>
              <w:wordWrap w:val="0"/>
              <w:topLinePunct/>
              <w:spacing w:line="360" w:lineRule="auto"/>
              <w:ind w:firstLine="480" w:firstLineChars="200"/>
              <w:jc w:val="both"/>
              <w:rPr>
                <w:rFonts w:hint="default" w:ascii="Times New Roman" w:hAnsi="Times New Roman" w:eastAsia="宋体" w:cs="Times New Roman"/>
                <w:sz w:val="24"/>
                <w:szCs w:val="24"/>
                <w:u w:val="none"/>
              </w:rPr>
            </w:pPr>
            <w:r>
              <w:rPr>
                <w:rFonts w:hint="eastAsia" w:cs="Times New Roman"/>
                <w:sz w:val="24"/>
                <w:szCs w:val="24"/>
                <w:u w:val="none"/>
                <w:lang w:val="en-US" w:eastAsia="zh-CN"/>
              </w:rPr>
              <w:t>东、南、北南面设有4米高围墙，</w:t>
            </w:r>
            <w:r>
              <w:rPr>
                <w:rFonts w:hint="default" w:ascii="Times New Roman" w:hAnsi="Times New Roman" w:eastAsia="宋体" w:cs="Times New Roman"/>
                <w:sz w:val="24"/>
                <w:szCs w:val="24"/>
                <w:u w:val="none"/>
              </w:rPr>
              <w:t>考虑隔声衰减量约15dB（A）。</w:t>
            </w:r>
          </w:p>
          <w:p w14:paraId="2E8B72FB">
            <w:pPr>
              <w:pStyle w:val="118"/>
              <w:wordWrap w:val="0"/>
              <w:topLinePunct/>
              <w:spacing w:line="360" w:lineRule="auto"/>
              <w:ind w:firstLine="480" w:firstLineChars="200"/>
              <w:jc w:val="both"/>
              <w:rPr>
                <w:sz w:val="21"/>
                <w:szCs w:val="21"/>
              </w:rPr>
            </w:pPr>
            <w:r>
              <w:t>利用上述的预测评价数学模型，将噪声源强、源强距离厂界距离等有关参数带入公式计算预测项目噪声源同时产生噪声的最不利情况下的厂界噪声，各厂界的噪声经</w:t>
            </w:r>
            <w:r>
              <w:rPr>
                <w:szCs w:val="21"/>
              </w:rPr>
              <w:t>消声、隔声及减振措施</w:t>
            </w:r>
            <w:r>
              <w:t>后，预计厂界各方位噪声值</w:t>
            </w:r>
            <w:r>
              <w:rPr>
                <w:snapToGrid w:val="0"/>
                <w:kern w:val="0"/>
              </w:rPr>
              <w:t>详见下表</w:t>
            </w:r>
            <w:r>
              <w:t>。</w:t>
            </w:r>
          </w:p>
          <w:p w14:paraId="0E25CBC9">
            <w:pPr>
              <w:wordWrap w:val="0"/>
              <w:topLinePunct/>
              <w:adjustRightInd w:val="0"/>
              <w:snapToGrid w:val="0"/>
              <w:jc w:val="center"/>
              <w:rPr>
                <w:b/>
                <w:bCs/>
                <w:spacing w:val="-10"/>
                <w:sz w:val="24"/>
                <w:szCs w:val="24"/>
                <w:u w:val="single"/>
              </w:rPr>
            </w:pPr>
            <w:r>
              <w:rPr>
                <w:b/>
                <w:bCs/>
                <w:spacing w:val="-10"/>
                <w:sz w:val="24"/>
                <w:szCs w:val="24"/>
                <w:u w:val="single"/>
              </w:rPr>
              <w:t>表4-1</w:t>
            </w:r>
            <w:r>
              <w:rPr>
                <w:rFonts w:hint="eastAsia"/>
                <w:b/>
                <w:bCs/>
                <w:spacing w:val="-10"/>
                <w:sz w:val="24"/>
                <w:szCs w:val="24"/>
                <w:u w:val="single"/>
                <w:lang w:val="en-US" w:eastAsia="zh-CN"/>
              </w:rPr>
              <w:t>4</w:t>
            </w:r>
            <w:r>
              <w:rPr>
                <w:b/>
                <w:bCs/>
                <w:spacing w:val="-10"/>
                <w:sz w:val="24"/>
                <w:szCs w:val="24"/>
                <w:u w:val="single"/>
              </w:rPr>
              <w:t xml:space="preserve"> 厂界噪声预测结果与达标分析表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378"/>
              <w:gridCol w:w="1979"/>
              <w:gridCol w:w="1979"/>
              <w:gridCol w:w="1638"/>
            </w:tblGrid>
            <w:tr w14:paraId="5BC217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95" w:type="pct"/>
                  <w:vMerge w:val="restart"/>
                  <w:vAlign w:val="center"/>
                </w:tcPr>
                <w:p w14:paraId="74F3A8DD">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szCs w:val="21"/>
                      <w:u w:val="single"/>
                    </w:rPr>
                  </w:pPr>
                  <w:r>
                    <w:rPr>
                      <w:b/>
                      <w:szCs w:val="21"/>
                      <w:u w:val="single"/>
                    </w:rPr>
                    <w:t>预测方位</w:t>
                  </w:r>
                </w:p>
              </w:tc>
              <w:tc>
                <w:tcPr>
                  <w:tcW w:w="811" w:type="pct"/>
                  <w:vMerge w:val="restart"/>
                  <w:vAlign w:val="center"/>
                </w:tcPr>
                <w:p w14:paraId="4E2528FD">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szCs w:val="21"/>
                      <w:u w:val="single"/>
                    </w:rPr>
                  </w:pPr>
                  <w:r>
                    <w:rPr>
                      <w:b/>
                      <w:szCs w:val="21"/>
                      <w:u w:val="single"/>
                    </w:rPr>
                    <w:t>时段</w:t>
                  </w:r>
                </w:p>
              </w:tc>
              <w:tc>
                <w:tcPr>
                  <w:tcW w:w="1165" w:type="pct"/>
                  <w:vMerge w:val="restart"/>
                  <w:vAlign w:val="center"/>
                </w:tcPr>
                <w:p w14:paraId="57B2CD8E">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szCs w:val="21"/>
                      <w:u w:val="single"/>
                    </w:rPr>
                  </w:pPr>
                  <w:r>
                    <w:rPr>
                      <w:b/>
                      <w:szCs w:val="21"/>
                      <w:u w:val="single"/>
                    </w:rPr>
                    <w:t>预测值（dB(A)）</w:t>
                  </w:r>
                </w:p>
              </w:tc>
              <w:tc>
                <w:tcPr>
                  <w:tcW w:w="1165" w:type="pct"/>
                  <w:vMerge w:val="restart"/>
                  <w:vAlign w:val="center"/>
                </w:tcPr>
                <w:p w14:paraId="776B782F">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szCs w:val="21"/>
                      <w:u w:val="single"/>
                    </w:rPr>
                  </w:pPr>
                  <w:r>
                    <w:rPr>
                      <w:b/>
                      <w:szCs w:val="21"/>
                      <w:u w:val="single"/>
                    </w:rPr>
                    <w:t>标准限值（dB(A)）</w:t>
                  </w:r>
                </w:p>
              </w:tc>
              <w:tc>
                <w:tcPr>
                  <w:tcW w:w="964" w:type="pct"/>
                  <w:vMerge w:val="restart"/>
                  <w:vAlign w:val="center"/>
                </w:tcPr>
                <w:p w14:paraId="44D3610A">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szCs w:val="21"/>
                      <w:u w:val="single"/>
                    </w:rPr>
                  </w:pPr>
                  <w:r>
                    <w:rPr>
                      <w:b/>
                      <w:szCs w:val="21"/>
                      <w:u w:val="single"/>
                    </w:rPr>
                    <w:t>达标情况</w:t>
                  </w:r>
                </w:p>
              </w:tc>
            </w:tr>
            <w:tr w14:paraId="46C08D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95" w:type="pct"/>
                  <w:vMerge w:val="continue"/>
                  <w:shd w:val="clear" w:color="auto" w:fill="FFFFFF"/>
                  <w:vAlign w:val="center"/>
                </w:tcPr>
                <w:p w14:paraId="51F98E72">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811" w:type="pct"/>
                  <w:vMerge w:val="continue"/>
                  <w:shd w:val="clear" w:color="auto" w:fill="FFFFFF"/>
                  <w:vAlign w:val="center"/>
                </w:tcPr>
                <w:p w14:paraId="084C2F11">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1165" w:type="pct"/>
                  <w:vMerge w:val="continue"/>
                  <w:shd w:val="clear" w:color="auto" w:fill="FFFFFF"/>
                  <w:vAlign w:val="center"/>
                </w:tcPr>
                <w:p w14:paraId="14E3B7F9">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1165" w:type="pct"/>
                  <w:vMerge w:val="continue"/>
                  <w:shd w:val="clear" w:color="auto" w:fill="FFFFFF"/>
                  <w:vAlign w:val="center"/>
                </w:tcPr>
                <w:p w14:paraId="5B5DD568">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964" w:type="pct"/>
                  <w:vMerge w:val="continue"/>
                  <w:shd w:val="clear" w:color="auto" w:fill="FFFFFF"/>
                  <w:vAlign w:val="center"/>
                </w:tcPr>
                <w:p w14:paraId="6297FD13">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r>
            <w:tr w14:paraId="5C9D15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restart"/>
                  <w:shd w:val="clear" w:color="auto" w:fill="FFFFFF"/>
                  <w:vAlign w:val="center"/>
                </w:tcPr>
                <w:p w14:paraId="0E61F234">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东侧</w:t>
                  </w:r>
                </w:p>
              </w:tc>
              <w:tc>
                <w:tcPr>
                  <w:tcW w:w="811" w:type="pct"/>
                  <w:shd w:val="clear" w:color="auto" w:fill="FFFFFF"/>
                  <w:vAlign w:val="center"/>
                </w:tcPr>
                <w:p w14:paraId="53FCCD20">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昼间</w:t>
                  </w:r>
                </w:p>
              </w:tc>
              <w:tc>
                <w:tcPr>
                  <w:tcW w:w="1165" w:type="pct"/>
                  <w:shd w:val="clear" w:color="auto" w:fill="FFFFFF"/>
                  <w:vAlign w:val="center"/>
                </w:tcPr>
                <w:p w14:paraId="1B6A00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45.06</w:t>
                  </w:r>
                </w:p>
              </w:tc>
              <w:tc>
                <w:tcPr>
                  <w:tcW w:w="1165" w:type="pct"/>
                  <w:shd w:val="clear" w:color="auto" w:fill="FFFFFF"/>
                  <w:vAlign w:val="center"/>
                </w:tcPr>
                <w:p w14:paraId="22C15597">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60</w:t>
                  </w:r>
                </w:p>
              </w:tc>
              <w:tc>
                <w:tcPr>
                  <w:tcW w:w="964" w:type="pct"/>
                  <w:shd w:val="clear" w:color="auto" w:fill="FFFFFF"/>
                  <w:vAlign w:val="center"/>
                </w:tcPr>
                <w:p w14:paraId="2EE23404">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0E9D87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continue"/>
                  <w:shd w:val="clear" w:color="auto" w:fill="FFFFFF"/>
                  <w:vAlign w:val="center"/>
                </w:tcPr>
                <w:p w14:paraId="3EDD3286">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811" w:type="pct"/>
                  <w:shd w:val="clear" w:color="auto" w:fill="FFFFFF"/>
                  <w:vAlign w:val="center"/>
                </w:tcPr>
                <w:p w14:paraId="4F6F6AD7">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夜间</w:t>
                  </w:r>
                </w:p>
              </w:tc>
              <w:tc>
                <w:tcPr>
                  <w:tcW w:w="1165" w:type="pct"/>
                  <w:shd w:val="clear" w:color="auto" w:fill="FFFFFF"/>
                  <w:vAlign w:val="center"/>
                </w:tcPr>
                <w:p w14:paraId="5B832B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45.06</w:t>
                  </w:r>
                </w:p>
              </w:tc>
              <w:tc>
                <w:tcPr>
                  <w:tcW w:w="1165" w:type="pct"/>
                  <w:shd w:val="clear" w:color="auto" w:fill="FFFFFF"/>
                  <w:vAlign w:val="center"/>
                </w:tcPr>
                <w:p w14:paraId="52D227E8">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50</w:t>
                  </w:r>
                </w:p>
              </w:tc>
              <w:tc>
                <w:tcPr>
                  <w:tcW w:w="964" w:type="pct"/>
                  <w:shd w:val="clear" w:color="auto" w:fill="FFFFFF"/>
                  <w:vAlign w:val="center"/>
                </w:tcPr>
                <w:p w14:paraId="57A15EC7">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5ED5C2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restart"/>
                  <w:shd w:val="clear" w:color="auto" w:fill="FFFFFF"/>
                  <w:vAlign w:val="center"/>
                </w:tcPr>
                <w:p w14:paraId="49D98921">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南侧</w:t>
                  </w:r>
                </w:p>
              </w:tc>
              <w:tc>
                <w:tcPr>
                  <w:tcW w:w="811" w:type="pct"/>
                  <w:shd w:val="clear" w:color="auto" w:fill="FFFFFF"/>
                  <w:vAlign w:val="center"/>
                </w:tcPr>
                <w:p w14:paraId="383A43C4">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昼间</w:t>
                  </w:r>
                </w:p>
              </w:tc>
              <w:tc>
                <w:tcPr>
                  <w:tcW w:w="1165" w:type="pct"/>
                  <w:shd w:val="clear" w:color="auto" w:fill="FFFFFF"/>
                  <w:vAlign w:val="center"/>
                </w:tcPr>
                <w:p w14:paraId="62BC68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40.53</w:t>
                  </w:r>
                </w:p>
              </w:tc>
              <w:tc>
                <w:tcPr>
                  <w:tcW w:w="1165" w:type="pct"/>
                  <w:shd w:val="clear" w:color="auto" w:fill="FFFFFF"/>
                  <w:vAlign w:val="center"/>
                </w:tcPr>
                <w:p w14:paraId="42019C1E">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60</w:t>
                  </w:r>
                </w:p>
              </w:tc>
              <w:tc>
                <w:tcPr>
                  <w:tcW w:w="964" w:type="pct"/>
                  <w:shd w:val="clear" w:color="auto" w:fill="FFFFFF"/>
                  <w:vAlign w:val="center"/>
                </w:tcPr>
                <w:p w14:paraId="66CD5477">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37FCAD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continue"/>
                  <w:shd w:val="clear" w:color="auto" w:fill="FFFFFF"/>
                  <w:vAlign w:val="center"/>
                </w:tcPr>
                <w:p w14:paraId="14578C10">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811" w:type="pct"/>
                  <w:shd w:val="clear" w:color="auto" w:fill="FFFFFF"/>
                  <w:vAlign w:val="center"/>
                </w:tcPr>
                <w:p w14:paraId="64DC07B5">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夜间</w:t>
                  </w:r>
                </w:p>
              </w:tc>
              <w:tc>
                <w:tcPr>
                  <w:tcW w:w="1165" w:type="pct"/>
                  <w:shd w:val="clear" w:color="auto" w:fill="FFFFFF"/>
                  <w:vAlign w:val="center"/>
                </w:tcPr>
                <w:p w14:paraId="0ED70C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40.53</w:t>
                  </w:r>
                </w:p>
              </w:tc>
              <w:tc>
                <w:tcPr>
                  <w:tcW w:w="1165" w:type="pct"/>
                  <w:shd w:val="clear" w:color="auto" w:fill="FFFFFF"/>
                  <w:vAlign w:val="center"/>
                </w:tcPr>
                <w:p w14:paraId="06E87EFB">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50</w:t>
                  </w:r>
                </w:p>
              </w:tc>
              <w:tc>
                <w:tcPr>
                  <w:tcW w:w="964" w:type="pct"/>
                  <w:shd w:val="clear" w:color="auto" w:fill="FFFFFF"/>
                  <w:vAlign w:val="center"/>
                </w:tcPr>
                <w:p w14:paraId="3DF8653C">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27BA68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restart"/>
                  <w:shd w:val="clear" w:color="auto" w:fill="FFFFFF"/>
                  <w:vAlign w:val="center"/>
                </w:tcPr>
                <w:p w14:paraId="26002FF3">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西侧</w:t>
                  </w:r>
                </w:p>
              </w:tc>
              <w:tc>
                <w:tcPr>
                  <w:tcW w:w="811" w:type="pct"/>
                  <w:shd w:val="clear" w:color="auto" w:fill="FFFFFF"/>
                  <w:vAlign w:val="center"/>
                </w:tcPr>
                <w:p w14:paraId="1CE510C3">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昼间</w:t>
                  </w:r>
                </w:p>
              </w:tc>
              <w:tc>
                <w:tcPr>
                  <w:tcW w:w="1165" w:type="pct"/>
                  <w:shd w:val="clear" w:color="auto" w:fill="FFFFFF"/>
                  <w:vAlign w:val="center"/>
                </w:tcPr>
                <w:p w14:paraId="62B738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48.71</w:t>
                  </w:r>
                </w:p>
              </w:tc>
              <w:tc>
                <w:tcPr>
                  <w:tcW w:w="1980" w:type="dxa"/>
                  <w:shd w:val="clear" w:color="auto" w:fill="FFFFFF"/>
                  <w:vAlign w:val="center"/>
                </w:tcPr>
                <w:p w14:paraId="4D74A5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70</w:t>
                  </w:r>
                </w:p>
              </w:tc>
              <w:tc>
                <w:tcPr>
                  <w:tcW w:w="964" w:type="pct"/>
                  <w:shd w:val="clear" w:color="auto" w:fill="FFFFFF"/>
                  <w:vAlign w:val="center"/>
                </w:tcPr>
                <w:p w14:paraId="04E420A0">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40F12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continue"/>
                  <w:shd w:val="clear" w:color="auto" w:fill="FFFFFF"/>
                  <w:vAlign w:val="center"/>
                </w:tcPr>
                <w:p w14:paraId="175397BF">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811" w:type="pct"/>
                  <w:shd w:val="clear" w:color="auto" w:fill="FFFFFF"/>
                  <w:vAlign w:val="center"/>
                </w:tcPr>
                <w:p w14:paraId="512DA670">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夜间</w:t>
                  </w:r>
                </w:p>
              </w:tc>
              <w:tc>
                <w:tcPr>
                  <w:tcW w:w="1165" w:type="pct"/>
                  <w:shd w:val="clear" w:color="auto" w:fill="FFFFFF"/>
                  <w:vAlign w:val="center"/>
                </w:tcPr>
                <w:p w14:paraId="7597B8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48.71</w:t>
                  </w:r>
                </w:p>
              </w:tc>
              <w:tc>
                <w:tcPr>
                  <w:tcW w:w="1980" w:type="dxa"/>
                  <w:shd w:val="clear" w:color="auto" w:fill="FFFFFF"/>
                  <w:vAlign w:val="center"/>
                </w:tcPr>
                <w:p w14:paraId="09DEAA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55</w:t>
                  </w:r>
                </w:p>
              </w:tc>
              <w:tc>
                <w:tcPr>
                  <w:tcW w:w="964" w:type="pct"/>
                  <w:shd w:val="clear" w:color="auto" w:fill="FFFFFF"/>
                  <w:vAlign w:val="center"/>
                </w:tcPr>
                <w:p w14:paraId="5BA2D903">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447AEC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restart"/>
                  <w:shd w:val="clear" w:color="auto" w:fill="FFFFFF"/>
                  <w:vAlign w:val="center"/>
                </w:tcPr>
                <w:p w14:paraId="5D539728">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北侧</w:t>
                  </w:r>
                </w:p>
              </w:tc>
              <w:tc>
                <w:tcPr>
                  <w:tcW w:w="811" w:type="pct"/>
                  <w:shd w:val="clear" w:color="auto" w:fill="FFFFFF"/>
                  <w:vAlign w:val="center"/>
                </w:tcPr>
                <w:p w14:paraId="790AEF6D">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昼间</w:t>
                  </w:r>
                </w:p>
              </w:tc>
              <w:tc>
                <w:tcPr>
                  <w:tcW w:w="1165" w:type="pct"/>
                  <w:shd w:val="clear" w:color="auto" w:fill="FFFFFF"/>
                  <w:vAlign w:val="center"/>
                </w:tcPr>
                <w:p w14:paraId="626D1C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45.36</w:t>
                  </w:r>
                </w:p>
              </w:tc>
              <w:tc>
                <w:tcPr>
                  <w:tcW w:w="1980" w:type="dxa"/>
                  <w:shd w:val="clear" w:color="auto" w:fill="FFFFFF"/>
                  <w:vAlign w:val="center"/>
                </w:tcPr>
                <w:p w14:paraId="0848B1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szCs w:val="21"/>
                      <w:u w:val="single"/>
                    </w:rPr>
                    <w:t>60</w:t>
                  </w:r>
                </w:p>
              </w:tc>
              <w:tc>
                <w:tcPr>
                  <w:tcW w:w="964" w:type="pct"/>
                  <w:shd w:val="clear" w:color="auto" w:fill="FFFFFF"/>
                  <w:vAlign w:val="center"/>
                </w:tcPr>
                <w:p w14:paraId="35FAF86F">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r w14:paraId="4E8D74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83" w:hRule="exact"/>
                <w:jc w:val="center"/>
              </w:trPr>
              <w:tc>
                <w:tcPr>
                  <w:tcW w:w="895" w:type="pct"/>
                  <w:vMerge w:val="continue"/>
                  <w:shd w:val="clear" w:color="auto" w:fill="FFFFFF"/>
                  <w:vAlign w:val="center"/>
                </w:tcPr>
                <w:p w14:paraId="6999B482">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p>
              </w:tc>
              <w:tc>
                <w:tcPr>
                  <w:tcW w:w="811" w:type="pct"/>
                  <w:shd w:val="clear" w:color="auto" w:fill="FFFFFF"/>
                  <w:vAlign w:val="center"/>
                </w:tcPr>
                <w:p w14:paraId="6B1E2E06">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夜间</w:t>
                  </w:r>
                </w:p>
              </w:tc>
              <w:tc>
                <w:tcPr>
                  <w:tcW w:w="1165" w:type="pct"/>
                  <w:shd w:val="clear" w:color="auto" w:fill="FFFFFF"/>
                  <w:vAlign w:val="center"/>
                </w:tcPr>
                <w:p w14:paraId="6D7E22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rFonts w:hint="eastAsia"/>
                      <w:szCs w:val="21"/>
                      <w:u w:val="single"/>
                      <w:lang w:val="en-US" w:eastAsia="zh-CN"/>
                    </w:rPr>
                    <w:t>45.36</w:t>
                  </w:r>
                </w:p>
              </w:tc>
              <w:tc>
                <w:tcPr>
                  <w:tcW w:w="1980" w:type="dxa"/>
                  <w:shd w:val="clear" w:color="auto" w:fill="FFFFFF"/>
                  <w:vAlign w:val="center"/>
                </w:tcPr>
                <w:p w14:paraId="75FAC5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Cs w:val="21"/>
                      <w:u w:val="single"/>
                      <w:lang w:val="en-US" w:eastAsia="zh-CN"/>
                    </w:rPr>
                  </w:pPr>
                  <w:r>
                    <w:rPr>
                      <w:szCs w:val="21"/>
                      <w:u w:val="single"/>
                    </w:rPr>
                    <w:t>50</w:t>
                  </w:r>
                </w:p>
              </w:tc>
              <w:tc>
                <w:tcPr>
                  <w:tcW w:w="964" w:type="pct"/>
                  <w:shd w:val="clear" w:color="auto" w:fill="FFFFFF"/>
                  <w:vAlign w:val="center"/>
                </w:tcPr>
                <w:p w14:paraId="7C4941A3">
                  <w:pPr>
                    <w:keepNext w:val="0"/>
                    <w:keepLines w:val="0"/>
                    <w:pageBreakBefore w:val="0"/>
                    <w:widowControl w:val="0"/>
                    <w:kinsoku/>
                    <w:wordWrap/>
                    <w:overflowPunct/>
                    <w:topLinePunct w:val="0"/>
                    <w:autoSpaceDE/>
                    <w:autoSpaceDN/>
                    <w:bidi w:val="0"/>
                    <w:adjustRightInd w:val="0"/>
                    <w:snapToGrid w:val="0"/>
                    <w:jc w:val="center"/>
                    <w:textAlignment w:val="auto"/>
                    <w:rPr>
                      <w:szCs w:val="21"/>
                      <w:u w:val="single"/>
                    </w:rPr>
                  </w:pPr>
                  <w:r>
                    <w:rPr>
                      <w:szCs w:val="21"/>
                      <w:u w:val="single"/>
                    </w:rPr>
                    <w:t>达标</w:t>
                  </w:r>
                </w:p>
              </w:tc>
            </w:tr>
          </w:tbl>
          <w:p w14:paraId="4DFE44FC">
            <w:pPr>
              <w:pStyle w:val="118"/>
              <w:wordWrap w:val="0"/>
              <w:topLinePunct/>
              <w:spacing w:line="360" w:lineRule="auto"/>
              <w:ind w:firstLine="480" w:firstLineChars="200"/>
              <w:jc w:val="both"/>
            </w:pPr>
            <w:r>
              <w:t>按照</w:t>
            </w:r>
            <w:r>
              <w:rPr>
                <w:szCs w:val="21"/>
                <w:lang w:val="zh-CN"/>
              </w:rPr>
              <w:t>《环境影响评价技术导则 声环境》</w:t>
            </w:r>
            <w:r>
              <w:t>（HJ2.4-2021）</w:t>
            </w:r>
            <w:r>
              <w:rPr>
                <w:szCs w:val="21"/>
                <w:lang w:val="zh-CN"/>
              </w:rPr>
              <w:t>的要求，</w:t>
            </w:r>
            <w:r>
              <w:rPr>
                <w:szCs w:val="32"/>
              </w:rPr>
              <w:t>项目以工程噪声贡献值预测值作为评价量。</w:t>
            </w:r>
            <w:r>
              <w:t>根据上述预测结果中贡献值的量可知，本项目建成后的噪声经声源噪声自然衰减后，在</w:t>
            </w:r>
            <w:r>
              <w:rPr>
                <w:rFonts w:hint="eastAsia"/>
              </w:rPr>
              <w:t>东</w:t>
            </w:r>
            <w:r>
              <w:t>、南、</w:t>
            </w:r>
            <w:r>
              <w:rPr>
                <w:rFonts w:hint="eastAsia"/>
                <w:lang w:val="en-US" w:eastAsia="zh-CN"/>
              </w:rPr>
              <w:t>北</w:t>
            </w:r>
            <w:r>
              <w:t>面厂界可满足《工业企业厂界环境噪声排放标准》(GB12348-2008)中2类[昼间≤60dB(A)、夜间≤50dB(A)]排放限值的要求，</w:t>
            </w:r>
            <w:r>
              <w:rPr>
                <w:rFonts w:hint="eastAsia"/>
                <w:lang w:val="en-US" w:eastAsia="zh-CN"/>
              </w:rPr>
              <w:t>西</w:t>
            </w:r>
            <w:r>
              <w:t>厂界可满足《工业企业厂界环境噪声排放标准》(GB12348-2008)中4类[昼间≤70dB(A)、夜间≤55dB(A)]排放限值的要求。</w:t>
            </w:r>
          </w:p>
          <w:p w14:paraId="1D9891BD">
            <w:pPr>
              <w:wordWrap w:val="0"/>
              <w:topLinePunct/>
              <w:adjustRightInd w:val="0"/>
              <w:snapToGrid w:val="0"/>
              <w:jc w:val="center"/>
              <w:rPr>
                <w:b/>
                <w:bCs/>
                <w:spacing w:val="-10"/>
                <w:sz w:val="24"/>
                <w:szCs w:val="24"/>
              </w:rPr>
            </w:pPr>
            <w:r>
              <w:rPr>
                <w:b/>
                <w:bCs/>
                <w:spacing w:val="-10"/>
                <w:sz w:val="24"/>
                <w:szCs w:val="24"/>
              </w:rPr>
              <w:t>表4-1</w:t>
            </w:r>
            <w:r>
              <w:rPr>
                <w:rFonts w:hint="eastAsia"/>
                <w:b/>
                <w:bCs/>
                <w:spacing w:val="-10"/>
                <w:sz w:val="24"/>
                <w:szCs w:val="24"/>
                <w:lang w:val="en-US" w:eastAsia="zh-CN"/>
              </w:rPr>
              <w:t>5</w:t>
            </w:r>
            <w:r>
              <w:rPr>
                <w:b/>
                <w:bCs/>
                <w:spacing w:val="-10"/>
                <w:sz w:val="24"/>
                <w:szCs w:val="24"/>
              </w:rPr>
              <w:t xml:space="preserve"> </w:t>
            </w:r>
            <w:r>
              <w:rPr>
                <w:rFonts w:hint="eastAsia"/>
                <w:b/>
                <w:bCs/>
                <w:spacing w:val="-10"/>
                <w:sz w:val="24"/>
                <w:szCs w:val="24"/>
              </w:rPr>
              <w:t>声环境敏感目标噪声影响预测结果 单位：dB(A)</w:t>
            </w:r>
          </w:p>
          <w:tbl>
            <w:tblPr>
              <w:tblStyle w:val="5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494"/>
              <w:gridCol w:w="799"/>
              <w:gridCol w:w="800"/>
              <w:gridCol w:w="739"/>
              <w:gridCol w:w="787"/>
              <w:gridCol w:w="1159"/>
              <w:gridCol w:w="1160"/>
              <w:gridCol w:w="550"/>
              <w:gridCol w:w="563"/>
            </w:tblGrid>
            <w:tr w14:paraId="6F2F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pct"/>
                  <w:gridSpan w:val="2"/>
                  <w:vMerge w:val="restart"/>
                  <w:noWrap w:val="0"/>
                  <w:vAlign w:val="center"/>
                </w:tcPr>
                <w:p w14:paraId="4E7D26F0">
                  <w:pPr>
                    <w:adjustRightInd w:val="0"/>
                    <w:snapToGrid w:val="0"/>
                    <w:jc w:val="center"/>
                    <w:rPr>
                      <w:rFonts w:hint="eastAsia" w:ascii="Times New Roman" w:hAnsi="Times New Roman" w:eastAsia="宋体" w:cs="Times New Roman"/>
                      <w:b w:val="0"/>
                      <w:bCs w:val="0"/>
                      <w:color w:val="000000"/>
                      <w:sz w:val="21"/>
                      <w:szCs w:val="21"/>
                      <w:u w:val="none"/>
                      <w:lang w:eastAsia="zh-CN"/>
                    </w:rPr>
                  </w:pPr>
                  <w:r>
                    <w:rPr>
                      <w:rFonts w:hint="eastAsia" w:cs="Times New Roman"/>
                      <w:b w:val="0"/>
                      <w:bCs w:val="0"/>
                      <w:color w:val="000000"/>
                      <w:sz w:val="21"/>
                      <w:szCs w:val="21"/>
                      <w:u w:val="none"/>
                      <w:lang w:val="en-US" w:eastAsia="zh-CN"/>
                    </w:rPr>
                    <w:t>敏感目标</w:t>
                  </w:r>
                  <w:r>
                    <w:rPr>
                      <w:rFonts w:hint="eastAsia" w:ascii="Times New Roman" w:hAnsi="Times New Roman" w:eastAsia="宋体" w:cs="Times New Roman"/>
                      <w:b w:val="0"/>
                      <w:bCs w:val="0"/>
                      <w:color w:val="000000"/>
                      <w:sz w:val="21"/>
                      <w:szCs w:val="21"/>
                      <w:u w:val="none"/>
                    </w:rPr>
                    <w:t>与</w:t>
                  </w:r>
                  <w:r>
                    <w:rPr>
                      <w:rFonts w:hint="eastAsia" w:ascii="Times New Roman" w:hAnsi="Times New Roman" w:eastAsia="宋体" w:cs="Times New Roman"/>
                      <w:b w:val="0"/>
                      <w:bCs w:val="0"/>
                      <w:color w:val="000000"/>
                      <w:sz w:val="21"/>
                      <w:szCs w:val="21"/>
                      <w:u w:val="none"/>
                      <w:lang w:val="en-US" w:eastAsia="zh-CN"/>
                    </w:rPr>
                    <w:t>最近</w:t>
                  </w:r>
                  <w:r>
                    <w:rPr>
                      <w:rFonts w:hint="eastAsia" w:ascii="Times New Roman" w:hAnsi="Times New Roman" w:eastAsia="宋体" w:cs="Times New Roman"/>
                      <w:b w:val="0"/>
                      <w:bCs w:val="0"/>
                      <w:color w:val="000000"/>
                      <w:sz w:val="21"/>
                      <w:szCs w:val="21"/>
                      <w:u w:val="none"/>
                    </w:rPr>
                    <w:t>厂界距离</w:t>
                  </w:r>
                  <w:r>
                    <w:rPr>
                      <w:rFonts w:hint="eastAsia" w:ascii="Times New Roman" w:hAnsi="Times New Roman" w:eastAsia="宋体" w:cs="Times New Roman"/>
                      <w:b w:val="0"/>
                      <w:bCs w:val="0"/>
                      <w:color w:val="000000"/>
                      <w:sz w:val="21"/>
                      <w:szCs w:val="21"/>
                      <w:u w:val="none"/>
                      <w:lang w:eastAsia="zh-CN"/>
                    </w:rPr>
                    <w:t>（</w:t>
                  </w:r>
                  <w:r>
                    <w:rPr>
                      <w:rFonts w:hint="eastAsia" w:ascii="Times New Roman" w:hAnsi="Times New Roman" w:eastAsia="宋体" w:cs="Times New Roman"/>
                      <w:b w:val="0"/>
                      <w:bCs w:val="0"/>
                      <w:color w:val="000000"/>
                      <w:sz w:val="21"/>
                      <w:szCs w:val="21"/>
                      <w:u w:val="none"/>
                      <w:lang w:val="en-US" w:eastAsia="zh-CN"/>
                    </w:rPr>
                    <w:t>m</w:t>
                  </w:r>
                  <w:r>
                    <w:rPr>
                      <w:rFonts w:hint="eastAsia" w:ascii="Times New Roman" w:hAnsi="Times New Roman" w:eastAsia="宋体" w:cs="Times New Roman"/>
                      <w:b w:val="0"/>
                      <w:bCs w:val="0"/>
                      <w:color w:val="000000"/>
                      <w:sz w:val="21"/>
                      <w:szCs w:val="21"/>
                      <w:u w:val="none"/>
                      <w:lang w:eastAsia="zh-CN"/>
                    </w:rPr>
                    <w:t>）</w:t>
                  </w:r>
                </w:p>
              </w:tc>
              <w:tc>
                <w:tcPr>
                  <w:tcW w:w="941" w:type="pct"/>
                  <w:gridSpan w:val="2"/>
                  <w:noWrap w:val="0"/>
                  <w:vAlign w:val="center"/>
                </w:tcPr>
                <w:p w14:paraId="32381E05">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东北侧居民</w:t>
                  </w:r>
                  <w:r>
                    <w:rPr>
                      <w:rFonts w:hint="eastAsia" w:ascii="Times New Roman" w:hAnsi="Times New Roman" w:eastAsia="宋体" w:cs="Times New Roman"/>
                      <w:b w:val="0"/>
                      <w:bCs w:val="0"/>
                      <w:color w:val="000000"/>
                      <w:sz w:val="21"/>
                      <w:szCs w:val="21"/>
                      <w:u w:val="none"/>
                    </w:rPr>
                    <w:t>噪声贡献值</w:t>
                  </w:r>
                </w:p>
              </w:tc>
              <w:tc>
                <w:tcPr>
                  <w:tcW w:w="898" w:type="pct"/>
                  <w:gridSpan w:val="2"/>
                  <w:noWrap w:val="0"/>
                  <w:vAlign w:val="center"/>
                </w:tcPr>
                <w:p w14:paraId="622E6AD7">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东北侧居民</w:t>
                  </w:r>
                  <w:r>
                    <w:rPr>
                      <w:rFonts w:hint="eastAsia" w:ascii="Times New Roman" w:hAnsi="Times New Roman" w:eastAsia="宋体" w:cs="Times New Roman"/>
                      <w:b w:val="0"/>
                      <w:bCs w:val="0"/>
                      <w:color w:val="000000"/>
                      <w:sz w:val="21"/>
                      <w:szCs w:val="21"/>
                      <w:u w:val="none"/>
                    </w:rPr>
                    <w:t>噪声背景值</w:t>
                  </w:r>
                </w:p>
              </w:tc>
              <w:tc>
                <w:tcPr>
                  <w:tcW w:w="1365" w:type="pct"/>
                  <w:gridSpan w:val="2"/>
                  <w:noWrap w:val="0"/>
                  <w:vAlign w:val="center"/>
                </w:tcPr>
                <w:p w14:paraId="3B34C438">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东北侧居民</w:t>
                  </w:r>
                  <w:r>
                    <w:rPr>
                      <w:rFonts w:hint="eastAsia" w:ascii="Times New Roman" w:hAnsi="Times New Roman" w:eastAsia="宋体" w:cs="Times New Roman"/>
                      <w:b w:val="0"/>
                      <w:bCs w:val="0"/>
                      <w:color w:val="000000"/>
                      <w:sz w:val="21"/>
                      <w:szCs w:val="21"/>
                      <w:u w:val="none"/>
                    </w:rPr>
                    <w:t>噪声预测值（叠加背景噪声）</w:t>
                  </w:r>
                </w:p>
              </w:tc>
              <w:tc>
                <w:tcPr>
                  <w:tcW w:w="655" w:type="pct"/>
                  <w:gridSpan w:val="2"/>
                  <w:noWrap w:val="0"/>
                  <w:vAlign w:val="center"/>
                </w:tcPr>
                <w:p w14:paraId="38BA237C">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rPr>
                    <w:t>评价标准值</w:t>
                  </w:r>
                </w:p>
              </w:tc>
            </w:tr>
            <w:tr w14:paraId="02EA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39" w:type="pct"/>
                  <w:gridSpan w:val="2"/>
                  <w:vMerge w:val="continue"/>
                  <w:noWrap w:val="0"/>
                  <w:vAlign w:val="center"/>
                </w:tcPr>
                <w:p w14:paraId="070CDC22">
                  <w:pPr>
                    <w:adjustRightInd w:val="0"/>
                    <w:snapToGrid w:val="0"/>
                    <w:jc w:val="center"/>
                    <w:rPr>
                      <w:rFonts w:hint="eastAsia" w:ascii="Times New Roman" w:hAnsi="Times New Roman" w:eastAsia="宋体" w:cs="Times New Roman"/>
                      <w:b w:val="0"/>
                      <w:bCs w:val="0"/>
                      <w:color w:val="000000"/>
                      <w:sz w:val="21"/>
                      <w:szCs w:val="21"/>
                      <w:u w:val="none"/>
                    </w:rPr>
                  </w:pPr>
                </w:p>
              </w:tc>
              <w:tc>
                <w:tcPr>
                  <w:tcW w:w="470" w:type="pct"/>
                  <w:noWrap w:val="0"/>
                  <w:vAlign w:val="center"/>
                </w:tcPr>
                <w:p w14:paraId="31B6D0EA">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471" w:type="pct"/>
                  <w:noWrap w:val="0"/>
                  <w:vAlign w:val="center"/>
                </w:tcPr>
                <w:p w14:paraId="55FE419F">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435" w:type="pct"/>
                  <w:noWrap w:val="0"/>
                  <w:vAlign w:val="center"/>
                </w:tcPr>
                <w:p w14:paraId="69D11A30">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463" w:type="pct"/>
                  <w:noWrap w:val="0"/>
                  <w:vAlign w:val="center"/>
                </w:tcPr>
                <w:p w14:paraId="631D1CB2">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682" w:type="pct"/>
                  <w:noWrap w:val="0"/>
                  <w:vAlign w:val="center"/>
                </w:tcPr>
                <w:p w14:paraId="36DF55A4">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682" w:type="pct"/>
                  <w:noWrap w:val="0"/>
                  <w:vAlign w:val="center"/>
                </w:tcPr>
                <w:p w14:paraId="3242FEEE">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323" w:type="pct"/>
                  <w:noWrap w:val="0"/>
                  <w:vAlign w:val="center"/>
                </w:tcPr>
                <w:p w14:paraId="77CCF1BC">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331" w:type="pct"/>
                  <w:noWrap w:val="0"/>
                  <w:vAlign w:val="center"/>
                </w:tcPr>
                <w:p w14:paraId="393BDF1D">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lang w:val="en-US" w:eastAsia="zh-CN"/>
                    </w:rPr>
                    <w:t>夜间</w:t>
                  </w:r>
                </w:p>
              </w:tc>
            </w:tr>
            <w:tr w14:paraId="4202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14:paraId="3CDA6E3D">
                  <w:pPr>
                    <w:jc w:val="center"/>
                    <w:rPr>
                      <w:rFonts w:hint="eastAsia"/>
                      <w:b w:val="0"/>
                      <w:bCs w:val="0"/>
                      <w:sz w:val="21"/>
                      <w:szCs w:val="21"/>
                      <w:u w:val="none"/>
                    </w:rPr>
                  </w:pPr>
                  <w:r>
                    <w:rPr>
                      <w:rFonts w:hint="eastAsia"/>
                      <w:b w:val="0"/>
                      <w:bCs w:val="0"/>
                      <w:sz w:val="21"/>
                      <w:szCs w:val="21"/>
                      <w:u w:val="none"/>
                    </w:rPr>
                    <w:t>厂界东侧</w:t>
                  </w:r>
                </w:p>
              </w:tc>
              <w:tc>
                <w:tcPr>
                  <w:tcW w:w="290" w:type="pct"/>
                  <w:noWrap w:val="0"/>
                  <w:vAlign w:val="center"/>
                </w:tcPr>
                <w:p w14:paraId="38EEDBCD">
                  <w:pPr>
                    <w:keepNext w:val="0"/>
                    <w:keepLines w:val="0"/>
                    <w:widowControl/>
                    <w:suppressLineNumbers w:val="0"/>
                    <w:jc w:val="center"/>
                    <w:textAlignment w:val="center"/>
                    <w:rPr>
                      <w:rFonts w:hint="eastAsia" w:eastAsia="宋体"/>
                      <w:b w:val="0"/>
                      <w:bCs w:val="0"/>
                      <w:sz w:val="21"/>
                      <w:szCs w:val="21"/>
                      <w:u w:val="none"/>
                      <w:lang w:val="en-US" w:eastAsia="zh-CN"/>
                    </w:rPr>
                  </w:pPr>
                  <w:r>
                    <w:rPr>
                      <w:rFonts w:hint="eastAsia"/>
                      <w:b w:val="0"/>
                      <w:bCs w:val="0"/>
                      <w:sz w:val="21"/>
                      <w:szCs w:val="21"/>
                      <w:u w:val="none"/>
                      <w:lang w:val="en-US" w:eastAsia="zh-CN"/>
                    </w:rPr>
                    <w:t>2</w:t>
                  </w:r>
                </w:p>
              </w:tc>
              <w:tc>
                <w:tcPr>
                  <w:tcW w:w="470" w:type="pct"/>
                  <w:noWrap w:val="0"/>
                  <w:vAlign w:val="center"/>
                </w:tcPr>
                <w:p w14:paraId="39E58E4A">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szCs w:val="21"/>
                      <w:lang w:val="en-US" w:eastAsia="zh-CN"/>
                    </w:rPr>
                    <w:t>39.04</w:t>
                  </w:r>
                </w:p>
              </w:tc>
              <w:tc>
                <w:tcPr>
                  <w:tcW w:w="471" w:type="pct"/>
                  <w:noWrap w:val="0"/>
                  <w:vAlign w:val="center"/>
                </w:tcPr>
                <w:p w14:paraId="3172A5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szCs w:val="21"/>
                      <w:lang w:val="en-US" w:eastAsia="zh-CN"/>
                    </w:rPr>
                    <w:t>39.04</w:t>
                  </w:r>
                </w:p>
              </w:tc>
              <w:tc>
                <w:tcPr>
                  <w:tcW w:w="435" w:type="pct"/>
                  <w:noWrap w:val="0"/>
                  <w:vAlign w:val="center"/>
                </w:tcPr>
                <w:p w14:paraId="7BBCFE68">
                  <w:pPr>
                    <w:jc w:val="center"/>
                    <w:rPr>
                      <w:rFonts w:hint="default" w:eastAsia="宋体"/>
                      <w:b w:val="0"/>
                      <w:bCs w:val="0"/>
                      <w:sz w:val="21"/>
                      <w:szCs w:val="21"/>
                      <w:u w:val="none"/>
                      <w:lang w:val="en-US" w:eastAsia="zh-CN"/>
                    </w:rPr>
                  </w:pPr>
                  <w:r>
                    <w:rPr>
                      <w:rFonts w:hint="eastAsia"/>
                      <w:b w:val="0"/>
                      <w:bCs w:val="0"/>
                      <w:sz w:val="21"/>
                      <w:szCs w:val="21"/>
                      <w:u w:val="none"/>
                      <w:lang w:val="en-US" w:eastAsia="zh-CN"/>
                    </w:rPr>
                    <w:t>53.3</w:t>
                  </w:r>
                </w:p>
              </w:tc>
              <w:tc>
                <w:tcPr>
                  <w:tcW w:w="463" w:type="pct"/>
                  <w:noWrap w:val="0"/>
                  <w:vAlign w:val="center"/>
                </w:tcPr>
                <w:p w14:paraId="229FA77E">
                  <w:pPr>
                    <w:jc w:val="center"/>
                    <w:rPr>
                      <w:rFonts w:hint="default" w:eastAsia="宋体"/>
                      <w:b w:val="0"/>
                      <w:bCs w:val="0"/>
                      <w:sz w:val="21"/>
                      <w:szCs w:val="21"/>
                      <w:u w:val="none"/>
                      <w:lang w:val="en-US" w:eastAsia="zh-CN"/>
                    </w:rPr>
                  </w:pPr>
                  <w:r>
                    <w:rPr>
                      <w:rFonts w:hint="eastAsia"/>
                      <w:b w:val="0"/>
                      <w:bCs w:val="0"/>
                      <w:sz w:val="21"/>
                      <w:szCs w:val="21"/>
                      <w:u w:val="none"/>
                      <w:lang w:val="en-US" w:eastAsia="zh-CN"/>
                    </w:rPr>
                    <w:t>43.7</w:t>
                  </w:r>
                </w:p>
              </w:tc>
              <w:tc>
                <w:tcPr>
                  <w:tcW w:w="682" w:type="pct"/>
                  <w:noWrap w:val="0"/>
                  <w:vAlign w:val="center"/>
                </w:tcPr>
                <w:p w14:paraId="69B5E7A5">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53.46</w:t>
                  </w:r>
                </w:p>
              </w:tc>
              <w:tc>
                <w:tcPr>
                  <w:tcW w:w="682" w:type="pct"/>
                  <w:noWrap w:val="0"/>
                  <w:vAlign w:val="center"/>
                </w:tcPr>
                <w:p w14:paraId="499AAF4C">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44.98</w:t>
                  </w:r>
                </w:p>
              </w:tc>
              <w:tc>
                <w:tcPr>
                  <w:tcW w:w="323" w:type="pct"/>
                  <w:noWrap w:val="0"/>
                  <w:vAlign w:val="center"/>
                </w:tcPr>
                <w:p w14:paraId="57EF8657">
                  <w:pPr>
                    <w:jc w:val="center"/>
                    <w:rPr>
                      <w:rFonts w:hint="default" w:eastAsia="宋体"/>
                      <w:b w:val="0"/>
                      <w:bCs w:val="0"/>
                      <w:sz w:val="21"/>
                      <w:szCs w:val="21"/>
                      <w:u w:val="none"/>
                      <w:lang w:val="en-US" w:eastAsia="zh-CN"/>
                    </w:rPr>
                  </w:pPr>
                  <w:r>
                    <w:rPr>
                      <w:rFonts w:hint="eastAsia" w:eastAsia="宋体"/>
                      <w:b w:val="0"/>
                      <w:bCs w:val="0"/>
                      <w:sz w:val="21"/>
                      <w:szCs w:val="21"/>
                      <w:u w:val="none"/>
                      <w:lang w:val="en-US" w:eastAsia="zh-CN"/>
                    </w:rPr>
                    <w:t>60</w:t>
                  </w:r>
                </w:p>
              </w:tc>
              <w:tc>
                <w:tcPr>
                  <w:tcW w:w="331" w:type="pct"/>
                  <w:noWrap w:val="0"/>
                  <w:vAlign w:val="center"/>
                </w:tcPr>
                <w:p w14:paraId="32006392">
                  <w:pPr>
                    <w:jc w:val="center"/>
                    <w:rPr>
                      <w:rFonts w:hint="default" w:eastAsia="宋体"/>
                      <w:b w:val="0"/>
                      <w:bCs w:val="0"/>
                      <w:sz w:val="21"/>
                      <w:szCs w:val="21"/>
                      <w:u w:val="none"/>
                      <w:lang w:val="en-US" w:eastAsia="zh-CN"/>
                    </w:rPr>
                  </w:pPr>
                  <w:r>
                    <w:rPr>
                      <w:rFonts w:hint="eastAsia" w:eastAsia="宋体"/>
                      <w:b w:val="0"/>
                      <w:bCs w:val="0"/>
                      <w:sz w:val="21"/>
                      <w:szCs w:val="21"/>
                      <w:u w:val="none"/>
                      <w:lang w:val="en-US" w:eastAsia="zh-CN"/>
                    </w:rPr>
                    <w:t>50</w:t>
                  </w:r>
                </w:p>
              </w:tc>
            </w:tr>
            <w:tr w14:paraId="473D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14:paraId="75B8D412">
                  <w:pPr>
                    <w:jc w:val="center"/>
                    <w:rPr>
                      <w:rFonts w:hint="eastAsia" w:eastAsia="宋体"/>
                      <w:b w:val="0"/>
                      <w:bCs w:val="0"/>
                      <w:sz w:val="21"/>
                      <w:szCs w:val="21"/>
                      <w:u w:val="none"/>
                      <w:lang w:val="en-US" w:eastAsia="zh-CN"/>
                    </w:rPr>
                  </w:pPr>
                  <w:r>
                    <w:rPr>
                      <w:rFonts w:hint="eastAsia"/>
                      <w:b w:val="0"/>
                      <w:bCs w:val="0"/>
                      <w:sz w:val="21"/>
                      <w:szCs w:val="21"/>
                      <w:u w:val="none"/>
                    </w:rPr>
                    <w:t>厂界</w:t>
                  </w:r>
                  <w:r>
                    <w:rPr>
                      <w:rFonts w:hint="eastAsia"/>
                      <w:b w:val="0"/>
                      <w:bCs w:val="0"/>
                      <w:sz w:val="21"/>
                      <w:szCs w:val="21"/>
                      <w:u w:val="none"/>
                      <w:lang w:val="en-US" w:eastAsia="zh-CN"/>
                    </w:rPr>
                    <w:t>北</w:t>
                  </w:r>
                  <w:r>
                    <w:rPr>
                      <w:rFonts w:hint="eastAsia"/>
                      <w:b w:val="0"/>
                      <w:bCs w:val="0"/>
                      <w:sz w:val="21"/>
                      <w:szCs w:val="21"/>
                      <w:u w:val="none"/>
                    </w:rPr>
                    <w:t>侧</w:t>
                  </w:r>
                </w:p>
              </w:tc>
              <w:tc>
                <w:tcPr>
                  <w:tcW w:w="290" w:type="pct"/>
                  <w:noWrap w:val="0"/>
                  <w:vAlign w:val="center"/>
                </w:tcPr>
                <w:p w14:paraId="7B5555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2</w:t>
                  </w:r>
                </w:p>
              </w:tc>
              <w:tc>
                <w:tcPr>
                  <w:tcW w:w="470" w:type="pct"/>
                  <w:noWrap w:val="0"/>
                  <w:vAlign w:val="center"/>
                </w:tcPr>
                <w:p w14:paraId="2131F61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39.34</w:t>
                  </w:r>
                </w:p>
              </w:tc>
              <w:tc>
                <w:tcPr>
                  <w:tcW w:w="471" w:type="pct"/>
                  <w:noWrap w:val="0"/>
                  <w:vAlign w:val="center"/>
                </w:tcPr>
                <w:p w14:paraId="6DAD6F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39.34</w:t>
                  </w:r>
                </w:p>
              </w:tc>
              <w:tc>
                <w:tcPr>
                  <w:tcW w:w="435" w:type="pct"/>
                  <w:shd w:val="clear" w:color="auto" w:fill="auto"/>
                  <w:noWrap w:val="0"/>
                  <w:vAlign w:val="center"/>
                </w:tcPr>
                <w:p w14:paraId="3E064EC3">
                  <w:pPr>
                    <w:jc w:val="center"/>
                    <w:rPr>
                      <w:rFonts w:hint="eastAsia"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53.3</w:t>
                  </w:r>
                </w:p>
              </w:tc>
              <w:tc>
                <w:tcPr>
                  <w:tcW w:w="463" w:type="pct"/>
                  <w:shd w:val="clear" w:color="auto" w:fill="auto"/>
                  <w:noWrap w:val="0"/>
                  <w:vAlign w:val="center"/>
                </w:tcPr>
                <w:p w14:paraId="06BAA875">
                  <w:pPr>
                    <w:jc w:val="center"/>
                    <w:rPr>
                      <w:rFonts w:hint="eastAsia"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43.7</w:t>
                  </w:r>
                </w:p>
              </w:tc>
              <w:tc>
                <w:tcPr>
                  <w:tcW w:w="682" w:type="pct"/>
                  <w:shd w:val="clear" w:color="auto" w:fill="auto"/>
                  <w:noWrap w:val="0"/>
                  <w:vAlign w:val="center"/>
                </w:tcPr>
                <w:p w14:paraId="54290A1A">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53.47</w:t>
                  </w:r>
                </w:p>
              </w:tc>
              <w:tc>
                <w:tcPr>
                  <w:tcW w:w="682" w:type="pct"/>
                  <w:shd w:val="clear" w:color="auto" w:fill="auto"/>
                  <w:noWrap w:val="0"/>
                  <w:vAlign w:val="center"/>
                </w:tcPr>
                <w:p w14:paraId="219E78A6">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45.05</w:t>
                  </w:r>
                </w:p>
              </w:tc>
              <w:tc>
                <w:tcPr>
                  <w:tcW w:w="323" w:type="pct"/>
                  <w:shd w:val="clear" w:color="auto" w:fill="auto"/>
                  <w:noWrap w:val="0"/>
                  <w:vAlign w:val="center"/>
                </w:tcPr>
                <w:p w14:paraId="229FEC13">
                  <w:pPr>
                    <w:jc w:val="center"/>
                    <w:rPr>
                      <w:rFonts w:hint="eastAsia"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60</w:t>
                  </w:r>
                </w:p>
              </w:tc>
              <w:tc>
                <w:tcPr>
                  <w:tcW w:w="331" w:type="pct"/>
                  <w:shd w:val="clear" w:color="auto" w:fill="auto"/>
                  <w:noWrap w:val="0"/>
                  <w:vAlign w:val="center"/>
                </w:tcPr>
                <w:p w14:paraId="53D42746">
                  <w:pPr>
                    <w:jc w:val="center"/>
                    <w:rPr>
                      <w:rFonts w:hint="eastAsia"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50</w:t>
                  </w:r>
                </w:p>
              </w:tc>
            </w:tr>
            <w:tr w14:paraId="4FF8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pct"/>
                  <w:gridSpan w:val="2"/>
                  <w:vMerge w:val="restart"/>
                  <w:noWrap w:val="0"/>
                  <w:vAlign w:val="center"/>
                </w:tcPr>
                <w:p w14:paraId="206A92D1">
                  <w:pPr>
                    <w:adjustRightInd w:val="0"/>
                    <w:snapToGrid w:val="0"/>
                    <w:jc w:val="center"/>
                    <w:rPr>
                      <w:rFonts w:hint="eastAsia" w:ascii="Times New Roman" w:hAnsi="Times New Roman" w:eastAsia="宋体" w:cs="Times New Roman"/>
                      <w:b w:val="0"/>
                      <w:bCs w:val="0"/>
                      <w:color w:val="000000"/>
                      <w:sz w:val="21"/>
                      <w:szCs w:val="21"/>
                      <w:u w:val="none"/>
                      <w:lang w:eastAsia="zh-CN"/>
                    </w:rPr>
                  </w:pPr>
                  <w:r>
                    <w:rPr>
                      <w:rFonts w:hint="eastAsia" w:cs="Times New Roman"/>
                      <w:b w:val="0"/>
                      <w:bCs w:val="0"/>
                      <w:color w:val="000000"/>
                      <w:sz w:val="21"/>
                      <w:szCs w:val="21"/>
                      <w:u w:val="none"/>
                      <w:lang w:val="en-US" w:eastAsia="zh-CN"/>
                    </w:rPr>
                    <w:t>敏感目标</w:t>
                  </w:r>
                  <w:r>
                    <w:rPr>
                      <w:rFonts w:hint="eastAsia" w:ascii="Times New Roman" w:hAnsi="Times New Roman" w:eastAsia="宋体" w:cs="Times New Roman"/>
                      <w:b w:val="0"/>
                      <w:bCs w:val="0"/>
                      <w:color w:val="000000"/>
                      <w:sz w:val="21"/>
                      <w:szCs w:val="21"/>
                      <w:u w:val="none"/>
                      <w:lang w:val="en-US" w:eastAsia="zh-CN"/>
                    </w:rPr>
                    <w:t>最近</w:t>
                  </w:r>
                  <w:r>
                    <w:rPr>
                      <w:rFonts w:hint="eastAsia" w:ascii="Times New Roman" w:hAnsi="Times New Roman" w:eastAsia="宋体" w:cs="Times New Roman"/>
                      <w:b w:val="0"/>
                      <w:bCs w:val="0"/>
                      <w:color w:val="000000"/>
                      <w:sz w:val="21"/>
                      <w:szCs w:val="21"/>
                      <w:u w:val="none"/>
                    </w:rPr>
                    <w:t>厂界距离</w:t>
                  </w:r>
                  <w:r>
                    <w:rPr>
                      <w:rFonts w:hint="eastAsia" w:ascii="Times New Roman" w:hAnsi="Times New Roman" w:eastAsia="宋体" w:cs="Times New Roman"/>
                      <w:b w:val="0"/>
                      <w:bCs w:val="0"/>
                      <w:color w:val="000000"/>
                      <w:sz w:val="21"/>
                      <w:szCs w:val="21"/>
                      <w:u w:val="none"/>
                      <w:lang w:eastAsia="zh-CN"/>
                    </w:rPr>
                    <w:t>（</w:t>
                  </w:r>
                  <w:r>
                    <w:rPr>
                      <w:rFonts w:hint="eastAsia" w:ascii="Times New Roman" w:hAnsi="Times New Roman" w:eastAsia="宋体" w:cs="Times New Roman"/>
                      <w:b w:val="0"/>
                      <w:bCs w:val="0"/>
                      <w:color w:val="000000"/>
                      <w:sz w:val="21"/>
                      <w:szCs w:val="21"/>
                      <w:u w:val="none"/>
                      <w:lang w:val="en-US" w:eastAsia="zh-CN"/>
                    </w:rPr>
                    <w:t>m</w:t>
                  </w:r>
                  <w:r>
                    <w:rPr>
                      <w:rFonts w:hint="eastAsia" w:ascii="Times New Roman" w:hAnsi="Times New Roman" w:eastAsia="宋体" w:cs="Times New Roman"/>
                      <w:b w:val="0"/>
                      <w:bCs w:val="0"/>
                      <w:color w:val="000000"/>
                      <w:sz w:val="21"/>
                      <w:szCs w:val="21"/>
                      <w:u w:val="none"/>
                      <w:lang w:eastAsia="zh-CN"/>
                    </w:rPr>
                    <w:t>）</w:t>
                  </w:r>
                </w:p>
              </w:tc>
              <w:tc>
                <w:tcPr>
                  <w:tcW w:w="941" w:type="pct"/>
                  <w:gridSpan w:val="2"/>
                  <w:noWrap w:val="0"/>
                  <w:vAlign w:val="center"/>
                </w:tcPr>
                <w:p w14:paraId="21E4558D">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东南侧居民</w:t>
                  </w:r>
                  <w:r>
                    <w:rPr>
                      <w:rFonts w:hint="eastAsia" w:ascii="Times New Roman" w:hAnsi="Times New Roman" w:eastAsia="宋体" w:cs="Times New Roman"/>
                      <w:b w:val="0"/>
                      <w:bCs w:val="0"/>
                      <w:color w:val="000000"/>
                      <w:sz w:val="21"/>
                      <w:szCs w:val="21"/>
                      <w:u w:val="none"/>
                    </w:rPr>
                    <w:t>噪声贡献值</w:t>
                  </w:r>
                </w:p>
              </w:tc>
              <w:tc>
                <w:tcPr>
                  <w:tcW w:w="898" w:type="pct"/>
                  <w:gridSpan w:val="2"/>
                  <w:noWrap w:val="0"/>
                  <w:vAlign w:val="center"/>
                </w:tcPr>
                <w:p w14:paraId="66F80DFA">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东南侧居民</w:t>
                  </w:r>
                  <w:r>
                    <w:rPr>
                      <w:rFonts w:hint="eastAsia" w:ascii="Times New Roman" w:hAnsi="Times New Roman" w:eastAsia="宋体" w:cs="Times New Roman"/>
                      <w:b w:val="0"/>
                      <w:bCs w:val="0"/>
                      <w:color w:val="000000"/>
                      <w:sz w:val="21"/>
                      <w:szCs w:val="21"/>
                      <w:u w:val="none"/>
                    </w:rPr>
                    <w:t>噪声贡献值</w:t>
                  </w:r>
                </w:p>
              </w:tc>
              <w:tc>
                <w:tcPr>
                  <w:tcW w:w="1365" w:type="pct"/>
                  <w:gridSpan w:val="2"/>
                  <w:noWrap w:val="0"/>
                  <w:vAlign w:val="center"/>
                </w:tcPr>
                <w:p w14:paraId="57612368">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东南侧居民</w:t>
                  </w:r>
                  <w:r>
                    <w:rPr>
                      <w:rFonts w:hint="eastAsia" w:ascii="Times New Roman" w:hAnsi="Times New Roman" w:eastAsia="宋体" w:cs="Times New Roman"/>
                      <w:b w:val="0"/>
                      <w:bCs w:val="0"/>
                      <w:color w:val="000000"/>
                      <w:sz w:val="21"/>
                      <w:szCs w:val="21"/>
                      <w:u w:val="none"/>
                    </w:rPr>
                    <w:t>噪声贡献值噪声预测值（叠加背景噪声）</w:t>
                  </w:r>
                </w:p>
              </w:tc>
              <w:tc>
                <w:tcPr>
                  <w:tcW w:w="655" w:type="pct"/>
                  <w:gridSpan w:val="2"/>
                  <w:noWrap w:val="0"/>
                  <w:vAlign w:val="center"/>
                </w:tcPr>
                <w:p w14:paraId="13577989">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rPr>
                    <w:t>评价标准值</w:t>
                  </w:r>
                </w:p>
              </w:tc>
            </w:tr>
            <w:tr w14:paraId="4DF7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39" w:type="pct"/>
                  <w:gridSpan w:val="2"/>
                  <w:vMerge w:val="continue"/>
                  <w:noWrap w:val="0"/>
                  <w:vAlign w:val="center"/>
                </w:tcPr>
                <w:p w14:paraId="65C63CA6">
                  <w:pPr>
                    <w:adjustRightInd w:val="0"/>
                    <w:snapToGrid w:val="0"/>
                    <w:jc w:val="center"/>
                    <w:rPr>
                      <w:rFonts w:hint="eastAsia" w:ascii="Times New Roman" w:hAnsi="Times New Roman" w:eastAsia="宋体" w:cs="Times New Roman"/>
                      <w:b w:val="0"/>
                      <w:bCs w:val="0"/>
                      <w:color w:val="000000"/>
                      <w:sz w:val="21"/>
                      <w:szCs w:val="21"/>
                      <w:u w:val="none"/>
                    </w:rPr>
                  </w:pPr>
                </w:p>
              </w:tc>
              <w:tc>
                <w:tcPr>
                  <w:tcW w:w="470" w:type="pct"/>
                  <w:noWrap w:val="0"/>
                  <w:vAlign w:val="center"/>
                </w:tcPr>
                <w:p w14:paraId="3F14BD9D">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471" w:type="pct"/>
                  <w:noWrap w:val="0"/>
                  <w:vAlign w:val="center"/>
                </w:tcPr>
                <w:p w14:paraId="5A065115">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435" w:type="pct"/>
                  <w:noWrap w:val="0"/>
                  <w:vAlign w:val="center"/>
                </w:tcPr>
                <w:p w14:paraId="43956F60">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463" w:type="pct"/>
                  <w:noWrap w:val="0"/>
                  <w:vAlign w:val="center"/>
                </w:tcPr>
                <w:p w14:paraId="7F38ED9F">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682" w:type="pct"/>
                  <w:noWrap w:val="0"/>
                  <w:vAlign w:val="center"/>
                </w:tcPr>
                <w:p w14:paraId="407678A6">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682" w:type="pct"/>
                  <w:noWrap w:val="0"/>
                  <w:vAlign w:val="center"/>
                </w:tcPr>
                <w:p w14:paraId="271DCB0C">
                  <w:pPr>
                    <w:adjustRightInd w:val="0"/>
                    <w:snapToGrid w:val="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夜间</w:t>
                  </w:r>
                </w:p>
              </w:tc>
              <w:tc>
                <w:tcPr>
                  <w:tcW w:w="323" w:type="pct"/>
                  <w:noWrap w:val="0"/>
                  <w:vAlign w:val="center"/>
                </w:tcPr>
                <w:p w14:paraId="491AB515">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rPr>
                    <w:t>昼间</w:t>
                  </w:r>
                </w:p>
              </w:tc>
              <w:tc>
                <w:tcPr>
                  <w:tcW w:w="331" w:type="pct"/>
                  <w:noWrap w:val="0"/>
                  <w:vAlign w:val="center"/>
                </w:tcPr>
                <w:p w14:paraId="24CED01C">
                  <w:pPr>
                    <w:adjustRightInd w:val="0"/>
                    <w:snapToGrid w:val="0"/>
                    <w:jc w:val="center"/>
                    <w:rPr>
                      <w:rFonts w:hint="eastAsia" w:ascii="Times New Roman" w:hAnsi="Times New Roman" w:eastAsia="宋体"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lang w:val="en-US" w:eastAsia="zh-CN"/>
                    </w:rPr>
                    <w:t>夜间</w:t>
                  </w:r>
                </w:p>
              </w:tc>
            </w:tr>
            <w:tr w14:paraId="64C0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14:paraId="0C12BF82">
                  <w:pPr>
                    <w:jc w:val="center"/>
                    <w:rPr>
                      <w:rFonts w:hint="eastAsia"/>
                      <w:b w:val="0"/>
                      <w:bCs w:val="0"/>
                      <w:sz w:val="21"/>
                      <w:szCs w:val="21"/>
                      <w:u w:val="none"/>
                    </w:rPr>
                  </w:pPr>
                  <w:r>
                    <w:rPr>
                      <w:rFonts w:hint="eastAsia"/>
                      <w:b w:val="0"/>
                      <w:bCs w:val="0"/>
                      <w:sz w:val="21"/>
                      <w:szCs w:val="21"/>
                      <w:u w:val="none"/>
                    </w:rPr>
                    <w:t>厂界东侧</w:t>
                  </w:r>
                </w:p>
              </w:tc>
              <w:tc>
                <w:tcPr>
                  <w:tcW w:w="290" w:type="pct"/>
                  <w:noWrap w:val="0"/>
                  <w:vAlign w:val="center"/>
                </w:tcPr>
                <w:p w14:paraId="4001B829">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13</w:t>
                  </w:r>
                </w:p>
              </w:tc>
              <w:tc>
                <w:tcPr>
                  <w:tcW w:w="470" w:type="pct"/>
                  <w:noWrap w:val="0"/>
                  <w:vAlign w:val="center"/>
                </w:tcPr>
                <w:p w14:paraId="2A86AA05">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22.78</w:t>
                  </w:r>
                </w:p>
              </w:tc>
              <w:tc>
                <w:tcPr>
                  <w:tcW w:w="471" w:type="pct"/>
                  <w:shd w:val="clear" w:color="auto" w:fill="auto"/>
                  <w:noWrap w:val="0"/>
                  <w:vAlign w:val="center"/>
                </w:tcPr>
                <w:p w14:paraId="241DB5B8">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22.78</w:t>
                  </w:r>
                </w:p>
              </w:tc>
              <w:tc>
                <w:tcPr>
                  <w:tcW w:w="435" w:type="pct"/>
                  <w:noWrap w:val="0"/>
                  <w:vAlign w:val="center"/>
                </w:tcPr>
                <w:p w14:paraId="424DD1CB">
                  <w:pPr>
                    <w:jc w:val="center"/>
                    <w:rPr>
                      <w:rFonts w:hint="default" w:eastAsia="宋体"/>
                      <w:b w:val="0"/>
                      <w:bCs w:val="0"/>
                      <w:sz w:val="21"/>
                      <w:szCs w:val="21"/>
                      <w:u w:val="none"/>
                      <w:lang w:val="en-US" w:eastAsia="zh-CN"/>
                    </w:rPr>
                  </w:pPr>
                  <w:r>
                    <w:rPr>
                      <w:rFonts w:hint="eastAsia"/>
                      <w:b w:val="0"/>
                      <w:bCs w:val="0"/>
                      <w:sz w:val="21"/>
                      <w:szCs w:val="21"/>
                      <w:u w:val="none"/>
                      <w:lang w:val="en-US" w:eastAsia="zh-CN"/>
                    </w:rPr>
                    <w:t>51.7</w:t>
                  </w:r>
                </w:p>
              </w:tc>
              <w:tc>
                <w:tcPr>
                  <w:tcW w:w="463" w:type="pct"/>
                  <w:noWrap w:val="0"/>
                  <w:vAlign w:val="center"/>
                </w:tcPr>
                <w:p w14:paraId="75D01006">
                  <w:pPr>
                    <w:jc w:val="center"/>
                    <w:rPr>
                      <w:rFonts w:hint="default" w:eastAsia="宋体"/>
                      <w:b w:val="0"/>
                      <w:bCs w:val="0"/>
                      <w:sz w:val="21"/>
                      <w:szCs w:val="21"/>
                      <w:u w:val="none"/>
                      <w:lang w:val="en-US" w:eastAsia="zh-CN"/>
                    </w:rPr>
                  </w:pPr>
                  <w:r>
                    <w:rPr>
                      <w:rFonts w:hint="eastAsia"/>
                      <w:b w:val="0"/>
                      <w:bCs w:val="0"/>
                      <w:sz w:val="21"/>
                      <w:szCs w:val="21"/>
                      <w:u w:val="none"/>
                      <w:lang w:val="en-US" w:eastAsia="zh-CN"/>
                    </w:rPr>
                    <w:t>43.2</w:t>
                  </w:r>
                </w:p>
              </w:tc>
              <w:tc>
                <w:tcPr>
                  <w:tcW w:w="682" w:type="pct"/>
                  <w:noWrap w:val="0"/>
                  <w:vAlign w:val="center"/>
                </w:tcPr>
                <w:p w14:paraId="67F38B00">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51.70</w:t>
                  </w:r>
                </w:p>
              </w:tc>
              <w:tc>
                <w:tcPr>
                  <w:tcW w:w="682" w:type="pct"/>
                  <w:noWrap w:val="0"/>
                  <w:vAlign w:val="center"/>
                </w:tcPr>
                <w:p w14:paraId="4CB3B10B">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43.24</w:t>
                  </w:r>
                </w:p>
              </w:tc>
              <w:tc>
                <w:tcPr>
                  <w:tcW w:w="323" w:type="pct"/>
                  <w:shd w:val="clear" w:color="auto" w:fill="auto"/>
                  <w:noWrap w:val="0"/>
                  <w:vAlign w:val="center"/>
                </w:tcPr>
                <w:p w14:paraId="011CC993">
                  <w:pPr>
                    <w:jc w:val="center"/>
                    <w:rPr>
                      <w:rFonts w:hint="default"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60</w:t>
                  </w:r>
                </w:p>
              </w:tc>
              <w:tc>
                <w:tcPr>
                  <w:tcW w:w="331" w:type="pct"/>
                  <w:shd w:val="clear" w:color="auto" w:fill="auto"/>
                  <w:noWrap w:val="0"/>
                  <w:vAlign w:val="center"/>
                </w:tcPr>
                <w:p w14:paraId="249BF4FB">
                  <w:pPr>
                    <w:jc w:val="center"/>
                    <w:rPr>
                      <w:rFonts w:hint="default"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50</w:t>
                  </w:r>
                </w:p>
              </w:tc>
            </w:tr>
            <w:tr w14:paraId="53C2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14:paraId="0B4CA270">
                  <w:pPr>
                    <w:jc w:val="center"/>
                    <w:rPr>
                      <w:rFonts w:hint="eastAsia" w:eastAsia="宋体"/>
                      <w:b w:val="0"/>
                      <w:bCs w:val="0"/>
                      <w:sz w:val="21"/>
                      <w:szCs w:val="21"/>
                      <w:u w:val="none"/>
                      <w:lang w:val="en-US" w:eastAsia="zh-CN"/>
                    </w:rPr>
                  </w:pPr>
                  <w:r>
                    <w:rPr>
                      <w:rFonts w:hint="eastAsia"/>
                      <w:b w:val="0"/>
                      <w:bCs w:val="0"/>
                      <w:sz w:val="21"/>
                      <w:szCs w:val="21"/>
                      <w:u w:val="none"/>
                    </w:rPr>
                    <w:t>厂界</w:t>
                  </w:r>
                  <w:r>
                    <w:rPr>
                      <w:rFonts w:hint="eastAsia"/>
                      <w:b w:val="0"/>
                      <w:bCs w:val="0"/>
                      <w:sz w:val="21"/>
                      <w:szCs w:val="21"/>
                      <w:u w:val="none"/>
                      <w:lang w:val="en-US" w:eastAsia="zh-CN"/>
                    </w:rPr>
                    <w:t>南</w:t>
                  </w:r>
                  <w:r>
                    <w:rPr>
                      <w:rFonts w:hint="eastAsia"/>
                      <w:b w:val="0"/>
                      <w:bCs w:val="0"/>
                      <w:sz w:val="21"/>
                      <w:szCs w:val="21"/>
                      <w:u w:val="none"/>
                    </w:rPr>
                    <w:t>侧</w:t>
                  </w:r>
                </w:p>
              </w:tc>
              <w:tc>
                <w:tcPr>
                  <w:tcW w:w="290" w:type="pct"/>
                  <w:noWrap w:val="0"/>
                  <w:vAlign w:val="center"/>
                </w:tcPr>
                <w:p w14:paraId="7486D05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13</w:t>
                  </w:r>
                </w:p>
              </w:tc>
              <w:tc>
                <w:tcPr>
                  <w:tcW w:w="470" w:type="pct"/>
                  <w:noWrap w:val="0"/>
                  <w:vAlign w:val="center"/>
                </w:tcPr>
                <w:p w14:paraId="6BA9554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23.08</w:t>
                  </w:r>
                </w:p>
              </w:tc>
              <w:tc>
                <w:tcPr>
                  <w:tcW w:w="471" w:type="pct"/>
                  <w:shd w:val="clear" w:color="auto" w:fill="auto"/>
                  <w:noWrap w:val="0"/>
                  <w:vAlign w:val="center"/>
                </w:tcPr>
                <w:p w14:paraId="6700E5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23.08</w:t>
                  </w:r>
                </w:p>
              </w:tc>
              <w:tc>
                <w:tcPr>
                  <w:tcW w:w="435" w:type="pct"/>
                  <w:shd w:val="clear" w:color="auto" w:fill="auto"/>
                  <w:noWrap w:val="0"/>
                  <w:vAlign w:val="center"/>
                </w:tcPr>
                <w:p w14:paraId="79B3F7DF">
                  <w:pPr>
                    <w:jc w:val="center"/>
                    <w:rPr>
                      <w:rFonts w:hint="eastAsia"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51.7</w:t>
                  </w:r>
                </w:p>
              </w:tc>
              <w:tc>
                <w:tcPr>
                  <w:tcW w:w="463" w:type="pct"/>
                  <w:shd w:val="clear" w:color="auto" w:fill="auto"/>
                  <w:noWrap w:val="0"/>
                  <w:vAlign w:val="center"/>
                </w:tcPr>
                <w:p w14:paraId="6AFD58B8">
                  <w:pPr>
                    <w:jc w:val="center"/>
                    <w:rPr>
                      <w:rFonts w:hint="eastAsia" w:ascii="Times New Roman" w:hAnsi="Times New Roman" w:eastAsia="宋体" w:cs="Times New Roman"/>
                      <w:b w:val="0"/>
                      <w:bCs w:val="0"/>
                      <w:kern w:val="2"/>
                      <w:sz w:val="21"/>
                      <w:szCs w:val="21"/>
                      <w:u w:val="none"/>
                      <w:lang w:val="en-US" w:eastAsia="zh-CN" w:bidi="ar-SA"/>
                    </w:rPr>
                  </w:pPr>
                  <w:r>
                    <w:rPr>
                      <w:rFonts w:hint="eastAsia"/>
                      <w:b w:val="0"/>
                      <w:bCs w:val="0"/>
                      <w:sz w:val="21"/>
                      <w:szCs w:val="21"/>
                      <w:u w:val="none"/>
                      <w:lang w:val="en-US" w:eastAsia="zh-CN"/>
                    </w:rPr>
                    <w:t>43.2</w:t>
                  </w:r>
                </w:p>
              </w:tc>
              <w:tc>
                <w:tcPr>
                  <w:tcW w:w="1159" w:type="dxa"/>
                  <w:noWrap w:val="0"/>
                  <w:vAlign w:val="center"/>
                </w:tcPr>
                <w:p w14:paraId="21FEB3C4">
                  <w:pPr>
                    <w:keepNext w:val="0"/>
                    <w:keepLines w:val="0"/>
                    <w:widowControl/>
                    <w:suppressLineNumbers w:val="0"/>
                    <w:jc w:val="center"/>
                    <w:textAlignment w:val="center"/>
                    <w:rPr>
                      <w:rFonts w:hint="default" w:eastAsia="宋体"/>
                      <w:b w:val="0"/>
                      <w:bCs w:val="0"/>
                      <w:sz w:val="21"/>
                      <w:szCs w:val="21"/>
                      <w:u w:val="none"/>
                      <w:lang w:val="en-US" w:eastAsia="zh-CN"/>
                    </w:rPr>
                  </w:pPr>
                  <w:r>
                    <w:rPr>
                      <w:rFonts w:hint="eastAsia"/>
                      <w:b w:val="0"/>
                      <w:bCs w:val="0"/>
                      <w:sz w:val="21"/>
                      <w:szCs w:val="21"/>
                      <w:u w:val="none"/>
                      <w:lang w:val="en-US" w:eastAsia="zh-CN"/>
                    </w:rPr>
                    <w:t>51.70</w:t>
                  </w:r>
                </w:p>
              </w:tc>
              <w:tc>
                <w:tcPr>
                  <w:tcW w:w="1160" w:type="dxa"/>
                  <w:noWrap w:val="0"/>
                  <w:vAlign w:val="center"/>
                </w:tcPr>
                <w:p w14:paraId="41D18967">
                  <w:pPr>
                    <w:keepNext w:val="0"/>
                    <w:keepLines w:val="0"/>
                    <w:widowControl/>
                    <w:suppressLineNumbers w:val="0"/>
                    <w:jc w:val="center"/>
                    <w:textAlignment w:val="center"/>
                    <w:rPr>
                      <w:rFonts w:hint="eastAsia" w:eastAsia="宋体"/>
                      <w:b w:val="0"/>
                      <w:bCs w:val="0"/>
                      <w:sz w:val="21"/>
                      <w:szCs w:val="21"/>
                      <w:u w:val="none"/>
                      <w:lang w:val="en-US" w:eastAsia="zh-CN"/>
                    </w:rPr>
                  </w:pPr>
                  <w:r>
                    <w:rPr>
                      <w:rFonts w:hint="eastAsia"/>
                      <w:b w:val="0"/>
                      <w:bCs w:val="0"/>
                      <w:sz w:val="21"/>
                      <w:szCs w:val="21"/>
                      <w:u w:val="none"/>
                      <w:lang w:val="en-US" w:eastAsia="zh-CN"/>
                    </w:rPr>
                    <w:t>43.24</w:t>
                  </w:r>
                </w:p>
              </w:tc>
              <w:tc>
                <w:tcPr>
                  <w:tcW w:w="323" w:type="pct"/>
                  <w:shd w:val="clear" w:color="auto" w:fill="auto"/>
                  <w:noWrap w:val="0"/>
                  <w:vAlign w:val="center"/>
                </w:tcPr>
                <w:p w14:paraId="4AAD4548">
                  <w:pPr>
                    <w:jc w:val="center"/>
                    <w:rPr>
                      <w:rFonts w:hint="eastAsia"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60</w:t>
                  </w:r>
                </w:p>
              </w:tc>
              <w:tc>
                <w:tcPr>
                  <w:tcW w:w="331" w:type="pct"/>
                  <w:shd w:val="clear" w:color="auto" w:fill="auto"/>
                  <w:noWrap w:val="0"/>
                  <w:vAlign w:val="center"/>
                </w:tcPr>
                <w:p w14:paraId="248E12F3">
                  <w:pPr>
                    <w:jc w:val="center"/>
                    <w:rPr>
                      <w:rFonts w:hint="eastAsia" w:ascii="Times New Roman" w:hAnsi="Times New Roman" w:eastAsia="宋体" w:cs="Times New Roman"/>
                      <w:b w:val="0"/>
                      <w:bCs w:val="0"/>
                      <w:kern w:val="2"/>
                      <w:sz w:val="21"/>
                      <w:szCs w:val="21"/>
                      <w:u w:val="none"/>
                      <w:lang w:val="en-US" w:eastAsia="zh-CN" w:bidi="ar-SA"/>
                    </w:rPr>
                  </w:pPr>
                  <w:r>
                    <w:rPr>
                      <w:rFonts w:hint="eastAsia" w:eastAsia="宋体"/>
                      <w:b w:val="0"/>
                      <w:bCs w:val="0"/>
                      <w:sz w:val="21"/>
                      <w:szCs w:val="21"/>
                      <w:u w:val="none"/>
                      <w:lang w:val="en-US" w:eastAsia="zh-CN"/>
                    </w:rPr>
                    <w:t>50</w:t>
                  </w:r>
                </w:p>
              </w:tc>
            </w:tr>
          </w:tbl>
          <w:p w14:paraId="60441569">
            <w:pPr>
              <w:pStyle w:val="118"/>
              <w:wordWrap w:val="0"/>
              <w:topLinePunct/>
              <w:spacing w:line="360" w:lineRule="auto"/>
              <w:ind w:firstLine="480" w:firstLineChars="200"/>
              <w:jc w:val="both"/>
              <w:rPr>
                <w:rFonts w:ascii="Times New Roman" w:hAnsi="Times New Roman" w:eastAsia="宋体" w:cs="Times New Roman"/>
                <w:szCs w:val="21"/>
                <w:lang w:val="zh-CN"/>
              </w:rPr>
            </w:pPr>
            <w:r>
              <w:rPr>
                <w:rFonts w:hint="eastAsia" w:ascii="Times New Roman" w:hAnsi="Times New Roman" w:eastAsia="宋体" w:cs="Times New Roman"/>
                <w:szCs w:val="21"/>
                <w:lang w:val="zh-CN"/>
              </w:rPr>
              <w:t>由上表可知：项目厂界50m范围内声环境保护目标（东南侧居民</w:t>
            </w:r>
            <w:r>
              <w:rPr>
                <w:rFonts w:hint="eastAsia" w:ascii="Times New Roman" w:hAnsi="Times New Roman" w:eastAsia="宋体" w:cs="Times New Roman"/>
                <w:szCs w:val="21"/>
                <w:lang w:val="en-US" w:eastAsia="zh-CN"/>
              </w:rPr>
              <w:t>点、东北侧居民点</w:t>
            </w:r>
            <w:r>
              <w:rPr>
                <w:rFonts w:hint="eastAsia" w:ascii="Times New Roman" w:hAnsi="Times New Roman" w:eastAsia="宋体" w:cs="Times New Roman"/>
                <w:szCs w:val="21"/>
                <w:lang w:val="zh-CN"/>
              </w:rPr>
              <w:t>）噪声贡献值及预测值昼间</w:t>
            </w:r>
            <w:r>
              <w:rPr>
                <w:rFonts w:hint="eastAsia" w:cs="Times New Roman"/>
                <w:szCs w:val="21"/>
                <w:lang w:val="zh-CN"/>
              </w:rPr>
              <w:t>、</w:t>
            </w:r>
            <w:r>
              <w:rPr>
                <w:rFonts w:hint="eastAsia" w:cs="Times New Roman"/>
                <w:szCs w:val="21"/>
                <w:lang w:val="en-US" w:eastAsia="zh-CN"/>
              </w:rPr>
              <w:t>夜间</w:t>
            </w:r>
            <w:r>
              <w:rPr>
                <w:rFonts w:hint="eastAsia" w:ascii="Times New Roman" w:hAnsi="Times New Roman" w:eastAsia="宋体" w:cs="Times New Roman"/>
                <w:szCs w:val="21"/>
                <w:lang w:val="zh-CN"/>
              </w:rPr>
              <w:t>可达到《声环境质量标准》（GB 3096-2008）2类区标准。</w:t>
            </w:r>
          </w:p>
          <w:p w14:paraId="39CFD9E2">
            <w:pPr>
              <w:pStyle w:val="118"/>
              <w:wordWrap w:val="0"/>
              <w:topLinePunct/>
              <w:spacing w:line="360" w:lineRule="auto"/>
              <w:ind w:firstLine="480" w:firstLineChars="200"/>
              <w:jc w:val="both"/>
              <w:rPr>
                <w:bCs/>
              </w:rPr>
            </w:pPr>
            <w:r>
              <w:t>为降低项目营运时噪声对周边声环境的影响，项目应加强管理，采取切实有效的降噪措施：</w:t>
            </w:r>
          </w:p>
          <w:p w14:paraId="0CBC73A3">
            <w:pPr>
              <w:pStyle w:val="118"/>
              <w:spacing w:line="360" w:lineRule="auto"/>
              <w:rPr>
                <w:bCs/>
              </w:rPr>
            </w:pPr>
            <w:r>
              <w:rPr>
                <w:bCs/>
              </w:rPr>
              <w:t>为尽可能降低噪声对周围环境的影响，应从以下几个方面入手：</w:t>
            </w:r>
          </w:p>
          <w:p w14:paraId="5E7FC33A">
            <w:pPr>
              <w:pStyle w:val="118"/>
              <w:spacing w:line="360" w:lineRule="auto"/>
              <w:rPr>
                <w:bCs/>
              </w:rPr>
            </w:pPr>
            <w:r>
              <w:rPr>
                <w:bCs/>
              </w:rPr>
              <w:t>①尽可能提高工艺自动控制水平，减少工人直接接触高噪声设备时间。</w:t>
            </w:r>
          </w:p>
          <w:p w14:paraId="403DB749">
            <w:pPr>
              <w:pStyle w:val="118"/>
              <w:spacing w:line="360" w:lineRule="auto"/>
              <w:rPr>
                <w:bCs/>
              </w:rPr>
            </w:pPr>
            <w:r>
              <w:rPr>
                <w:bCs/>
              </w:rPr>
              <w:t>②建立设备定期维护、保养的管理制度，以防止设备故障形成的非正常生产噪声，同时确保环保措施发挥最有效的功能。</w:t>
            </w:r>
          </w:p>
          <w:p w14:paraId="3F1AB8A0">
            <w:pPr>
              <w:spacing w:line="360" w:lineRule="auto"/>
              <w:ind w:firstLine="480" w:firstLineChars="200"/>
              <w:rPr>
                <w:bCs/>
                <w:sz w:val="24"/>
              </w:rPr>
            </w:pPr>
            <w:r>
              <w:rPr>
                <w:bCs/>
                <w:sz w:val="24"/>
              </w:rPr>
              <w:t>③安排在昼间进行生产，夜间禁止生产。</w:t>
            </w:r>
          </w:p>
          <w:p w14:paraId="06304089">
            <w:pPr>
              <w:pStyle w:val="118"/>
              <w:spacing w:line="360" w:lineRule="auto"/>
            </w:pPr>
            <w:r>
              <w:rPr>
                <w:bCs/>
              </w:rPr>
              <w:t>本项目</w:t>
            </w:r>
            <w:r>
              <w:t>厂房</w:t>
            </w:r>
            <w:r>
              <w:rPr>
                <w:bCs/>
              </w:rPr>
              <w:t>布局较为合理、规范，主要噪声设备居于</w:t>
            </w:r>
            <w:r>
              <w:rPr>
                <w:rFonts w:hint="eastAsia"/>
                <w:lang w:val="en-US" w:eastAsia="zh-CN"/>
              </w:rPr>
              <w:t>站区</w:t>
            </w:r>
            <w:r>
              <w:rPr>
                <w:bCs/>
              </w:rPr>
              <w:t>中部、</w:t>
            </w:r>
            <w:r>
              <w:rPr>
                <w:rFonts w:hint="eastAsia"/>
                <w:bCs/>
                <w:lang w:val="en-US" w:eastAsia="zh-CN"/>
              </w:rPr>
              <w:t>动</w:t>
            </w:r>
            <w:r>
              <w:rPr>
                <w:bCs/>
              </w:rPr>
              <w:t>部，项目通过</w:t>
            </w:r>
            <w:r>
              <w:rPr>
                <w:szCs w:val="21"/>
              </w:rPr>
              <w:t>消声、隔声、减振措施，并</w:t>
            </w:r>
            <w:r>
              <w:rPr>
                <w:rFonts w:hint="eastAsia"/>
                <w:szCs w:val="21"/>
                <w:lang w:val="en-US" w:eastAsia="zh-CN"/>
              </w:rPr>
              <w:t>加强</w:t>
            </w:r>
            <w:r>
              <w:rPr>
                <w:szCs w:val="21"/>
              </w:rPr>
              <w:t>绿化</w:t>
            </w:r>
            <w:r>
              <w:rPr>
                <w:szCs w:val="32"/>
              </w:rPr>
              <w:t>后</w:t>
            </w:r>
            <w:r>
              <w:rPr>
                <w:rFonts w:hint="eastAsia"/>
                <w:szCs w:val="32"/>
                <w:lang w:eastAsia="zh-CN"/>
              </w:rPr>
              <w:t>，</w:t>
            </w:r>
            <w:r>
              <w:rPr>
                <w:szCs w:val="32"/>
              </w:rPr>
              <w:t>根据噪声预测结果</w:t>
            </w:r>
            <w:r>
              <w:rPr>
                <w:bCs/>
              </w:rPr>
              <w:t>，本项目噪声对其周围环境影响不大。</w:t>
            </w:r>
          </w:p>
          <w:p w14:paraId="0BA71506">
            <w:pPr>
              <w:spacing w:line="360" w:lineRule="auto"/>
              <w:ind w:left="420"/>
              <w:rPr>
                <w:sz w:val="24"/>
              </w:rPr>
            </w:pPr>
            <w:r>
              <w:rPr>
                <w:kern w:val="0"/>
                <w:sz w:val="24"/>
              </w:rPr>
              <w:t>（</w:t>
            </w:r>
            <w:r>
              <w:rPr>
                <w:rFonts w:hint="eastAsia"/>
                <w:kern w:val="0"/>
                <w:sz w:val="24"/>
                <w:lang w:val="en-US" w:eastAsia="zh-CN"/>
              </w:rPr>
              <w:t>4</w:t>
            </w:r>
            <w:r>
              <w:rPr>
                <w:kern w:val="0"/>
                <w:sz w:val="24"/>
              </w:rPr>
              <w:t>）</w:t>
            </w:r>
            <w:r>
              <w:rPr>
                <w:sz w:val="24"/>
              </w:rPr>
              <w:t>噪声污染源监测</w:t>
            </w:r>
          </w:p>
          <w:p w14:paraId="549FD01A">
            <w:pPr>
              <w:spacing w:line="360" w:lineRule="auto"/>
              <w:ind w:firstLine="480" w:firstLineChars="200"/>
              <w:rPr>
                <w:sz w:val="24"/>
              </w:rPr>
            </w:pPr>
            <w:r>
              <w:rPr>
                <w:sz w:val="24"/>
              </w:rPr>
              <w:t>依据《排污单位自行监测技术指南 总则》（HJ 819-2017）、《排污单位自行监测技术指南 储油库、加油站》（HJ1249-2022），建议项目运营期噪声污染源监测计划如下表。</w:t>
            </w:r>
          </w:p>
          <w:p w14:paraId="51269C33">
            <w:pPr>
              <w:adjustRightInd w:val="0"/>
              <w:snapToGrid w:val="0"/>
              <w:ind w:firstLine="482" w:firstLineChars="200"/>
              <w:jc w:val="center"/>
              <w:rPr>
                <w:b/>
                <w:sz w:val="24"/>
                <w:szCs w:val="24"/>
              </w:rPr>
            </w:pPr>
            <w:r>
              <w:rPr>
                <w:b/>
                <w:sz w:val="24"/>
                <w:szCs w:val="24"/>
              </w:rPr>
              <w:t>表4-1</w:t>
            </w:r>
            <w:r>
              <w:rPr>
                <w:rFonts w:hint="eastAsia"/>
                <w:b/>
                <w:sz w:val="24"/>
                <w:szCs w:val="24"/>
                <w:lang w:val="en-US" w:eastAsia="zh-CN"/>
              </w:rPr>
              <w:t>6</w:t>
            </w:r>
            <w:r>
              <w:rPr>
                <w:b/>
                <w:sz w:val="24"/>
                <w:szCs w:val="24"/>
              </w:rPr>
              <w:t xml:space="preserve"> 噪声监测点位、昼间</w:t>
            </w:r>
            <w:r>
              <w:rPr>
                <w:rFonts w:hint="eastAsia"/>
                <w:b/>
                <w:sz w:val="24"/>
                <w:szCs w:val="24"/>
                <w:lang w:eastAsia="zh-CN"/>
              </w:rPr>
              <w:t>、</w:t>
            </w:r>
            <w:r>
              <w:rPr>
                <w:rFonts w:hint="eastAsia"/>
                <w:b/>
                <w:sz w:val="24"/>
                <w:szCs w:val="24"/>
                <w:lang w:val="en-US" w:eastAsia="zh-CN"/>
              </w:rPr>
              <w:t>夜间</w:t>
            </w:r>
            <w:r>
              <w:rPr>
                <w:b/>
                <w:sz w:val="24"/>
                <w:szCs w:val="24"/>
              </w:rPr>
              <w:t>监测指标及最低监测频次一览表</w:t>
            </w:r>
          </w:p>
          <w:tbl>
            <w:tblPr>
              <w:tblStyle w:val="51"/>
              <w:tblW w:w="4998"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14"/>
              <w:gridCol w:w="2633"/>
              <w:gridCol w:w="2474"/>
              <w:gridCol w:w="1771"/>
            </w:tblGrid>
            <w:tr w14:paraId="0479E4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950" w:type="pct"/>
                  <w:vAlign w:val="center"/>
                </w:tcPr>
                <w:p w14:paraId="430BAD5D">
                  <w:pPr>
                    <w:snapToGrid w:val="0"/>
                    <w:jc w:val="center"/>
                    <w:rPr>
                      <w:b/>
                      <w:szCs w:val="21"/>
                    </w:rPr>
                  </w:pPr>
                  <w:r>
                    <w:rPr>
                      <w:b/>
                      <w:szCs w:val="21"/>
                    </w:rPr>
                    <w:t>监测类别</w:t>
                  </w:r>
                </w:p>
              </w:tc>
              <w:tc>
                <w:tcPr>
                  <w:tcW w:w="1550" w:type="pct"/>
                  <w:vAlign w:val="center"/>
                </w:tcPr>
                <w:p w14:paraId="5D4ACBC4">
                  <w:pPr>
                    <w:snapToGrid w:val="0"/>
                    <w:jc w:val="center"/>
                    <w:rPr>
                      <w:b/>
                      <w:szCs w:val="21"/>
                    </w:rPr>
                  </w:pPr>
                  <w:r>
                    <w:rPr>
                      <w:b/>
                      <w:szCs w:val="21"/>
                    </w:rPr>
                    <w:t>监测点</w:t>
                  </w:r>
                </w:p>
              </w:tc>
              <w:tc>
                <w:tcPr>
                  <w:tcW w:w="1456" w:type="pct"/>
                  <w:vAlign w:val="center"/>
                </w:tcPr>
                <w:p w14:paraId="2D024677">
                  <w:pPr>
                    <w:snapToGrid w:val="0"/>
                    <w:jc w:val="center"/>
                    <w:rPr>
                      <w:b/>
                      <w:szCs w:val="21"/>
                    </w:rPr>
                  </w:pPr>
                  <w:r>
                    <w:rPr>
                      <w:b/>
                      <w:szCs w:val="21"/>
                    </w:rPr>
                    <w:t>监测内容</w:t>
                  </w:r>
                </w:p>
              </w:tc>
              <w:tc>
                <w:tcPr>
                  <w:tcW w:w="1042" w:type="pct"/>
                  <w:vAlign w:val="center"/>
                </w:tcPr>
                <w:p w14:paraId="7D71403E">
                  <w:pPr>
                    <w:snapToGrid w:val="0"/>
                    <w:jc w:val="center"/>
                    <w:rPr>
                      <w:b/>
                      <w:szCs w:val="21"/>
                    </w:rPr>
                  </w:pPr>
                  <w:r>
                    <w:rPr>
                      <w:b/>
                      <w:szCs w:val="21"/>
                    </w:rPr>
                    <w:t>监测频率</w:t>
                  </w:r>
                </w:p>
              </w:tc>
            </w:tr>
            <w:tr w14:paraId="40D07E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950" w:type="pct"/>
                  <w:vAlign w:val="center"/>
                </w:tcPr>
                <w:p w14:paraId="10787236">
                  <w:pPr>
                    <w:snapToGrid w:val="0"/>
                    <w:jc w:val="center"/>
                    <w:rPr>
                      <w:szCs w:val="21"/>
                    </w:rPr>
                  </w:pPr>
                  <w:r>
                    <w:rPr>
                      <w:szCs w:val="21"/>
                    </w:rPr>
                    <w:t>噪声</w:t>
                  </w:r>
                </w:p>
              </w:tc>
              <w:tc>
                <w:tcPr>
                  <w:tcW w:w="1550" w:type="pct"/>
                  <w:vAlign w:val="center"/>
                </w:tcPr>
                <w:p w14:paraId="5B0402EE">
                  <w:pPr>
                    <w:pStyle w:val="71"/>
                    <w:jc w:val="center"/>
                    <w:rPr>
                      <w:rFonts w:hint="eastAsia"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厂界东、南、西、北厂界外1</w:t>
                  </w:r>
                  <w:r>
                    <w:rPr>
                      <w:rFonts w:hint="eastAsia" w:ascii="Times New Roman" w:hAnsi="Times New Roman" w:cs="Times New Roman"/>
                      <w:color w:val="auto"/>
                      <w:sz w:val="21"/>
                      <w:szCs w:val="21"/>
                      <w:lang w:val="en-US" w:eastAsia="zh-CN"/>
                    </w:rPr>
                    <w:t>m</w:t>
                  </w:r>
                </w:p>
              </w:tc>
              <w:tc>
                <w:tcPr>
                  <w:tcW w:w="1456" w:type="pct"/>
                  <w:vAlign w:val="center"/>
                </w:tcPr>
                <w:p w14:paraId="032E0E0C">
                  <w:pPr>
                    <w:snapToGrid w:val="0"/>
                    <w:jc w:val="center"/>
                    <w:rPr>
                      <w:szCs w:val="21"/>
                    </w:rPr>
                  </w:pPr>
                  <w:r>
                    <w:rPr>
                      <w:szCs w:val="21"/>
                    </w:rPr>
                    <w:t>等效连续A声级</w:t>
                  </w:r>
                </w:p>
              </w:tc>
              <w:tc>
                <w:tcPr>
                  <w:tcW w:w="1042" w:type="pct"/>
                  <w:vAlign w:val="center"/>
                </w:tcPr>
                <w:p w14:paraId="09C1AFEF">
                  <w:pPr>
                    <w:pStyle w:val="71"/>
                    <w:ind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1次/季度</w:t>
                  </w:r>
                </w:p>
              </w:tc>
            </w:tr>
          </w:tbl>
          <w:p w14:paraId="0C282C7F">
            <w:pPr>
              <w:spacing w:line="360" w:lineRule="auto"/>
              <w:ind w:left="420"/>
              <w:rPr>
                <w:rFonts w:hint="default"/>
                <w:kern w:val="0"/>
                <w:sz w:val="24"/>
                <w:u w:val="single"/>
                <w:lang w:val="en-US" w:eastAsia="zh-CN"/>
              </w:rPr>
            </w:pPr>
            <w:r>
              <w:rPr>
                <w:rFonts w:hint="eastAsia"/>
                <w:kern w:val="0"/>
                <w:sz w:val="24"/>
                <w:u w:val="single"/>
                <w:lang w:val="en-US" w:eastAsia="zh-CN"/>
              </w:rPr>
              <w:t>（5）营运期过往车辆噪声对周边的影响分析</w:t>
            </w:r>
          </w:p>
          <w:p w14:paraId="7780F88D">
            <w:pPr>
              <w:pStyle w:val="163"/>
              <w:spacing w:line="360" w:lineRule="auto"/>
              <w:ind w:firstLine="472" w:firstLineChars="200"/>
              <w:jc w:val="left"/>
              <w:rPr>
                <w:rFonts w:hint="default" w:ascii="Times New Roman" w:hAnsi="Times New Roman" w:eastAsia="宋体" w:cs="Times New Roman"/>
                <w:b w:val="0"/>
                <w:bCs/>
                <w:spacing w:val="-2"/>
                <w:kern w:val="2"/>
                <w:sz w:val="24"/>
                <w:szCs w:val="21"/>
                <w:u w:val="single"/>
                <w:lang w:val="en-US" w:eastAsia="zh-CN" w:bidi="ar-SA"/>
              </w:rPr>
            </w:pPr>
            <w:r>
              <w:rPr>
                <w:rFonts w:hint="eastAsia" w:ascii="Times New Roman" w:hAnsi="Times New Roman" w:eastAsia="宋体" w:cs="Times New Roman"/>
                <w:b w:val="0"/>
                <w:bCs/>
                <w:spacing w:val="-2"/>
                <w:kern w:val="2"/>
                <w:sz w:val="24"/>
                <w:szCs w:val="21"/>
                <w:u w:val="single"/>
                <w:lang w:val="en-US" w:eastAsia="zh-CN" w:bidi="ar-SA"/>
              </w:rPr>
              <w:t>项目营运期车辆在进出站时</w:t>
            </w:r>
            <w:r>
              <w:rPr>
                <w:rFonts w:hint="eastAsia" w:ascii="Times New Roman" w:eastAsia="宋体" w:cs="Times New Roman"/>
                <w:b w:val="0"/>
                <w:bCs/>
                <w:spacing w:val="-2"/>
                <w:kern w:val="2"/>
                <w:sz w:val="24"/>
                <w:szCs w:val="21"/>
                <w:u w:val="single"/>
                <w:lang w:val="en-US" w:eastAsia="zh-CN" w:bidi="ar-SA"/>
              </w:rPr>
              <w:t>将</w:t>
            </w:r>
            <w:r>
              <w:rPr>
                <w:rFonts w:hint="eastAsia" w:ascii="Times New Roman" w:hAnsi="Times New Roman" w:eastAsia="宋体" w:cs="Times New Roman"/>
                <w:b w:val="0"/>
                <w:bCs/>
                <w:spacing w:val="-2"/>
                <w:kern w:val="2"/>
                <w:sz w:val="24"/>
                <w:szCs w:val="21"/>
                <w:u w:val="single"/>
                <w:lang w:val="en-US" w:eastAsia="zh-CN" w:bidi="ar-SA"/>
              </w:rPr>
              <w:t>产生的交通噪声</w:t>
            </w:r>
            <w:r>
              <w:rPr>
                <w:rFonts w:hint="eastAsia" w:ascii="Times New Roman" w:eastAsia="宋体" w:cs="Times New Roman"/>
                <w:b w:val="0"/>
                <w:bCs/>
                <w:spacing w:val="-2"/>
                <w:kern w:val="2"/>
                <w:sz w:val="24"/>
                <w:szCs w:val="21"/>
                <w:u w:val="single"/>
                <w:lang w:val="en-US" w:eastAsia="zh-CN" w:bidi="ar-SA"/>
              </w:rPr>
              <w:t>，</w:t>
            </w:r>
            <w:r>
              <w:rPr>
                <w:rFonts w:hint="eastAsia" w:ascii="Times New Roman" w:hAnsi="Times New Roman" w:eastAsia="宋体" w:cs="Times New Roman"/>
                <w:b w:val="0"/>
                <w:bCs/>
                <w:spacing w:val="-2"/>
                <w:kern w:val="2"/>
                <w:sz w:val="24"/>
                <w:szCs w:val="21"/>
                <w:u w:val="single"/>
                <w:lang w:val="en-US" w:eastAsia="zh-CN" w:bidi="ar-SA"/>
              </w:rPr>
              <w:t>由于进站车辆噪声为间断性产生，汽车进站加油时需关闭发动机，因此车辆噪声主要反映在驶进站过程和驶离站过程，</w:t>
            </w:r>
            <w:r>
              <w:rPr>
                <w:rFonts w:hint="eastAsia" w:ascii="Times New Roman" w:eastAsia="宋体" w:cs="Times New Roman"/>
                <w:b w:val="0"/>
                <w:bCs/>
                <w:spacing w:val="-2"/>
                <w:kern w:val="2"/>
                <w:sz w:val="24"/>
                <w:szCs w:val="21"/>
                <w:u w:val="single"/>
                <w:lang w:val="en-US" w:eastAsia="zh-CN" w:bidi="ar-SA"/>
              </w:rPr>
              <w:t>项目在</w:t>
            </w:r>
            <w:r>
              <w:rPr>
                <w:rFonts w:hint="eastAsia" w:ascii="Times New Roman" w:hAnsi="Times New Roman" w:eastAsia="宋体" w:cs="Times New Roman"/>
                <w:b w:val="0"/>
                <w:bCs/>
                <w:spacing w:val="-2"/>
                <w:kern w:val="2"/>
                <w:sz w:val="24"/>
                <w:szCs w:val="21"/>
                <w:u w:val="single"/>
                <w:lang w:val="en-US" w:eastAsia="zh-CN" w:bidi="ar-SA"/>
              </w:rPr>
              <w:t>进出站口均设置减速标志，车辆行驶速度较慢，其噪声源强较低，因此预计加油站车辆噪声不会造成噪声扰民</w:t>
            </w:r>
            <w:r>
              <w:rPr>
                <w:rFonts w:hint="eastAsia" w:ascii="Times New Roman" w:eastAsia="宋体" w:cs="Times New Roman"/>
                <w:b w:val="0"/>
                <w:bCs/>
                <w:spacing w:val="-2"/>
                <w:kern w:val="2"/>
                <w:sz w:val="24"/>
                <w:szCs w:val="21"/>
                <w:u w:val="single"/>
                <w:lang w:val="en-US" w:eastAsia="zh-CN" w:bidi="ar-SA"/>
              </w:rPr>
              <w:t>，且加油站厂界与东北、东南侧居民设置了围挡墙，对周边声环境影响较小。</w:t>
            </w:r>
          </w:p>
          <w:p w14:paraId="0F203EEE">
            <w:pPr>
              <w:spacing w:line="360" w:lineRule="auto"/>
              <w:rPr>
                <w:rFonts w:hint="default" w:eastAsia="宋体"/>
                <w:sz w:val="24"/>
                <w:szCs w:val="32"/>
                <w:lang w:val="en-US" w:eastAsia="zh-CN"/>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8</w:t>
            </w:r>
            <w:r>
              <w:rPr>
                <w:rFonts w:hint="eastAsia" w:ascii="Times New Roman" w:hAnsi="Times New Roman" w:eastAsia="宋体" w:cs="Times New Roman"/>
                <w:b/>
                <w:bCs/>
                <w:kern w:val="2"/>
                <w:sz w:val="24"/>
                <w:szCs w:val="24"/>
                <w:lang w:val="en-US" w:eastAsia="zh-CN" w:bidi="ar-SA"/>
              </w:rPr>
              <w:t xml:space="preserve"> </w:t>
            </w:r>
            <w:r>
              <w:rPr>
                <w:rFonts w:hint="eastAsia" w:cs="Times New Roman"/>
                <w:b/>
                <w:bCs/>
                <w:kern w:val="2"/>
                <w:sz w:val="24"/>
                <w:szCs w:val="24"/>
                <w:lang w:val="en-US" w:eastAsia="zh-CN" w:bidi="ar-SA"/>
              </w:rPr>
              <w:t>固体废物</w:t>
            </w:r>
          </w:p>
          <w:p w14:paraId="67BA8F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32"/>
                <w:u w:val="single"/>
              </w:rPr>
            </w:pPr>
            <w:r>
              <w:rPr>
                <w:color w:val="auto"/>
                <w:sz w:val="24"/>
                <w:szCs w:val="32"/>
                <w:u w:val="single"/>
              </w:rPr>
              <w:t>本项目固废主要为生活垃圾、储罐油泥、隔油沉淀池油泥、含油消防沙</w:t>
            </w:r>
            <w:r>
              <w:rPr>
                <w:rFonts w:hint="eastAsia"/>
                <w:color w:val="auto"/>
                <w:sz w:val="24"/>
                <w:szCs w:val="32"/>
                <w:u w:val="single"/>
              </w:rPr>
              <w:t>、</w:t>
            </w:r>
            <w:r>
              <w:rPr>
                <w:color w:val="auto"/>
                <w:sz w:val="24"/>
                <w:szCs w:val="32"/>
                <w:u w:val="single"/>
              </w:rPr>
              <w:t>含油抹布和手套等。</w:t>
            </w:r>
          </w:p>
          <w:p w14:paraId="4164F0C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u w:val="single"/>
                <w:lang w:val="en-US" w:eastAsia="zh-CN" w:bidi="ar-SA"/>
              </w:rPr>
            </w:pPr>
            <w:r>
              <w:rPr>
                <w:rFonts w:hint="eastAsia" w:ascii="Times New Roman" w:hAnsi="Times New Roman" w:eastAsia="宋体" w:cs="Times New Roman"/>
                <w:b/>
                <w:bCs/>
                <w:kern w:val="2"/>
                <w:sz w:val="24"/>
                <w:szCs w:val="24"/>
                <w:u w:val="single"/>
                <w:lang w:val="en-US" w:eastAsia="zh-CN" w:bidi="ar-SA"/>
              </w:rPr>
              <w:t xml:space="preserve">4.8.1 </w:t>
            </w:r>
            <w:r>
              <w:rPr>
                <w:rFonts w:hint="eastAsia" w:cs="Times New Roman"/>
                <w:b/>
                <w:bCs/>
                <w:kern w:val="2"/>
                <w:sz w:val="24"/>
                <w:szCs w:val="24"/>
                <w:u w:val="single"/>
                <w:lang w:val="en-US" w:eastAsia="zh-CN" w:bidi="ar-SA"/>
              </w:rPr>
              <w:t>危险废物</w:t>
            </w:r>
          </w:p>
          <w:p w14:paraId="32FC7104">
            <w:pPr>
              <w:pStyle w:val="1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color w:val="auto"/>
                <w:sz w:val="24"/>
                <w:szCs w:val="32"/>
                <w:u w:val="single"/>
              </w:rPr>
            </w:pPr>
            <w:r>
              <w:rPr>
                <w:rFonts w:hint="eastAsia" w:ascii="宋体" w:hAnsi="宋体" w:cs="宋体"/>
                <w:b/>
                <w:bCs/>
                <w:color w:val="auto"/>
                <w:u w:val="single"/>
              </w:rPr>
              <w:t>①</w:t>
            </w:r>
            <w:r>
              <w:rPr>
                <w:b/>
                <w:bCs/>
                <w:color w:val="auto"/>
                <w:u w:val="single"/>
              </w:rPr>
              <w:t>储罐油泥</w:t>
            </w:r>
            <w:r>
              <w:rPr>
                <w:rFonts w:hint="eastAsia"/>
                <w:b/>
                <w:bCs/>
                <w:color w:val="auto"/>
                <w:u w:val="single"/>
                <w:lang w:eastAsia="zh-CN"/>
              </w:rPr>
              <w:t>：</w:t>
            </w:r>
            <w:r>
              <w:rPr>
                <w:color w:val="auto"/>
                <w:sz w:val="24"/>
                <w:szCs w:val="32"/>
                <w:u w:val="single"/>
              </w:rPr>
              <w:t>地下储油罐因长期使用将会在罐底积累油泥，</w:t>
            </w:r>
            <w:r>
              <w:rPr>
                <w:rFonts w:hint="eastAsia"/>
                <w:color w:val="auto"/>
                <w:sz w:val="24"/>
                <w:szCs w:val="32"/>
                <w:u w:val="single"/>
              </w:rPr>
              <w:t>根据国家规定，埋地油罐每3~5年定期清洗1次，</w:t>
            </w:r>
            <w:r>
              <w:rPr>
                <w:color w:val="auto"/>
                <w:sz w:val="24"/>
                <w:szCs w:val="32"/>
                <w:u w:val="single"/>
              </w:rPr>
              <w:t>需委托专业油罐清理公司对油罐定期清理，主要采用</w:t>
            </w:r>
            <w:r>
              <w:rPr>
                <w:rFonts w:hint="eastAsia"/>
                <w:color w:val="auto"/>
                <w:sz w:val="24"/>
                <w:szCs w:val="32"/>
                <w:u w:val="single"/>
              </w:rPr>
              <w:t>蒸汽清洗方式来清理油罐，清理产生的油泥</w:t>
            </w:r>
            <w:r>
              <w:rPr>
                <w:color w:val="auto"/>
                <w:sz w:val="24"/>
                <w:szCs w:val="32"/>
                <w:u w:val="single"/>
              </w:rPr>
              <w:t>并由专业清洗单位直接运走并进行安全处置，不在站内暂存。根据企业资料，项目地下储罐计划每3年清理1次。根据类比同级加油站的运营经验，储罐油泥产生量约1.5t/次，查阅《国家危险废物名录》（202</w:t>
            </w:r>
            <w:r>
              <w:rPr>
                <w:rFonts w:hint="eastAsia"/>
                <w:color w:val="auto"/>
                <w:sz w:val="24"/>
                <w:szCs w:val="32"/>
                <w:u w:val="single"/>
                <w:lang w:val="en-US" w:eastAsia="zh-CN"/>
              </w:rPr>
              <w:t>5</w:t>
            </w:r>
            <w:r>
              <w:rPr>
                <w:color w:val="auto"/>
                <w:sz w:val="24"/>
                <w:szCs w:val="32"/>
                <w:u w:val="single"/>
              </w:rPr>
              <w:t>版），油罐油泥属于“HW08废矿物油与含矿物油废物”中“非特定行业（900-</w:t>
            </w:r>
            <w:r>
              <w:rPr>
                <w:rFonts w:hint="eastAsia"/>
                <w:color w:val="auto"/>
                <w:sz w:val="24"/>
                <w:szCs w:val="32"/>
                <w:u w:val="single"/>
                <w:lang w:val="en-US" w:eastAsia="zh-CN"/>
              </w:rPr>
              <w:t>221</w:t>
            </w:r>
            <w:r>
              <w:rPr>
                <w:color w:val="auto"/>
                <w:sz w:val="24"/>
                <w:szCs w:val="32"/>
                <w:u w:val="single"/>
              </w:rPr>
              <w:t>-08）：</w:t>
            </w:r>
            <w:r>
              <w:rPr>
                <w:rFonts w:hint="eastAsia"/>
                <w:color w:val="auto"/>
                <w:sz w:val="24"/>
                <w:szCs w:val="32"/>
                <w:u w:val="single"/>
              </w:rPr>
              <w:t>废燃料油及燃料油储存过程中产生的油泥</w:t>
            </w:r>
            <w:r>
              <w:rPr>
                <w:color w:val="auto"/>
                <w:sz w:val="24"/>
                <w:szCs w:val="32"/>
                <w:u w:val="single"/>
              </w:rPr>
              <w:t>”。</w:t>
            </w:r>
          </w:p>
          <w:p w14:paraId="41028FE2">
            <w:pPr>
              <w:pStyle w:val="11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bCs/>
                <w:color w:val="auto"/>
                <w:u w:val="single"/>
              </w:rPr>
            </w:pPr>
            <w:r>
              <w:rPr>
                <w:rFonts w:hint="eastAsia" w:ascii="宋体" w:hAnsi="宋体" w:cs="宋体"/>
                <w:b/>
                <w:bCs/>
                <w:color w:val="auto"/>
                <w:u w:val="single"/>
              </w:rPr>
              <w:t>②</w:t>
            </w:r>
            <w:r>
              <w:rPr>
                <w:b/>
                <w:bCs/>
                <w:color w:val="auto"/>
                <w:u w:val="single"/>
              </w:rPr>
              <w:t>隔油沉淀池油泥</w:t>
            </w:r>
            <w:r>
              <w:rPr>
                <w:rFonts w:hint="eastAsia"/>
                <w:b/>
                <w:bCs/>
                <w:color w:val="auto"/>
                <w:u w:val="single"/>
                <w:lang w:eastAsia="zh-CN"/>
              </w:rPr>
              <w:t>：</w:t>
            </w:r>
            <w:r>
              <w:rPr>
                <w:color w:val="auto"/>
                <w:szCs w:val="22"/>
                <w:u w:val="single"/>
              </w:rPr>
              <w:t>项目拟设</w:t>
            </w:r>
            <w:r>
              <w:rPr>
                <w:rFonts w:hint="eastAsia"/>
                <w:color w:val="auto"/>
                <w:szCs w:val="22"/>
                <w:u w:val="single"/>
                <w:lang w:val="en-US" w:eastAsia="zh-CN"/>
              </w:rPr>
              <w:t>1</w:t>
            </w:r>
            <w:r>
              <w:rPr>
                <w:color w:val="auto"/>
                <w:szCs w:val="22"/>
                <w:u w:val="single"/>
              </w:rPr>
              <w:t>套隔油沉淀池对初期雨水</w:t>
            </w:r>
            <w:r>
              <w:rPr>
                <w:rFonts w:hint="eastAsia"/>
                <w:color w:val="auto"/>
                <w:szCs w:val="22"/>
                <w:u w:val="single"/>
                <w:lang w:eastAsia="zh-CN"/>
              </w:rPr>
              <w:t>、地面清洁废水、</w:t>
            </w:r>
            <w:r>
              <w:rPr>
                <w:rFonts w:hint="eastAsia"/>
                <w:color w:val="auto"/>
                <w:szCs w:val="22"/>
                <w:u w:val="single"/>
                <w:lang w:val="en-US" w:eastAsia="zh-CN"/>
              </w:rPr>
              <w:t>洗车废水</w:t>
            </w:r>
            <w:r>
              <w:rPr>
                <w:color w:val="auto"/>
                <w:szCs w:val="22"/>
                <w:u w:val="single"/>
              </w:rPr>
              <w:t>进行处理，为保证设施的处理效果，需定期对隔油沉淀池产生废油和含油泥沙进行清理。经同类项目类比，废油和含油泥沙产生量约为0.</w:t>
            </w:r>
            <w:r>
              <w:rPr>
                <w:rFonts w:hint="eastAsia"/>
                <w:color w:val="auto"/>
                <w:szCs w:val="22"/>
                <w:u w:val="single"/>
              </w:rPr>
              <w:t>4</w:t>
            </w:r>
            <w:r>
              <w:rPr>
                <w:color w:val="auto"/>
                <w:szCs w:val="22"/>
                <w:u w:val="single"/>
              </w:rPr>
              <w:t>t/a，属于《国家危险废物名录》（202</w:t>
            </w:r>
            <w:r>
              <w:rPr>
                <w:rFonts w:hint="eastAsia"/>
                <w:color w:val="auto"/>
                <w:szCs w:val="22"/>
                <w:u w:val="single"/>
                <w:lang w:val="en-US" w:eastAsia="zh-CN"/>
              </w:rPr>
              <w:t>5</w:t>
            </w:r>
            <w:r>
              <w:rPr>
                <w:color w:val="auto"/>
                <w:szCs w:val="22"/>
                <w:u w:val="single"/>
              </w:rPr>
              <w:t>版）中编号为HW08废矿物油与含矿物油废物，</w:t>
            </w:r>
            <w:r>
              <w:rPr>
                <w:color w:val="auto"/>
                <w:u w:val="single"/>
              </w:rPr>
              <w:t>危规号为</w:t>
            </w:r>
            <w:r>
              <w:rPr>
                <w:color w:val="auto"/>
                <w:szCs w:val="22"/>
                <w:u w:val="single"/>
              </w:rPr>
              <w:t>900-210-08含油废水处理中隔油、气浮、沉淀等处理过程中产生的浮油、浮渣和污泥（不包括废水生化处理污泥），</w:t>
            </w:r>
            <w:r>
              <w:rPr>
                <w:color w:val="auto"/>
                <w:u w:val="single"/>
              </w:rPr>
              <w:t>经专门的收集桶收集后放置在危废暂存间中暂存，须按危险废物管理有关规定送至有资质的单位进行无害化处理。</w:t>
            </w:r>
          </w:p>
          <w:p w14:paraId="4FD24ADB">
            <w:pPr>
              <w:pStyle w:val="118"/>
              <w:adjustRightInd/>
              <w:snapToGrid/>
              <w:spacing w:line="360" w:lineRule="auto"/>
              <w:ind w:firstLine="482" w:firstLineChars="200"/>
              <w:jc w:val="both"/>
              <w:rPr>
                <w:rFonts w:ascii="Times New Roman" w:hAnsi="Times New Roman"/>
                <w:color w:val="auto"/>
                <w:sz w:val="24"/>
                <w:szCs w:val="24"/>
                <w:u w:val="single"/>
              </w:rPr>
            </w:pPr>
            <w:r>
              <w:rPr>
                <w:rFonts w:hint="eastAsia" w:ascii="宋体" w:hAnsi="宋体" w:cs="宋体"/>
                <w:b/>
                <w:bCs/>
                <w:color w:val="auto"/>
                <w:u w:val="single"/>
              </w:rPr>
              <w:t>③</w:t>
            </w:r>
            <w:r>
              <w:rPr>
                <w:b/>
                <w:bCs/>
                <w:color w:val="auto"/>
                <w:u w:val="single"/>
              </w:rPr>
              <w:t>含油消防沙</w:t>
            </w:r>
            <w:r>
              <w:rPr>
                <w:rFonts w:hint="eastAsia"/>
                <w:b/>
                <w:bCs/>
                <w:color w:val="auto"/>
                <w:u w:val="single"/>
                <w:lang w:val="en-US" w:eastAsia="zh-CN"/>
              </w:rPr>
              <w:t>:</w:t>
            </w:r>
            <w:r>
              <w:rPr>
                <w:rFonts w:ascii="Times New Roman" w:hAnsi="Times New Roman"/>
                <w:color w:val="auto"/>
                <w:sz w:val="24"/>
                <w:u w:val="single"/>
              </w:rPr>
              <w:t>日常工作期间，厂区出现跑、冒、滴、漏油情况下，需使用消防砂覆盖，根据厂区消防砂配备和类比同类项目，预计年产生含油消防砂约0.</w:t>
            </w:r>
            <w:r>
              <w:rPr>
                <w:rFonts w:hint="eastAsia" w:ascii="Times New Roman" w:hAnsi="Times New Roman"/>
                <w:color w:val="auto"/>
                <w:sz w:val="24"/>
                <w:u w:val="single"/>
              </w:rPr>
              <w:t>1</w:t>
            </w:r>
            <w:r>
              <w:rPr>
                <w:rFonts w:ascii="Times New Roman" w:hAnsi="Times New Roman"/>
                <w:color w:val="auto"/>
                <w:sz w:val="24"/>
                <w:u w:val="single"/>
              </w:rPr>
              <w:t>t/a。含油消防砂属于</w:t>
            </w:r>
            <w:r>
              <w:rPr>
                <w:rFonts w:hint="eastAsia" w:ascii="Times New Roman" w:hAnsi="Times New Roman"/>
                <w:color w:val="auto"/>
                <w:sz w:val="24"/>
                <w:u w:val="single"/>
                <w:lang w:eastAsia="zh-CN"/>
              </w:rPr>
              <w:t>“</w:t>
            </w:r>
            <w:r>
              <w:rPr>
                <w:rFonts w:ascii="Times New Roman" w:hAnsi="Times New Roman" w:cs="Times New Roman"/>
                <w:color w:val="auto"/>
                <w:kern w:val="0"/>
                <w:szCs w:val="21"/>
                <w:u w:val="single"/>
              </w:rPr>
              <w:t>HW49其他废物”中“非特定行业</w:t>
            </w:r>
            <w:r>
              <w:rPr>
                <w:rFonts w:ascii="Times New Roman" w:hAnsi="Times New Roman"/>
                <w:color w:val="auto"/>
                <w:sz w:val="24"/>
                <w:u w:val="single"/>
              </w:rPr>
              <w:t>（900-</w:t>
            </w:r>
            <w:r>
              <w:rPr>
                <w:rFonts w:hint="eastAsia" w:ascii="Times New Roman" w:hAnsi="Times New Roman"/>
                <w:color w:val="auto"/>
                <w:sz w:val="24"/>
                <w:u w:val="single"/>
                <w:lang w:val="en-US" w:eastAsia="zh-CN"/>
              </w:rPr>
              <w:t>042</w:t>
            </w:r>
            <w:r>
              <w:rPr>
                <w:rFonts w:ascii="Times New Roman" w:hAnsi="Times New Roman"/>
                <w:color w:val="auto"/>
                <w:sz w:val="24"/>
                <w:u w:val="single"/>
              </w:rPr>
              <w:t>-</w:t>
            </w:r>
            <w:r>
              <w:rPr>
                <w:rFonts w:hint="eastAsia" w:ascii="Times New Roman" w:hAnsi="Times New Roman"/>
                <w:color w:val="auto"/>
                <w:sz w:val="24"/>
                <w:u w:val="single"/>
                <w:lang w:val="en-US" w:eastAsia="zh-CN"/>
              </w:rPr>
              <w:t>49</w:t>
            </w:r>
            <w:r>
              <w:rPr>
                <w:rFonts w:ascii="Times New Roman" w:hAnsi="Times New Roman"/>
                <w:color w:val="auto"/>
                <w:sz w:val="24"/>
                <w:u w:val="single"/>
              </w:rPr>
              <w:t>），</w:t>
            </w:r>
            <w:r>
              <w:rPr>
                <w:rFonts w:hint="eastAsia" w:ascii="Times New Roman" w:hAnsi="Times New Roman"/>
                <w:color w:val="auto"/>
                <w:sz w:val="24"/>
                <w:u w:val="single"/>
              </w:rPr>
              <w:t xml:space="preserve">环境事件及其处理过程中产生的沾染危险化学品、危险废物的废物 </w:t>
            </w:r>
            <w:r>
              <w:rPr>
                <w:rFonts w:ascii="Times New Roman" w:hAnsi="Times New Roman"/>
                <w:color w:val="auto"/>
                <w:sz w:val="24"/>
                <w:u w:val="single"/>
              </w:rPr>
              <w:t>”，该类危废集中收集后暂存于危险废物存放箱，定期交由有资质单位进行处置。</w:t>
            </w:r>
          </w:p>
          <w:p w14:paraId="16AD1D30">
            <w:pPr>
              <w:spacing w:line="360" w:lineRule="auto"/>
              <w:ind w:firstLine="482" w:firstLineChars="200"/>
              <w:rPr>
                <w:rFonts w:hint="eastAsia" w:ascii="Times New Roman" w:hAnsi="Times New Roman" w:eastAsia="宋体" w:cs="Times New Roman"/>
                <w:color w:val="auto"/>
                <w:kern w:val="2"/>
                <w:sz w:val="24"/>
                <w:szCs w:val="24"/>
                <w:u w:val="single"/>
                <w:lang w:val="en-US" w:eastAsia="zh-CN" w:bidi="ar-SA"/>
              </w:rPr>
            </w:pPr>
            <w:r>
              <w:rPr>
                <w:rFonts w:hint="eastAsia" w:ascii="宋体" w:hAnsi="宋体" w:cs="宋体"/>
                <w:b/>
                <w:bCs/>
                <w:color w:val="auto"/>
                <w:sz w:val="24"/>
                <w:szCs w:val="32"/>
                <w:u w:val="single"/>
              </w:rPr>
              <w:t>④</w:t>
            </w:r>
            <w:r>
              <w:rPr>
                <w:b/>
                <w:bCs/>
                <w:color w:val="auto"/>
                <w:sz w:val="24"/>
                <w:szCs w:val="32"/>
                <w:u w:val="single"/>
              </w:rPr>
              <w:t>含油抹布和手套</w:t>
            </w:r>
            <w:r>
              <w:rPr>
                <w:rFonts w:hint="eastAsia"/>
                <w:b/>
                <w:bCs/>
                <w:color w:val="auto"/>
                <w:sz w:val="24"/>
                <w:szCs w:val="32"/>
                <w:u w:val="single"/>
                <w:lang w:val="en-US" w:eastAsia="zh-CN"/>
              </w:rPr>
              <w:t>:</w:t>
            </w:r>
            <w:r>
              <w:rPr>
                <w:rFonts w:ascii="Times New Roman" w:hAnsi="Times New Roman" w:eastAsia="宋体" w:cs="Times New Roman"/>
                <w:color w:val="auto"/>
                <w:kern w:val="2"/>
                <w:sz w:val="24"/>
                <w:szCs w:val="24"/>
                <w:u w:val="single"/>
                <w:lang w:val="en-US" w:eastAsia="zh-CN" w:bidi="ar-SA"/>
              </w:rPr>
              <w:t>加</w:t>
            </w:r>
            <w:r>
              <w:rPr>
                <w:rFonts w:hint="eastAsia" w:ascii="Times New Roman" w:hAnsi="Times New Roman" w:eastAsia="宋体" w:cs="Times New Roman"/>
                <w:color w:val="auto"/>
                <w:kern w:val="2"/>
                <w:sz w:val="24"/>
                <w:szCs w:val="24"/>
                <w:u w:val="single"/>
                <w:lang w:val="en-US" w:eastAsia="zh-CN" w:bidi="ar-SA"/>
              </w:rPr>
              <w:t>油站在运营期间可能因维护加油机等设备清洁，或处理卸油、加油过程中产生的油品渗漏、逸洒、跑冒、漏滴等情况，产生一些含油抹布、手套，该类废物属于“HW49其他废物”中“非特定行业（900-041-49）：含有或者沾染毒性、感染性危险废物的废弃的包装物、容器、过滤吸附介质 ”，产生量约0.04t/a，分类暂存于危废间，定期交由资质单位处理。</w:t>
            </w:r>
          </w:p>
          <w:p w14:paraId="43150F0C">
            <w:pPr>
              <w:spacing w:line="360" w:lineRule="auto"/>
              <w:ind w:firstLine="482" w:firstLineChars="200"/>
              <w:rPr>
                <w:rFonts w:hint="eastAsia" w:ascii="Times New Roman" w:hAnsi="Times New Roman" w:eastAsia="宋体" w:cs="Times New Roman"/>
                <w:color w:val="auto"/>
                <w:kern w:val="2"/>
                <w:sz w:val="24"/>
                <w:szCs w:val="24"/>
                <w:u w:val="single"/>
                <w:lang w:val="en-US" w:eastAsia="zh-CN" w:bidi="ar-SA"/>
              </w:rPr>
            </w:pPr>
            <w:r>
              <w:rPr>
                <w:rFonts w:hint="eastAsia" w:ascii="宋体" w:hAnsi="宋体" w:cs="宋体"/>
                <w:b/>
                <w:bCs/>
                <w:color w:val="auto"/>
                <w:sz w:val="24"/>
                <w:szCs w:val="32"/>
                <w:u w:val="single"/>
                <w:lang w:val="en-US" w:eastAsia="zh-CN"/>
              </w:rPr>
              <w:t>⑤废活性炭</w:t>
            </w:r>
            <w:r>
              <w:rPr>
                <w:rFonts w:hint="eastAsia"/>
                <w:b/>
                <w:bCs/>
                <w:color w:val="auto"/>
                <w:sz w:val="24"/>
                <w:szCs w:val="32"/>
                <w:u w:val="single"/>
                <w:lang w:val="en-US" w:eastAsia="zh-CN"/>
              </w:rPr>
              <w:t>:</w:t>
            </w:r>
            <w:r>
              <w:rPr>
                <w:rFonts w:hint="eastAsia" w:ascii="宋体" w:hAnsi="宋体" w:eastAsia="宋体" w:cs="宋体"/>
                <w:color w:val="000000"/>
                <w:kern w:val="0"/>
                <w:sz w:val="24"/>
                <w:szCs w:val="24"/>
                <w:u w:val="single"/>
                <w:lang w:val="en-US" w:eastAsia="zh-CN" w:bidi="ar"/>
              </w:rPr>
              <w:t>项目废气处理装置中产生的废活性炭，根据《简明通风设计手册》，活性炭对废气的吸附值在</w:t>
            </w:r>
            <w:r>
              <w:rPr>
                <w:rFonts w:hint="default" w:ascii="Times New Roman" w:hAnsi="Times New Roman" w:eastAsia="宋体" w:cs="Times New Roman"/>
                <w:color w:val="000000"/>
                <w:kern w:val="0"/>
                <w:sz w:val="24"/>
                <w:szCs w:val="24"/>
                <w:u w:val="single"/>
                <w:lang w:val="en-US" w:eastAsia="zh-CN" w:bidi="ar"/>
              </w:rPr>
              <w:t>0.24g/g-0.30g/g</w:t>
            </w:r>
            <w:r>
              <w:rPr>
                <w:rFonts w:hint="eastAsia" w:ascii="宋体" w:hAnsi="宋体" w:eastAsia="宋体" w:cs="宋体"/>
                <w:color w:val="000000"/>
                <w:kern w:val="0"/>
                <w:sz w:val="24"/>
                <w:szCs w:val="24"/>
                <w:u w:val="single"/>
                <w:lang w:val="en-US" w:eastAsia="zh-CN" w:bidi="ar"/>
              </w:rPr>
              <w:t>之间，本报告取</w:t>
            </w:r>
            <w:r>
              <w:rPr>
                <w:rFonts w:hint="default" w:ascii="Times New Roman" w:hAnsi="Times New Roman" w:eastAsia="宋体" w:cs="Times New Roman"/>
                <w:color w:val="000000"/>
                <w:kern w:val="0"/>
                <w:sz w:val="24"/>
                <w:szCs w:val="24"/>
                <w:u w:val="single"/>
                <w:lang w:val="en-US" w:eastAsia="zh-CN" w:bidi="ar"/>
              </w:rPr>
              <w:t>0.3g/g</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本项目三次油气回收系统有机废气处理量约为</w:t>
            </w:r>
            <w:r>
              <w:rPr>
                <w:rFonts w:hint="eastAsia" w:cs="Times New Roman"/>
                <w:color w:val="000000"/>
                <w:kern w:val="0"/>
                <w:sz w:val="24"/>
                <w:szCs w:val="24"/>
                <w:u w:val="single"/>
                <w:lang w:val="en-US" w:eastAsia="zh-CN" w:bidi="ar"/>
              </w:rPr>
              <w:t>0.2432</w:t>
            </w:r>
            <w:r>
              <w:rPr>
                <w:rFonts w:hint="default" w:ascii="Times New Roman" w:hAnsi="Times New Roman" w:eastAsia="宋体" w:cs="Times New Roman"/>
                <w:color w:val="000000"/>
                <w:kern w:val="0"/>
                <w:sz w:val="24"/>
                <w:szCs w:val="24"/>
                <w:u w:val="single"/>
                <w:lang w:val="en-US" w:eastAsia="zh-CN" w:bidi="ar"/>
              </w:rPr>
              <w:t>t/a，其中冷凝回收9</w:t>
            </w:r>
            <w:r>
              <w:rPr>
                <w:rFonts w:hint="eastAsia" w:cs="Times New Roman"/>
                <w:color w:val="000000"/>
                <w:kern w:val="0"/>
                <w:sz w:val="24"/>
                <w:szCs w:val="24"/>
                <w:u w:val="single"/>
                <w:lang w:val="en-US" w:eastAsia="zh-CN" w:bidi="ar"/>
              </w:rPr>
              <w:t>0</w:t>
            </w:r>
            <w:r>
              <w:rPr>
                <w:rFonts w:hint="default" w:ascii="Times New Roman" w:hAnsi="Times New Roman" w:eastAsia="宋体" w:cs="Times New Roman"/>
                <w:color w:val="000000"/>
                <w:kern w:val="0"/>
                <w:sz w:val="24"/>
                <w:szCs w:val="24"/>
                <w:u w:val="single"/>
                <w:lang w:val="en-US" w:eastAsia="zh-CN" w:bidi="ar"/>
              </w:rPr>
              <w:t>%，剩余由活性炭吸附，则至少需要活性炭</w:t>
            </w:r>
            <w:r>
              <w:rPr>
                <w:rFonts w:hint="eastAsia" w:ascii="Times New Roman" w:hAnsi="Times New Roman" w:eastAsia="宋体" w:cs="Times New Roman"/>
                <w:color w:val="000000"/>
                <w:kern w:val="0"/>
                <w:sz w:val="24"/>
                <w:szCs w:val="24"/>
                <w:u w:val="single"/>
                <w:lang w:val="en-US" w:eastAsia="zh-CN" w:bidi="ar"/>
              </w:rPr>
              <w:t>0.</w:t>
            </w:r>
            <w:r>
              <w:rPr>
                <w:rFonts w:hint="eastAsia" w:cs="Times New Roman"/>
                <w:color w:val="000000"/>
                <w:kern w:val="0"/>
                <w:sz w:val="24"/>
                <w:szCs w:val="24"/>
                <w:u w:val="single"/>
                <w:lang w:val="en-US" w:eastAsia="zh-CN" w:bidi="ar"/>
              </w:rPr>
              <w:t>0811</w:t>
            </w:r>
            <w:r>
              <w:rPr>
                <w:rFonts w:hint="default" w:ascii="Times New Roman" w:hAnsi="Times New Roman" w:eastAsia="宋体" w:cs="Times New Roman"/>
                <w:color w:val="000000"/>
                <w:kern w:val="0"/>
                <w:sz w:val="24"/>
                <w:szCs w:val="24"/>
                <w:u w:val="single"/>
                <w:lang w:val="en-US" w:eastAsia="zh-CN" w:bidi="ar"/>
              </w:rPr>
              <w:t>t/a，</w:t>
            </w:r>
            <w:r>
              <w:rPr>
                <w:rFonts w:hint="eastAsia" w:ascii="宋体" w:hAnsi="宋体" w:eastAsia="宋体" w:cs="宋体"/>
                <w:color w:val="000000"/>
                <w:kern w:val="0"/>
                <w:sz w:val="24"/>
                <w:szCs w:val="24"/>
                <w:u w:val="single"/>
                <w:lang w:val="en-US" w:eastAsia="zh-CN" w:bidi="ar"/>
              </w:rPr>
              <w:t>根据企业提供资料，项目废气处理装置中活性炭填充量约为</w:t>
            </w:r>
            <w:r>
              <w:rPr>
                <w:rFonts w:hint="eastAsia" w:cs="Times New Roman"/>
                <w:color w:val="000000"/>
                <w:kern w:val="0"/>
                <w:sz w:val="24"/>
                <w:szCs w:val="24"/>
                <w:u w:val="single"/>
                <w:lang w:val="en-US" w:eastAsia="zh-CN" w:bidi="ar"/>
              </w:rPr>
              <w:t>20kg</w:t>
            </w:r>
            <w:r>
              <w:rPr>
                <w:rFonts w:hint="eastAsia" w:ascii="宋体" w:hAnsi="宋体" w:eastAsia="宋体" w:cs="宋体"/>
                <w:color w:val="000000"/>
                <w:kern w:val="0"/>
                <w:sz w:val="24"/>
                <w:szCs w:val="24"/>
                <w:u w:val="single"/>
                <w:lang w:val="en-US" w:eastAsia="zh-CN" w:bidi="ar"/>
              </w:rPr>
              <w:t>，每年更换</w:t>
            </w:r>
            <w:r>
              <w:rPr>
                <w:rFonts w:hint="eastAsia" w:cs="Times New Roman"/>
                <w:color w:val="000000"/>
                <w:kern w:val="0"/>
                <w:sz w:val="24"/>
                <w:szCs w:val="24"/>
                <w:u w:val="single"/>
                <w:lang w:val="en-US" w:eastAsia="zh-CN" w:bidi="ar"/>
              </w:rPr>
              <w:t>9</w:t>
            </w:r>
            <w:r>
              <w:rPr>
                <w:rFonts w:hint="eastAsia" w:ascii="宋体" w:hAnsi="宋体" w:eastAsia="宋体" w:cs="宋体"/>
                <w:color w:val="000000"/>
                <w:kern w:val="0"/>
                <w:sz w:val="24"/>
                <w:szCs w:val="24"/>
                <w:u w:val="single"/>
                <w:lang w:val="en-US" w:eastAsia="zh-CN" w:bidi="ar"/>
              </w:rPr>
              <w:t>次（约每</w:t>
            </w:r>
            <w:r>
              <w:rPr>
                <w:rFonts w:hint="eastAsia" w:cs="Times New Roman"/>
                <w:color w:val="000000"/>
                <w:kern w:val="0"/>
                <w:sz w:val="24"/>
                <w:szCs w:val="24"/>
                <w:u w:val="single"/>
                <w:lang w:val="en-US" w:eastAsia="zh-CN" w:bidi="ar"/>
              </w:rPr>
              <w:t>40</w:t>
            </w:r>
            <w:r>
              <w:rPr>
                <w:rFonts w:hint="eastAsia" w:ascii="宋体" w:hAnsi="宋体" w:eastAsia="宋体" w:cs="宋体"/>
                <w:color w:val="000000"/>
                <w:kern w:val="0"/>
                <w:sz w:val="24"/>
                <w:szCs w:val="24"/>
                <w:u w:val="single"/>
                <w:lang w:val="en-US" w:eastAsia="zh-CN" w:bidi="ar"/>
              </w:rPr>
              <w:t>天更换一次），则活性炭用量为</w:t>
            </w:r>
            <w:r>
              <w:rPr>
                <w:rFonts w:hint="eastAsia" w:cs="Times New Roman"/>
                <w:color w:val="000000"/>
                <w:kern w:val="0"/>
                <w:sz w:val="24"/>
                <w:szCs w:val="24"/>
                <w:u w:val="single"/>
                <w:lang w:val="en-US" w:eastAsia="zh-CN" w:bidi="ar"/>
              </w:rPr>
              <w:t>0.18</w:t>
            </w:r>
            <w:r>
              <w:rPr>
                <w:rFonts w:hint="default" w:ascii="Times New Roman" w:hAnsi="Times New Roman" w:eastAsia="宋体" w:cs="Times New Roman"/>
                <w:color w:val="000000"/>
                <w:kern w:val="0"/>
                <w:sz w:val="24"/>
                <w:szCs w:val="24"/>
                <w:u w:val="single"/>
                <w:lang w:val="en-US" w:eastAsia="zh-CN" w:bidi="ar"/>
              </w:rPr>
              <w:t>t/a</w:t>
            </w:r>
            <w:r>
              <w:rPr>
                <w:rFonts w:hint="eastAsia" w:ascii="宋体" w:hAnsi="宋体" w:eastAsia="宋体" w:cs="宋体"/>
                <w:color w:val="000000"/>
                <w:kern w:val="0"/>
                <w:sz w:val="24"/>
                <w:szCs w:val="24"/>
                <w:u w:val="single"/>
                <w:lang w:val="en-US" w:eastAsia="zh-CN" w:bidi="ar"/>
              </w:rPr>
              <w:t>，满足削减废气所需的最低活性炭量的要求，再加上吸附的废气污染物的量，则处理废气废活性炭产生量约为</w:t>
            </w:r>
            <w:r>
              <w:rPr>
                <w:rFonts w:hint="eastAsia" w:ascii="Times New Roman" w:hAnsi="Times New Roman" w:eastAsia="宋体" w:cs="Times New Roman"/>
                <w:color w:val="auto"/>
                <w:kern w:val="0"/>
                <w:sz w:val="24"/>
                <w:szCs w:val="24"/>
                <w:u w:val="single"/>
                <w:lang w:val="en-US" w:eastAsia="zh-CN" w:bidi="ar"/>
              </w:rPr>
              <w:t>0.</w:t>
            </w:r>
            <w:r>
              <w:rPr>
                <w:rFonts w:hint="eastAsia" w:cs="Times New Roman"/>
                <w:color w:val="auto"/>
                <w:kern w:val="0"/>
                <w:sz w:val="24"/>
                <w:szCs w:val="24"/>
                <w:u w:val="single"/>
                <w:lang w:val="en-US" w:eastAsia="zh-CN" w:bidi="ar"/>
              </w:rPr>
              <w:t>20432</w:t>
            </w:r>
            <w:r>
              <w:rPr>
                <w:rFonts w:hint="default" w:ascii="Times New Roman" w:hAnsi="Times New Roman" w:eastAsia="宋体" w:cs="Times New Roman"/>
                <w:color w:val="auto"/>
                <w:kern w:val="0"/>
                <w:sz w:val="24"/>
                <w:szCs w:val="24"/>
                <w:u w:val="single"/>
                <w:lang w:val="en-US" w:eastAsia="zh-CN" w:bidi="ar"/>
              </w:rPr>
              <w:t>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；废活性炭属于</w:t>
            </w:r>
            <w:r>
              <w:rPr>
                <w:rFonts w:hint="default" w:ascii="Times New Roman" w:hAnsi="Times New Roman" w:eastAsia="宋体" w:cs="Times New Roman"/>
                <w:color w:val="000000"/>
                <w:kern w:val="0"/>
                <w:sz w:val="24"/>
                <w:szCs w:val="24"/>
                <w:u w:val="single"/>
                <w:lang w:val="en-US" w:eastAsia="zh-CN" w:bidi="ar"/>
              </w:rPr>
              <w:t>“HW49</w:t>
            </w:r>
            <w:r>
              <w:rPr>
                <w:rFonts w:hint="eastAsia" w:ascii="宋体" w:hAnsi="宋体" w:eastAsia="宋体" w:cs="宋体"/>
                <w:color w:val="000000"/>
                <w:kern w:val="0"/>
                <w:sz w:val="24"/>
                <w:szCs w:val="24"/>
                <w:u w:val="single"/>
                <w:lang w:val="en-US" w:eastAsia="zh-CN" w:bidi="ar"/>
              </w:rPr>
              <w:t>其他废物</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中</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非特定行业</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烟气、</w:t>
            </w:r>
            <w:r>
              <w:rPr>
                <w:rFonts w:hint="default" w:ascii="Times New Roman" w:hAnsi="Times New Roman" w:eastAsia="宋体" w:cs="Times New Roman"/>
                <w:color w:val="000000"/>
                <w:kern w:val="0"/>
                <w:sz w:val="24"/>
                <w:szCs w:val="24"/>
                <w:u w:val="single"/>
                <w:lang w:val="en-US" w:eastAsia="zh-CN" w:bidi="ar"/>
              </w:rPr>
              <w:t>VOCS</w:t>
            </w:r>
            <w:r>
              <w:rPr>
                <w:rFonts w:hint="eastAsia" w:ascii="宋体" w:hAnsi="宋体" w:eastAsia="宋体" w:cs="宋体"/>
                <w:color w:val="000000"/>
                <w:kern w:val="0"/>
                <w:sz w:val="24"/>
                <w:szCs w:val="24"/>
                <w:u w:val="single"/>
                <w:lang w:val="en-US" w:eastAsia="zh-CN" w:bidi="ar"/>
              </w:rPr>
              <w:t>治理过程（不包括餐饮行业油烟治理过程）产生的废活性炭</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，废物代码为</w:t>
            </w:r>
            <w:r>
              <w:rPr>
                <w:rFonts w:hint="default" w:ascii="Times New Roman" w:hAnsi="Times New Roman" w:eastAsia="宋体" w:cs="Times New Roman"/>
                <w:color w:val="000000"/>
                <w:kern w:val="0"/>
                <w:sz w:val="24"/>
                <w:szCs w:val="24"/>
                <w:u w:val="single"/>
                <w:lang w:val="en-US" w:eastAsia="zh-CN" w:bidi="ar"/>
              </w:rPr>
              <w:t>“900-039-49”</w:t>
            </w:r>
            <w:r>
              <w:rPr>
                <w:rFonts w:hint="eastAsia" w:ascii="宋体" w:hAnsi="宋体" w:eastAsia="宋体" w:cs="宋体"/>
                <w:color w:val="000000"/>
                <w:kern w:val="0"/>
                <w:sz w:val="24"/>
                <w:szCs w:val="24"/>
                <w:u w:val="single"/>
                <w:lang w:val="en-US" w:eastAsia="zh-CN" w:bidi="ar"/>
              </w:rPr>
              <w:t>。经收集后于危废暂存间存放，并定期交由资质单位进行处置。根据《危险废物贮存污染控制标准》（</w:t>
            </w:r>
            <w:r>
              <w:rPr>
                <w:rFonts w:hint="default" w:ascii="Times New Roman" w:hAnsi="Times New Roman" w:eastAsia="宋体" w:cs="Times New Roman"/>
                <w:color w:val="000000"/>
                <w:kern w:val="0"/>
                <w:sz w:val="24"/>
                <w:szCs w:val="24"/>
                <w:u w:val="single"/>
                <w:lang w:val="en-US" w:eastAsia="zh-CN" w:bidi="ar"/>
              </w:rPr>
              <w:t>GB18597-2023</w:t>
            </w:r>
            <w:r>
              <w:rPr>
                <w:rFonts w:hint="eastAsia" w:ascii="宋体" w:hAnsi="宋体" w:eastAsia="宋体" w:cs="宋体"/>
                <w:color w:val="000000"/>
                <w:kern w:val="0"/>
                <w:sz w:val="24"/>
                <w:szCs w:val="24"/>
                <w:u w:val="single"/>
                <w:lang w:val="en-US" w:eastAsia="zh-CN" w:bidi="ar"/>
              </w:rPr>
              <w:t>）以及废活性炭特性，暂存时因采用专用封闭容器收集，防止吸附的挥发性有机废气外溢。</w:t>
            </w:r>
          </w:p>
          <w:p w14:paraId="59405B41">
            <w:pPr>
              <w:spacing w:line="360" w:lineRule="auto"/>
              <w:ind w:firstLine="480" w:firstLineChars="200"/>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根据《简明通风设计手册》，1kg活性炭对有机废气吸附量一般在0.2-0.3kg，本项目采用蜂窝活性炭，取值0.25kg，根据前述分析，本项目三次油气回收系统有机废气处理量约为</w:t>
            </w:r>
            <w:r>
              <w:rPr>
                <w:rFonts w:hint="eastAsia" w:cs="Times New Roman"/>
                <w:color w:val="auto"/>
                <w:kern w:val="2"/>
                <w:sz w:val="24"/>
                <w:szCs w:val="24"/>
                <w:u w:val="single"/>
                <w:lang w:val="en-US" w:eastAsia="zh-CN" w:bidi="ar-SA"/>
              </w:rPr>
              <w:t>0.0477</w:t>
            </w:r>
            <w:r>
              <w:rPr>
                <w:rFonts w:hint="eastAsia" w:ascii="Times New Roman" w:hAnsi="Times New Roman" w:eastAsia="宋体" w:cs="Times New Roman"/>
                <w:color w:val="auto"/>
                <w:kern w:val="2"/>
                <w:sz w:val="24"/>
                <w:szCs w:val="24"/>
                <w:u w:val="single"/>
                <w:lang w:val="en-US" w:eastAsia="zh-CN" w:bidi="ar-SA"/>
              </w:rPr>
              <w:t>t/a，其中冷凝回收90%，剩余由活性炭吸附，</w:t>
            </w:r>
            <w:r>
              <w:rPr>
                <w:rFonts w:hint="eastAsia" w:cs="Times New Roman"/>
                <w:color w:val="auto"/>
                <w:kern w:val="2"/>
                <w:sz w:val="24"/>
                <w:szCs w:val="24"/>
                <w:u w:val="single"/>
                <w:lang w:val="en-US" w:eastAsia="zh-CN" w:bidi="ar-SA"/>
              </w:rPr>
              <w:t>则活性炭吸附的量为0.00477t/a，</w:t>
            </w:r>
            <w:r>
              <w:rPr>
                <w:rFonts w:hint="eastAsia" w:ascii="Times New Roman" w:hAnsi="Times New Roman" w:eastAsia="宋体" w:cs="Times New Roman"/>
                <w:color w:val="auto"/>
                <w:kern w:val="2"/>
                <w:sz w:val="24"/>
                <w:szCs w:val="24"/>
                <w:u w:val="single"/>
                <w:lang w:val="en-US" w:eastAsia="zh-CN" w:bidi="ar-SA"/>
              </w:rPr>
              <w:t>则至少需要活性炭0.0</w:t>
            </w:r>
            <w:r>
              <w:rPr>
                <w:rFonts w:hint="eastAsia" w:cs="Times New Roman"/>
                <w:color w:val="auto"/>
                <w:kern w:val="2"/>
                <w:sz w:val="24"/>
                <w:szCs w:val="24"/>
                <w:u w:val="single"/>
                <w:lang w:val="en-US" w:eastAsia="zh-CN" w:bidi="ar-SA"/>
              </w:rPr>
              <w:t>2</w:t>
            </w:r>
            <w:r>
              <w:rPr>
                <w:rFonts w:hint="eastAsia" w:ascii="Times New Roman" w:hAnsi="Times New Roman" w:eastAsia="宋体" w:cs="Times New Roman"/>
                <w:color w:val="auto"/>
                <w:kern w:val="2"/>
                <w:sz w:val="24"/>
                <w:szCs w:val="24"/>
                <w:u w:val="single"/>
                <w:lang w:val="en-US" w:eastAsia="zh-CN" w:bidi="ar-SA"/>
              </w:rPr>
              <w:t>t/a，</w:t>
            </w:r>
            <w:r>
              <w:rPr>
                <w:rFonts w:hint="eastAsia" w:cs="Times New Roman"/>
                <w:color w:val="auto"/>
                <w:kern w:val="2"/>
                <w:sz w:val="24"/>
                <w:szCs w:val="24"/>
                <w:u w:val="single"/>
                <w:lang w:val="en-US" w:eastAsia="zh-CN" w:bidi="ar-SA"/>
              </w:rPr>
              <w:t>活性炭每年进行一次更换，则废活性炭的产生量为0.0248t/a；废活性炭属于“HW49其他废物”中“非特定行业-烟气、VOCS治理过程（不包括餐饮行业油烟治理过程）产生的废活性炭”，废物代码为“900-039-49”。经收集后于危废暂存间存放，并定期交由资质单位进行处置</w:t>
            </w:r>
            <w:r>
              <w:rPr>
                <w:rFonts w:hint="eastAsia" w:ascii="Times New Roman" w:hAnsi="Times New Roman" w:eastAsia="宋体" w:cs="Times New Roman"/>
                <w:color w:val="auto"/>
                <w:kern w:val="2"/>
                <w:sz w:val="24"/>
                <w:szCs w:val="24"/>
                <w:u w:val="single"/>
                <w:lang w:val="en-US" w:eastAsia="zh-CN" w:bidi="ar-SA"/>
              </w:rPr>
              <w:t>。</w:t>
            </w:r>
          </w:p>
          <w:p w14:paraId="1581F0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u w:val="single"/>
                <w:lang w:val="en-US" w:eastAsia="zh-CN" w:bidi="ar-SA"/>
              </w:rPr>
            </w:pPr>
            <w:r>
              <w:rPr>
                <w:rFonts w:hint="eastAsia" w:ascii="Times New Roman" w:hAnsi="Times New Roman" w:eastAsia="宋体" w:cs="Times New Roman"/>
                <w:b/>
                <w:bCs/>
                <w:kern w:val="2"/>
                <w:sz w:val="24"/>
                <w:szCs w:val="24"/>
                <w:u w:val="single"/>
                <w:lang w:val="en-US" w:eastAsia="zh-CN" w:bidi="ar-SA"/>
              </w:rPr>
              <w:t>4.8.</w:t>
            </w:r>
            <w:r>
              <w:rPr>
                <w:rFonts w:hint="eastAsia" w:cs="Times New Roman"/>
                <w:b/>
                <w:bCs/>
                <w:kern w:val="2"/>
                <w:sz w:val="24"/>
                <w:szCs w:val="24"/>
                <w:u w:val="single"/>
                <w:lang w:val="en-US" w:eastAsia="zh-CN" w:bidi="ar-SA"/>
              </w:rPr>
              <w:t>2</w:t>
            </w:r>
            <w:r>
              <w:rPr>
                <w:rFonts w:hint="eastAsia" w:ascii="Times New Roman" w:hAnsi="Times New Roman" w:eastAsia="宋体" w:cs="Times New Roman"/>
                <w:b/>
                <w:bCs/>
                <w:kern w:val="2"/>
                <w:sz w:val="24"/>
                <w:szCs w:val="24"/>
                <w:u w:val="single"/>
                <w:lang w:val="en-US" w:eastAsia="zh-CN" w:bidi="ar-SA"/>
              </w:rPr>
              <w:t xml:space="preserve"> </w:t>
            </w:r>
            <w:r>
              <w:rPr>
                <w:rFonts w:hint="eastAsia" w:cs="Times New Roman"/>
                <w:b/>
                <w:bCs/>
                <w:kern w:val="2"/>
                <w:sz w:val="24"/>
                <w:szCs w:val="24"/>
                <w:u w:val="single"/>
                <w:lang w:val="en-US" w:eastAsia="zh-CN" w:bidi="ar-SA"/>
              </w:rPr>
              <w:t>一般固体废物</w:t>
            </w:r>
          </w:p>
          <w:p w14:paraId="6601ED9A">
            <w:pPr>
              <w:pStyle w:val="118"/>
              <w:numPr>
                <w:ilvl w:val="0"/>
                <w:numId w:val="0"/>
              </w:numPr>
              <w:adjustRightInd/>
              <w:snapToGrid/>
              <w:spacing w:line="360" w:lineRule="auto"/>
              <w:ind w:firstLine="482" w:firstLineChars="200"/>
              <w:jc w:val="both"/>
              <w:rPr>
                <w:color w:val="auto"/>
                <w:kern w:val="0"/>
                <w:sz w:val="24"/>
                <w:u w:val="single"/>
              </w:rPr>
            </w:pPr>
            <w:r>
              <w:rPr>
                <w:b/>
                <w:bCs/>
                <w:color w:val="auto"/>
                <w:u w:val="single"/>
              </w:rPr>
              <w:t>生活垃圾</w:t>
            </w:r>
            <w:r>
              <w:rPr>
                <w:rFonts w:hint="eastAsia"/>
                <w:b/>
                <w:bCs/>
                <w:color w:val="auto"/>
                <w:u w:val="single"/>
                <w:lang w:eastAsia="zh-CN"/>
              </w:rPr>
              <w:t>：</w:t>
            </w:r>
            <w:r>
              <w:rPr>
                <w:color w:val="auto"/>
                <w:sz w:val="24"/>
                <w:szCs w:val="22"/>
                <w:u w:val="single"/>
              </w:rPr>
              <w:t>本项目运营期生活垃圾主要来自员工产生的生活垃圾和加油站内便利店顾客购买包装食品、香烟、槟榔、矿泉水等食品产生的垃圾，</w:t>
            </w:r>
            <w:r>
              <w:rPr>
                <w:color w:val="auto"/>
                <w:kern w:val="0"/>
                <w:sz w:val="24"/>
                <w:u w:val="single"/>
              </w:rPr>
              <w:t>项目预计员工</w:t>
            </w:r>
            <w:r>
              <w:rPr>
                <w:rFonts w:hint="eastAsia"/>
                <w:color w:val="auto"/>
                <w:kern w:val="0"/>
                <w:sz w:val="24"/>
                <w:u w:val="single"/>
                <w:lang w:val="en-US" w:eastAsia="zh-CN"/>
              </w:rPr>
              <w:t>10</w:t>
            </w:r>
            <w:r>
              <w:rPr>
                <w:color w:val="auto"/>
                <w:kern w:val="0"/>
                <w:sz w:val="24"/>
                <w:u w:val="single"/>
              </w:rPr>
              <w:t>人，生活垃圾按0.5kg/人</w:t>
            </w:r>
            <w:r>
              <w:rPr>
                <w:b/>
                <w:color w:val="auto"/>
                <w:kern w:val="0"/>
                <w:sz w:val="24"/>
                <w:u w:val="single"/>
              </w:rPr>
              <w:t>·</w:t>
            </w:r>
            <w:r>
              <w:rPr>
                <w:color w:val="auto"/>
                <w:kern w:val="0"/>
                <w:sz w:val="24"/>
                <w:u w:val="single"/>
              </w:rPr>
              <w:t>d计，则生活垃圾量为1.</w:t>
            </w:r>
            <w:r>
              <w:rPr>
                <w:rFonts w:hint="eastAsia"/>
                <w:color w:val="auto"/>
                <w:kern w:val="0"/>
                <w:sz w:val="24"/>
                <w:u w:val="single"/>
                <w:lang w:val="en-US" w:eastAsia="zh-CN"/>
              </w:rPr>
              <w:t>825</w:t>
            </w:r>
            <w:r>
              <w:rPr>
                <w:color w:val="auto"/>
                <w:kern w:val="0"/>
                <w:sz w:val="24"/>
                <w:u w:val="single"/>
              </w:rPr>
              <w:t>t/a，</w:t>
            </w:r>
            <w:r>
              <w:rPr>
                <w:color w:val="auto"/>
                <w:sz w:val="24"/>
                <w:szCs w:val="22"/>
                <w:u w:val="single"/>
              </w:rPr>
              <w:t>便利店食品包装垃圾约为0.</w:t>
            </w:r>
            <w:r>
              <w:rPr>
                <w:rFonts w:hint="eastAsia"/>
                <w:color w:val="auto"/>
                <w:sz w:val="24"/>
                <w:szCs w:val="22"/>
                <w:u w:val="single"/>
                <w:lang w:val="en-US" w:eastAsia="zh-CN"/>
              </w:rPr>
              <w:t>1</w:t>
            </w:r>
            <w:r>
              <w:rPr>
                <w:color w:val="auto"/>
                <w:sz w:val="24"/>
                <w:szCs w:val="22"/>
                <w:u w:val="single"/>
              </w:rPr>
              <w:t>kg/d（</w:t>
            </w:r>
            <w:r>
              <w:rPr>
                <w:rFonts w:hint="eastAsia"/>
                <w:color w:val="auto"/>
                <w:sz w:val="24"/>
                <w:szCs w:val="22"/>
                <w:u w:val="single"/>
                <w:lang w:val="en-US" w:eastAsia="zh-CN"/>
              </w:rPr>
              <w:t>0.0365</w:t>
            </w:r>
            <w:r>
              <w:rPr>
                <w:color w:val="auto"/>
                <w:sz w:val="24"/>
                <w:szCs w:val="22"/>
                <w:u w:val="single"/>
              </w:rPr>
              <w:t>t/a）</w:t>
            </w:r>
            <w:r>
              <w:rPr>
                <w:rFonts w:hint="eastAsia"/>
                <w:color w:val="auto"/>
                <w:sz w:val="24"/>
                <w:szCs w:val="22"/>
                <w:u w:val="single"/>
                <w:lang w:eastAsia="zh-CN"/>
              </w:rPr>
              <w:t>，</w:t>
            </w:r>
            <w:r>
              <w:rPr>
                <w:rFonts w:hint="eastAsia"/>
                <w:color w:val="auto"/>
                <w:sz w:val="24"/>
                <w:szCs w:val="22"/>
                <w:u w:val="single"/>
                <w:lang w:val="en-US" w:eastAsia="zh-CN"/>
              </w:rPr>
              <w:t>合计为1.8615t/a，</w:t>
            </w:r>
            <w:r>
              <w:rPr>
                <w:color w:val="auto"/>
                <w:kern w:val="0"/>
                <w:sz w:val="24"/>
                <w:u w:val="single"/>
              </w:rPr>
              <w:t>集中收集后交由环卫部门统一处理。</w:t>
            </w:r>
          </w:p>
          <w:p w14:paraId="03504106">
            <w:pPr>
              <w:wordWrap w:val="0"/>
              <w:topLinePunct/>
              <w:adjustRightInd w:val="0"/>
              <w:snapToGrid w:val="0"/>
              <w:spacing w:line="360" w:lineRule="auto"/>
              <w:ind w:firstLine="480" w:firstLineChars="200"/>
              <w:rPr>
                <w:color w:val="auto"/>
                <w:kern w:val="0"/>
                <w:sz w:val="24"/>
                <w:u w:val="none"/>
              </w:rPr>
            </w:pPr>
            <w:r>
              <w:rPr>
                <w:color w:val="auto"/>
                <w:kern w:val="0"/>
                <w:sz w:val="24"/>
                <w:u w:val="single"/>
              </w:rPr>
              <w:t>根据《固体废物鉴别导则(试行)》和《国家危险废物名录(202</w:t>
            </w:r>
            <w:r>
              <w:rPr>
                <w:rFonts w:hint="eastAsia"/>
                <w:color w:val="auto"/>
                <w:kern w:val="0"/>
                <w:sz w:val="24"/>
                <w:u w:val="single"/>
                <w:lang w:val="en-US" w:eastAsia="zh-CN"/>
              </w:rPr>
              <w:t>5</w:t>
            </w:r>
            <w:r>
              <w:rPr>
                <w:color w:val="auto"/>
                <w:kern w:val="0"/>
                <w:sz w:val="24"/>
                <w:u w:val="single"/>
              </w:rPr>
              <w:t>年)》等相关文件进行固体废物及危险废物的判定，具体鉴别分析情况汇总于下表。</w:t>
            </w:r>
          </w:p>
          <w:p w14:paraId="48356DF5">
            <w:pPr>
              <w:wordWrap w:val="0"/>
              <w:topLinePunct/>
              <w:adjustRightInd w:val="0"/>
              <w:snapToGrid w:val="0"/>
              <w:jc w:val="center"/>
              <w:rPr>
                <w:b/>
                <w:color w:val="auto"/>
                <w:kern w:val="0"/>
                <w:sz w:val="24"/>
                <w:szCs w:val="24"/>
                <w:u w:val="none"/>
              </w:rPr>
            </w:pPr>
            <w:r>
              <w:rPr>
                <w:b/>
                <w:color w:val="auto"/>
                <w:kern w:val="0"/>
                <w:sz w:val="24"/>
                <w:szCs w:val="24"/>
                <w:u w:val="none"/>
              </w:rPr>
              <w:t>表4-1</w:t>
            </w:r>
            <w:r>
              <w:rPr>
                <w:rFonts w:hint="eastAsia"/>
                <w:b/>
                <w:color w:val="auto"/>
                <w:kern w:val="0"/>
                <w:sz w:val="24"/>
                <w:szCs w:val="24"/>
                <w:u w:val="none"/>
                <w:lang w:val="en-US" w:eastAsia="zh-CN"/>
              </w:rPr>
              <w:t>7</w:t>
            </w:r>
            <w:r>
              <w:rPr>
                <w:b/>
                <w:color w:val="auto"/>
                <w:kern w:val="0"/>
                <w:sz w:val="24"/>
                <w:szCs w:val="24"/>
                <w:u w:val="none"/>
              </w:rPr>
              <w:t xml:space="preserve"> 工业固体废物分析结果汇总表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201"/>
              <w:gridCol w:w="910"/>
              <w:gridCol w:w="1109"/>
              <w:gridCol w:w="1281"/>
              <w:gridCol w:w="738"/>
              <w:gridCol w:w="742"/>
              <w:gridCol w:w="471"/>
              <w:gridCol w:w="1619"/>
            </w:tblGrid>
            <w:tr w14:paraId="5E97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FA05CCA">
                  <w:pPr>
                    <w:wordWrap w:val="0"/>
                    <w:topLinePunct/>
                    <w:adjustRightInd w:val="0"/>
                    <w:snapToGrid w:val="0"/>
                    <w:ind w:left="-105" w:leftChars="-50" w:right="-105" w:rightChars="-50"/>
                    <w:jc w:val="center"/>
                    <w:rPr>
                      <w:b/>
                      <w:color w:val="auto"/>
                      <w:szCs w:val="21"/>
                      <w:u w:val="none"/>
                    </w:rPr>
                  </w:pPr>
                  <w:r>
                    <w:rPr>
                      <w:b/>
                      <w:color w:val="auto"/>
                      <w:szCs w:val="21"/>
                      <w:u w:val="none"/>
                    </w:rPr>
                    <w:t>序</w:t>
                  </w:r>
                </w:p>
                <w:p w14:paraId="688A5345">
                  <w:pPr>
                    <w:wordWrap w:val="0"/>
                    <w:topLinePunct/>
                    <w:adjustRightInd w:val="0"/>
                    <w:snapToGrid w:val="0"/>
                    <w:ind w:left="-105" w:leftChars="-50" w:right="-105" w:rightChars="-50"/>
                    <w:jc w:val="center"/>
                    <w:rPr>
                      <w:b/>
                      <w:color w:val="auto"/>
                      <w:szCs w:val="21"/>
                      <w:u w:val="none"/>
                    </w:rPr>
                  </w:pPr>
                  <w:r>
                    <w:rPr>
                      <w:b/>
                      <w:color w:val="auto"/>
                      <w:szCs w:val="21"/>
                      <w:u w:val="none"/>
                    </w:rPr>
                    <w:t>号</w:t>
                  </w:r>
                </w:p>
              </w:tc>
              <w:tc>
                <w:tcPr>
                  <w:tcW w:w="706" w:type="pct"/>
                  <w:vAlign w:val="center"/>
                </w:tcPr>
                <w:p w14:paraId="343F4C14">
                  <w:pPr>
                    <w:wordWrap w:val="0"/>
                    <w:topLinePunct/>
                    <w:adjustRightInd w:val="0"/>
                    <w:snapToGrid w:val="0"/>
                    <w:ind w:left="-105" w:leftChars="-50" w:right="-105" w:rightChars="-50"/>
                    <w:jc w:val="center"/>
                    <w:rPr>
                      <w:b/>
                      <w:color w:val="auto"/>
                      <w:szCs w:val="21"/>
                      <w:u w:val="none"/>
                    </w:rPr>
                  </w:pPr>
                  <w:r>
                    <w:rPr>
                      <w:b/>
                      <w:color w:val="auto"/>
                      <w:szCs w:val="21"/>
                      <w:u w:val="none"/>
                    </w:rPr>
                    <w:t>固废名称</w:t>
                  </w:r>
                </w:p>
              </w:tc>
              <w:tc>
                <w:tcPr>
                  <w:tcW w:w="535" w:type="pct"/>
                  <w:vAlign w:val="center"/>
                </w:tcPr>
                <w:p w14:paraId="63100A9C">
                  <w:pPr>
                    <w:wordWrap w:val="0"/>
                    <w:topLinePunct/>
                    <w:adjustRightInd w:val="0"/>
                    <w:snapToGrid w:val="0"/>
                    <w:ind w:left="-105" w:leftChars="-50" w:right="-105" w:rightChars="-50"/>
                    <w:jc w:val="center"/>
                    <w:rPr>
                      <w:b/>
                      <w:color w:val="auto"/>
                      <w:szCs w:val="21"/>
                      <w:u w:val="none"/>
                    </w:rPr>
                  </w:pPr>
                  <w:r>
                    <w:rPr>
                      <w:b/>
                      <w:color w:val="auto"/>
                      <w:szCs w:val="21"/>
                      <w:u w:val="none"/>
                    </w:rPr>
                    <w:t>产生量</w:t>
                  </w:r>
                </w:p>
                <w:p w14:paraId="606F251C">
                  <w:pPr>
                    <w:wordWrap w:val="0"/>
                    <w:topLinePunct/>
                    <w:adjustRightInd w:val="0"/>
                    <w:snapToGrid w:val="0"/>
                    <w:ind w:left="-105" w:leftChars="-50" w:right="-105" w:rightChars="-50"/>
                    <w:jc w:val="center"/>
                    <w:rPr>
                      <w:b/>
                      <w:color w:val="auto"/>
                      <w:szCs w:val="21"/>
                      <w:u w:val="none"/>
                    </w:rPr>
                  </w:pPr>
                  <w:r>
                    <w:rPr>
                      <w:b/>
                      <w:color w:val="auto"/>
                      <w:kern w:val="0"/>
                      <w:szCs w:val="21"/>
                      <w:u w:val="none"/>
                    </w:rPr>
                    <w:t>t/a</w:t>
                  </w:r>
                </w:p>
              </w:tc>
              <w:tc>
                <w:tcPr>
                  <w:tcW w:w="652" w:type="pct"/>
                  <w:vAlign w:val="center"/>
                </w:tcPr>
                <w:p w14:paraId="5C6D011B">
                  <w:pPr>
                    <w:wordWrap w:val="0"/>
                    <w:topLinePunct/>
                    <w:adjustRightInd w:val="0"/>
                    <w:snapToGrid w:val="0"/>
                    <w:ind w:left="-105" w:leftChars="-50" w:right="-105" w:rightChars="-50"/>
                    <w:jc w:val="center"/>
                    <w:rPr>
                      <w:b/>
                      <w:color w:val="auto"/>
                      <w:szCs w:val="21"/>
                      <w:u w:val="none"/>
                    </w:rPr>
                  </w:pPr>
                  <w:r>
                    <w:rPr>
                      <w:b/>
                      <w:color w:val="auto"/>
                      <w:szCs w:val="21"/>
                      <w:u w:val="none"/>
                    </w:rPr>
                    <w:t>分类</w:t>
                  </w:r>
                </w:p>
              </w:tc>
              <w:tc>
                <w:tcPr>
                  <w:tcW w:w="753" w:type="pct"/>
                  <w:vAlign w:val="center"/>
                </w:tcPr>
                <w:p w14:paraId="485C9226">
                  <w:pPr>
                    <w:wordWrap w:val="0"/>
                    <w:topLinePunct/>
                    <w:adjustRightInd w:val="0"/>
                    <w:snapToGrid w:val="0"/>
                    <w:ind w:left="-105" w:leftChars="-50" w:right="-105" w:rightChars="-50"/>
                    <w:jc w:val="center"/>
                    <w:rPr>
                      <w:b/>
                      <w:color w:val="auto"/>
                      <w:szCs w:val="21"/>
                      <w:u w:val="none"/>
                    </w:rPr>
                  </w:pPr>
                  <w:r>
                    <w:rPr>
                      <w:b/>
                      <w:color w:val="auto"/>
                      <w:szCs w:val="21"/>
                      <w:u w:val="none"/>
                    </w:rPr>
                    <w:t>主要有毒有害物质名称</w:t>
                  </w:r>
                </w:p>
              </w:tc>
              <w:tc>
                <w:tcPr>
                  <w:tcW w:w="434" w:type="pct"/>
                  <w:vAlign w:val="center"/>
                </w:tcPr>
                <w:p w14:paraId="16EA6725">
                  <w:pPr>
                    <w:wordWrap w:val="0"/>
                    <w:topLinePunct/>
                    <w:adjustRightInd w:val="0"/>
                    <w:snapToGrid w:val="0"/>
                    <w:ind w:left="-105" w:leftChars="-50" w:right="-105" w:rightChars="-50"/>
                    <w:jc w:val="center"/>
                    <w:rPr>
                      <w:b/>
                      <w:color w:val="auto"/>
                      <w:szCs w:val="21"/>
                      <w:u w:val="none"/>
                    </w:rPr>
                  </w:pPr>
                  <w:r>
                    <w:rPr>
                      <w:b/>
                      <w:color w:val="auto"/>
                      <w:szCs w:val="21"/>
                      <w:u w:val="none"/>
                    </w:rPr>
                    <w:t>物理</w:t>
                  </w:r>
                </w:p>
                <w:p w14:paraId="4C3F3BB9">
                  <w:pPr>
                    <w:wordWrap w:val="0"/>
                    <w:topLinePunct/>
                    <w:adjustRightInd w:val="0"/>
                    <w:snapToGrid w:val="0"/>
                    <w:ind w:left="-105" w:leftChars="-50" w:right="-105" w:rightChars="-50"/>
                    <w:jc w:val="center"/>
                    <w:rPr>
                      <w:b/>
                      <w:color w:val="auto"/>
                      <w:szCs w:val="21"/>
                      <w:u w:val="none"/>
                    </w:rPr>
                  </w:pPr>
                  <w:r>
                    <w:rPr>
                      <w:b/>
                      <w:color w:val="auto"/>
                      <w:szCs w:val="21"/>
                      <w:u w:val="none"/>
                    </w:rPr>
                    <w:t>性状</w:t>
                  </w:r>
                </w:p>
              </w:tc>
              <w:tc>
                <w:tcPr>
                  <w:tcW w:w="436" w:type="pct"/>
                  <w:vAlign w:val="center"/>
                </w:tcPr>
                <w:p w14:paraId="2B059AE8">
                  <w:pPr>
                    <w:wordWrap w:val="0"/>
                    <w:topLinePunct/>
                    <w:adjustRightInd w:val="0"/>
                    <w:snapToGrid w:val="0"/>
                    <w:ind w:left="-105" w:leftChars="-50" w:right="-105" w:rightChars="-50"/>
                    <w:jc w:val="center"/>
                    <w:rPr>
                      <w:b/>
                      <w:color w:val="auto"/>
                      <w:szCs w:val="21"/>
                      <w:u w:val="none"/>
                    </w:rPr>
                  </w:pPr>
                  <w:r>
                    <w:rPr>
                      <w:b/>
                      <w:color w:val="auto"/>
                      <w:szCs w:val="21"/>
                      <w:u w:val="none"/>
                    </w:rPr>
                    <w:t>环境危险特性</w:t>
                  </w:r>
                </w:p>
              </w:tc>
              <w:tc>
                <w:tcPr>
                  <w:tcW w:w="277" w:type="pct"/>
                  <w:vAlign w:val="center"/>
                </w:tcPr>
                <w:p w14:paraId="5B1BE60A">
                  <w:pPr>
                    <w:wordWrap w:val="0"/>
                    <w:topLinePunct/>
                    <w:adjustRightInd w:val="0"/>
                    <w:snapToGrid w:val="0"/>
                    <w:ind w:left="-105" w:leftChars="-50" w:right="-105" w:rightChars="-50"/>
                    <w:jc w:val="center"/>
                    <w:rPr>
                      <w:b/>
                      <w:color w:val="auto"/>
                      <w:szCs w:val="21"/>
                      <w:u w:val="none"/>
                    </w:rPr>
                  </w:pPr>
                  <w:r>
                    <w:rPr>
                      <w:b/>
                      <w:color w:val="auto"/>
                      <w:szCs w:val="21"/>
                      <w:u w:val="none"/>
                    </w:rPr>
                    <w:t>贮存方式</w:t>
                  </w:r>
                </w:p>
              </w:tc>
              <w:tc>
                <w:tcPr>
                  <w:tcW w:w="952" w:type="pct"/>
                  <w:vAlign w:val="center"/>
                </w:tcPr>
                <w:p w14:paraId="06949C0F">
                  <w:pPr>
                    <w:wordWrap w:val="0"/>
                    <w:topLinePunct/>
                    <w:adjustRightInd w:val="0"/>
                    <w:snapToGrid w:val="0"/>
                    <w:ind w:left="-105" w:leftChars="-50" w:right="-105" w:rightChars="-50"/>
                    <w:jc w:val="center"/>
                    <w:rPr>
                      <w:b/>
                      <w:color w:val="auto"/>
                      <w:szCs w:val="21"/>
                      <w:u w:val="none"/>
                    </w:rPr>
                  </w:pPr>
                  <w:r>
                    <w:rPr>
                      <w:b/>
                      <w:color w:val="auto"/>
                      <w:szCs w:val="21"/>
                      <w:u w:val="none"/>
                    </w:rPr>
                    <w:t>处置措施</w:t>
                  </w:r>
                </w:p>
                <w:p w14:paraId="316E7397">
                  <w:pPr>
                    <w:wordWrap w:val="0"/>
                    <w:topLinePunct/>
                    <w:adjustRightInd w:val="0"/>
                    <w:snapToGrid w:val="0"/>
                    <w:ind w:left="-105" w:leftChars="-50" w:right="-105" w:rightChars="-50"/>
                    <w:jc w:val="center"/>
                    <w:rPr>
                      <w:b/>
                      <w:color w:val="auto"/>
                      <w:szCs w:val="21"/>
                      <w:u w:val="none"/>
                    </w:rPr>
                  </w:pPr>
                  <w:r>
                    <w:rPr>
                      <w:b/>
                      <w:color w:val="auto"/>
                      <w:szCs w:val="21"/>
                      <w:u w:val="none"/>
                    </w:rPr>
                    <w:t>及去向</w:t>
                  </w:r>
                </w:p>
              </w:tc>
            </w:tr>
            <w:tr w14:paraId="5810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EE18907">
                  <w:pPr>
                    <w:wordWrap w:val="0"/>
                    <w:topLinePunct/>
                    <w:adjustRightInd w:val="0"/>
                    <w:snapToGrid w:val="0"/>
                    <w:ind w:left="-105" w:leftChars="-50" w:right="-105" w:rightChars="-50"/>
                    <w:jc w:val="center"/>
                    <w:rPr>
                      <w:color w:val="auto"/>
                      <w:szCs w:val="21"/>
                      <w:u w:val="none"/>
                    </w:rPr>
                  </w:pPr>
                  <w:r>
                    <w:rPr>
                      <w:color w:val="auto"/>
                      <w:szCs w:val="21"/>
                      <w:u w:val="none"/>
                    </w:rPr>
                    <w:t>1</w:t>
                  </w:r>
                </w:p>
              </w:tc>
              <w:tc>
                <w:tcPr>
                  <w:tcW w:w="706" w:type="pct"/>
                  <w:vAlign w:val="center"/>
                </w:tcPr>
                <w:p w14:paraId="09975323">
                  <w:pPr>
                    <w:wordWrap w:val="0"/>
                    <w:topLinePunct/>
                    <w:adjustRightInd w:val="0"/>
                    <w:snapToGrid w:val="0"/>
                    <w:ind w:left="-105" w:leftChars="-50" w:right="-105" w:rightChars="-50"/>
                    <w:jc w:val="center"/>
                    <w:rPr>
                      <w:color w:val="auto"/>
                      <w:szCs w:val="21"/>
                      <w:u w:val="none"/>
                    </w:rPr>
                  </w:pPr>
                  <w:r>
                    <w:rPr>
                      <w:color w:val="auto"/>
                      <w:szCs w:val="21"/>
                      <w:u w:val="none"/>
                    </w:rPr>
                    <w:t>储罐油泥</w:t>
                  </w:r>
                </w:p>
              </w:tc>
              <w:tc>
                <w:tcPr>
                  <w:tcW w:w="535" w:type="pct"/>
                  <w:vAlign w:val="center"/>
                </w:tcPr>
                <w:p w14:paraId="1F4C7093">
                  <w:pPr>
                    <w:wordWrap w:val="0"/>
                    <w:topLinePunct/>
                    <w:adjustRightInd w:val="0"/>
                    <w:snapToGrid w:val="0"/>
                    <w:ind w:left="-105" w:leftChars="-50" w:right="-105" w:rightChars="-50"/>
                    <w:jc w:val="center"/>
                    <w:rPr>
                      <w:color w:val="auto"/>
                      <w:szCs w:val="21"/>
                      <w:u w:val="none"/>
                    </w:rPr>
                  </w:pPr>
                  <w:r>
                    <w:rPr>
                      <w:color w:val="auto"/>
                      <w:szCs w:val="21"/>
                      <w:u w:val="none"/>
                    </w:rPr>
                    <w:t>0.5</w:t>
                  </w:r>
                </w:p>
              </w:tc>
              <w:tc>
                <w:tcPr>
                  <w:tcW w:w="652" w:type="pct"/>
                  <w:vAlign w:val="center"/>
                </w:tcPr>
                <w:p w14:paraId="5C397613">
                  <w:pPr>
                    <w:wordWrap w:val="0"/>
                    <w:topLinePunct/>
                    <w:adjustRightInd w:val="0"/>
                    <w:snapToGrid w:val="0"/>
                    <w:ind w:left="-105" w:leftChars="-50" w:right="-105" w:rightChars="-50"/>
                    <w:jc w:val="center"/>
                    <w:rPr>
                      <w:color w:val="auto"/>
                      <w:szCs w:val="21"/>
                      <w:u w:val="none"/>
                    </w:rPr>
                  </w:pPr>
                  <w:r>
                    <w:rPr>
                      <w:color w:val="auto"/>
                      <w:szCs w:val="21"/>
                      <w:u w:val="none"/>
                    </w:rPr>
                    <w:t>HW</w:t>
                  </w:r>
                  <w:r>
                    <w:rPr>
                      <w:rFonts w:hint="eastAsia"/>
                      <w:color w:val="auto"/>
                      <w:szCs w:val="21"/>
                      <w:u w:val="none"/>
                      <w:lang w:val="en-US" w:eastAsia="zh-CN"/>
                    </w:rPr>
                    <w:t>08</w:t>
                  </w:r>
                  <w:r>
                    <w:rPr>
                      <w:color w:val="auto"/>
                      <w:szCs w:val="21"/>
                      <w:u w:val="none"/>
                    </w:rPr>
                    <w:t xml:space="preserve"> 900-</w:t>
                  </w:r>
                  <w:r>
                    <w:rPr>
                      <w:rFonts w:hint="eastAsia"/>
                      <w:color w:val="auto"/>
                      <w:szCs w:val="21"/>
                      <w:u w:val="none"/>
                      <w:lang w:val="en-US" w:eastAsia="zh-CN"/>
                    </w:rPr>
                    <w:t>221</w:t>
                  </w:r>
                  <w:r>
                    <w:rPr>
                      <w:color w:val="auto"/>
                      <w:szCs w:val="21"/>
                      <w:u w:val="none"/>
                    </w:rPr>
                    <w:t>-08废矿物油与含矿物油废物</w:t>
                  </w:r>
                </w:p>
              </w:tc>
              <w:tc>
                <w:tcPr>
                  <w:tcW w:w="753" w:type="pct"/>
                  <w:vAlign w:val="center"/>
                </w:tcPr>
                <w:p w14:paraId="57CAA7EA">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434" w:type="pct"/>
                  <w:vAlign w:val="center"/>
                </w:tcPr>
                <w:p w14:paraId="3743AF6B">
                  <w:pPr>
                    <w:wordWrap w:val="0"/>
                    <w:topLinePunct/>
                    <w:adjustRightInd w:val="0"/>
                    <w:snapToGrid w:val="0"/>
                    <w:ind w:left="-105" w:leftChars="-50" w:right="-105" w:rightChars="-50"/>
                    <w:jc w:val="center"/>
                    <w:rPr>
                      <w:color w:val="auto"/>
                      <w:szCs w:val="21"/>
                      <w:u w:val="none"/>
                    </w:rPr>
                  </w:pPr>
                  <w:r>
                    <w:rPr>
                      <w:color w:val="auto"/>
                      <w:szCs w:val="21"/>
                      <w:u w:val="none"/>
                    </w:rPr>
                    <w:t>固态</w:t>
                  </w:r>
                </w:p>
              </w:tc>
              <w:tc>
                <w:tcPr>
                  <w:tcW w:w="436" w:type="pct"/>
                  <w:vAlign w:val="center"/>
                </w:tcPr>
                <w:p w14:paraId="08711A02">
                  <w:pPr>
                    <w:wordWrap w:val="0"/>
                    <w:topLinePunct/>
                    <w:adjustRightInd w:val="0"/>
                    <w:snapToGrid w:val="0"/>
                    <w:ind w:left="-105" w:leftChars="-50" w:right="-105" w:rightChars="-50"/>
                    <w:jc w:val="center"/>
                    <w:rPr>
                      <w:color w:val="auto"/>
                      <w:szCs w:val="21"/>
                      <w:u w:val="none"/>
                    </w:rPr>
                  </w:pPr>
                  <w:r>
                    <w:rPr>
                      <w:color w:val="auto"/>
                      <w:szCs w:val="21"/>
                      <w:u w:val="none"/>
                    </w:rPr>
                    <w:t>T，I</w:t>
                  </w:r>
                </w:p>
              </w:tc>
              <w:tc>
                <w:tcPr>
                  <w:tcW w:w="277" w:type="pct"/>
                  <w:vAlign w:val="center"/>
                </w:tcPr>
                <w:p w14:paraId="68001D4F">
                  <w:pPr>
                    <w:wordWrap w:val="0"/>
                    <w:topLinePunct/>
                    <w:adjustRightInd w:val="0"/>
                    <w:snapToGrid w:val="0"/>
                    <w:ind w:left="-105" w:leftChars="-50" w:right="-105" w:rightChars="-50"/>
                    <w:jc w:val="center"/>
                    <w:rPr>
                      <w:color w:val="auto"/>
                      <w:szCs w:val="21"/>
                      <w:u w:val="none"/>
                    </w:rPr>
                  </w:pPr>
                  <w:r>
                    <w:rPr>
                      <w:color w:val="auto"/>
                      <w:szCs w:val="21"/>
                      <w:u w:val="none"/>
                    </w:rPr>
                    <w:t>桶装</w:t>
                  </w:r>
                </w:p>
              </w:tc>
              <w:tc>
                <w:tcPr>
                  <w:tcW w:w="952" w:type="pct"/>
                  <w:vAlign w:val="center"/>
                </w:tcPr>
                <w:p w14:paraId="06544195">
                  <w:pPr>
                    <w:wordWrap w:val="0"/>
                    <w:topLinePunct/>
                    <w:adjustRightInd w:val="0"/>
                    <w:snapToGrid w:val="0"/>
                    <w:ind w:left="-105" w:leftChars="-50" w:right="-105" w:rightChars="-50"/>
                    <w:jc w:val="center"/>
                    <w:rPr>
                      <w:color w:val="auto"/>
                      <w:szCs w:val="21"/>
                      <w:u w:val="none"/>
                    </w:rPr>
                  </w:pPr>
                  <w:r>
                    <w:rPr>
                      <w:color w:val="auto"/>
                      <w:szCs w:val="21"/>
                      <w:u w:val="none"/>
                    </w:rPr>
                    <w:t>委托专业油罐清理公司直接运走，不暂存</w:t>
                  </w:r>
                </w:p>
              </w:tc>
            </w:tr>
            <w:tr w14:paraId="28A4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282287C1">
                  <w:pPr>
                    <w:wordWrap w:val="0"/>
                    <w:topLinePunct/>
                    <w:adjustRightInd w:val="0"/>
                    <w:snapToGrid w:val="0"/>
                    <w:ind w:left="-105" w:leftChars="-50" w:right="-105" w:rightChars="-50"/>
                    <w:jc w:val="center"/>
                    <w:rPr>
                      <w:color w:val="auto"/>
                      <w:szCs w:val="21"/>
                      <w:u w:val="none"/>
                    </w:rPr>
                  </w:pPr>
                  <w:r>
                    <w:rPr>
                      <w:color w:val="auto"/>
                      <w:szCs w:val="21"/>
                      <w:u w:val="none"/>
                    </w:rPr>
                    <w:t>2</w:t>
                  </w:r>
                </w:p>
              </w:tc>
              <w:tc>
                <w:tcPr>
                  <w:tcW w:w="706" w:type="pct"/>
                  <w:vAlign w:val="center"/>
                </w:tcPr>
                <w:p w14:paraId="72ED486B">
                  <w:pPr>
                    <w:wordWrap w:val="0"/>
                    <w:topLinePunct/>
                    <w:adjustRightInd w:val="0"/>
                    <w:snapToGrid w:val="0"/>
                    <w:ind w:left="-105" w:leftChars="-50" w:right="-105" w:rightChars="-50"/>
                    <w:jc w:val="center"/>
                    <w:rPr>
                      <w:color w:val="auto"/>
                      <w:szCs w:val="21"/>
                      <w:u w:val="none"/>
                    </w:rPr>
                  </w:pPr>
                  <w:r>
                    <w:rPr>
                      <w:color w:val="auto"/>
                      <w:szCs w:val="21"/>
                      <w:u w:val="none"/>
                    </w:rPr>
                    <w:t>隔油沉淀池油泥</w:t>
                  </w:r>
                </w:p>
              </w:tc>
              <w:tc>
                <w:tcPr>
                  <w:tcW w:w="535" w:type="pct"/>
                  <w:vAlign w:val="center"/>
                </w:tcPr>
                <w:p w14:paraId="35A55EF0">
                  <w:pPr>
                    <w:wordWrap w:val="0"/>
                    <w:topLinePunct/>
                    <w:adjustRightInd w:val="0"/>
                    <w:snapToGrid w:val="0"/>
                    <w:ind w:left="-105" w:leftChars="-50" w:right="-105" w:rightChars="-50"/>
                    <w:jc w:val="center"/>
                    <w:rPr>
                      <w:color w:val="auto"/>
                      <w:szCs w:val="21"/>
                      <w:u w:val="none"/>
                    </w:rPr>
                  </w:pPr>
                  <w:r>
                    <w:rPr>
                      <w:color w:val="auto"/>
                      <w:szCs w:val="21"/>
                      <w:u w:val="none"/>
                    </w:rPr>
                    <w:t>0.</w:t>
                  </w:r>
                  <w:r>
                    <w:rPr>
                      <w:rFonts w:hint="eastAsia"/>
                      <w:color w:val="auto"/>
                      <w:szCs w:val="21"/>
                      <w:u w:val="none"/>
                    </w:rPr>
                    <w:t>4</w:t>
                  </w:r>
                </w:p>
              </w:tc>
              <w:tc>
                <w:tcPr>
                  <w:tcW w:w="652" w:type="pct"/>
                  <w:vAlign w:val="center"/>
                </w:tcPr>
                <w:p w14:paraId="295E326B">
                  <w:pPr>
                    <w:wordWrap w:val="0"/>
                    <w:topLinePunct/>
                    <w:adjustRightInd w:val="0"/>
                    <w:snapToGrid w:val="0"/>
                    <w:ind w:left="-105" w:leftChars="-50" w:right="-105" w:rightChars="-50"/>
                    <w:jc w:val="center"/>
                    <w:rPr>
                      <w:color w:val="auto"/>
                      <w:szCs w:val="21"/>
                      <w:u w:val="none"/>
                    </w:rPr>
                  </w:pPr>
                  <w:r>
                    <w:rPr>
                      <w:color w:val="auto"/>
                      <w:szCs w:val="21"/>
                      <w:u w:val="none"/>
                    </w:rPr>
                    <w:t>HW</w:t>
                  </w:r>
                  <w:r>
                    <w:rPr>
                      <w:rFonts w:hint="eastAsia"/>
                      <w:color w:val="auto"/>
                      <w:szCs w:val="21"/>
                      <w:u w:val="none"/>
                      <w:lang w:val="en-US" w:eastAsia="zh-CN"/>
                    </w:rPr>
                    <w:t>08</w:t>
                  </w:r>
                  <w:r>
                    <w:rPr>
                      <w:color w:val="auto"/>
                      <w:szCs w:val="21"/>
                      <w:u w:val="none"/>
                    </w:rPr>
                    <w:t xml:space="preserve"> 900-210-08废矿物油与含矿物油废物</w:t>
                  </w:r>
                </w:p>
              </w:tc>
              <w:tc>
                <w:tcPr>
                  <w:tcW w:w="753" w:type="pct"/>
                  <w:vAlign w:val="center"/>
                </w:tcPr>
                <w:p w14:paraId="1BA0A98F">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434" w:type="pct"/>
                  <w:vAlign w:val="center"/>
                </w:tcPr>
                <w:p w14:paraId="6A9AE3AC">
                  <w:pPr>
                    <w:wordWrap w:val="0"/>
                    <w:topLinePunct/>
                    <w:adjustRightInd w:val="0"/>
                    <w:snapToGrid w:val="0"/>
                    <w:ind w:left="-105" w:leftChars="-50" w:right="-105" w:rightChars="-50"/>
                    <w:jc w:val="center"/>
                    <w:rPr>
                      <w:color w:val="auto"/>
                      <w:szCs w:val="21"/>
                      <w:u w:val="none"/>
                    </w:rPr>
                  </w:pPr>
                  <w:r>
                    <w:rPr>
                      <w:color w:val="auto"/>
                      <w:szCs w:val="21"/>
                      <w:u w:val="none"/>
                    </w:rPr>
                    <w:t>固态</w:t>
                  </w:r>
                </w:p>
              </w:tc>
              <w:tc>
                <w:tcPr>
                  <w:tcW w:w="436" w:type="pct"/>
                  <w:vAlign w:val="center"/>
                </w:tcPr>
                <w:p w14:paraId="62925EBA">
                  <w:pPr>
                    <w:wordWrap w:val="0"/>
                    <w:topLinePunct/>
                    <w:adjustRightInd w:val="0"/>
                    <w:snapToGrid w:val="0"/>
                    <w:ind w:left="-105" w:leftChars="-50" w:right="-105" w:rightChars="-50"/>
                    <w:jc w:val="center"/>
                    <w:rPr>
                      <w:color w:val="auto"/>
                      <w:szCs w:val="21"/>
                      <w:u w:val="none"/>
                    </w:rPr>
                  </w:pPr>
                  <w:r>
                    <w:rPr>
                      <w:color w:val="auto"/>
                      <w:szCs w:val="21"/>
                      <w:u w:val="none"/>
                    </w:rPr>
                    <w:t>T，I</w:t>
                  </w:r>
                </w:p>
              </w:tc>
              <w:tc>
                <w:tcPr>
                  <w:tcW w:w="277" w:type="pct"/>
                  <w:vAlign w:val="center"/>
                </w:tcPr>
                <w:p w14:paraId="374A3F68">
                  <w:pPr>
                    <w:wordWrap w:val="0"/>
                    <w:topLinePunct/>
                    <w:adjustRightInd w:val="0"/>
                    <w:snapToGrid w:val="0"/>
                    <w:ind w:left="-105" w:leftChars="-50" w:right="-105" w:rightChars="-50"/>
                    <w:jc w:val="center"/>
                    <w:rPr>
                      <w:color w:val="auto"/>
                      <w:szCs w:val="21"/>
                      <w:u w:val="none"/>
                    </w:rPr>
                  </w:pPr>
                  <w:r>
                    <w:rPr>
                      <w:color w:val="auto"/>
                      <w:szCs w:val="21"/>
                      <w:u w:val="none"/>
                    </w:rPr>
                    <w:t>桶装</w:t>
                  </w:r>
                </w:p>
              </w:tc>
              <w:tc>
                <w:tcPr>
                  <w:tcW w:w="952" w:type="pct"/>
                  <w:vAlign w:val="center"/>
                </w:tcPr>
                <w:p w14:paraId="05FB5BF2">
                  <w:pPr>
                    <w:wordWrap w:val="0"/>
                    <w:topLinePunct/>
                    <w:adjustRightInd w:val="0"/>
                    <w:snapToGrid w:val="0"/>
                    <w:ind w:left="-105" w:leftChars="-50" w:right="-105" w:rightChars="-50"/>
                    <w:jc w:val="center"/>
                    <w:rPr>
                      <w:color w:val="auto"/>
                      <w:szCs w:val="21"/>
                      <w:u w:val="none"/>
                    </w:rPr>
                  </w:pPr>
                  <w:r>
                    <w:rPr>
                      <w:color w:val="auto"/>
                      <w:szCs w:val="21"/>
                      <w:u w:val="none"/>
                    </w:rPr>
                    <w:t>集中收集后交由有资质单位进行无害化处理</w:t>
                  </w:r>
                </w:p>
              </w:tc>
            </w:tr>
            <w:tr w14:paraId="2A91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0" w:type="pct"/>
                  <w:vAlign w:val="center"/>
                </w:tcPr>
                <w:p w14:paraId="1851CB25">
                  <w:pPr>
                    <w:wordWrap w:val="0"/>
                    <w:topLinePunct/>
                    <w:adjustRightInd w:val="0"/>
                    <w:snapToGrid w:val="0"/>
                    <w:ind w:left="-105" w:leftChars="-50" w:right="-105" w:rightChars="-50"/>
                    <w:jc w:val="center"/>
                    <w:rPr>
                      <w:color w:val="auto"/>
                      <w:szCs w:val="21"/>
                      <w:u w:val="none"/>
                    </w:rPr>
                  </w:pPr>
                  <w:r>
                    <w:rPr>
                      <w:color w:val="auto"/>
                      <w:szCs w:val="21"/>
                      <w:u w:val="none"/>
                    </w:rPr>
                    <w:t>3</w:t>
                  </w:r>
                </w:p>
              </w:tc>
              <w:tc>
                <w:tcPr>
                  <w:tcW w:w="706" w:type="pct"/>
                  <w:vAlign w:val="center"/>
                </w:tcPr>
                <w:p w14:paraId="7585E2EC">
                  <w:pPr>
                    <w:wordWrap w:val="0"/>
                    <w:topLinePunct/>
                    <w:adjustRightInd w:val="0"/>
                    <w:snapToGrid w:val="0"/>
                    <w:ind w:left="-105" w:leftChars="-50" w:right="-105" w:rightChars="-50"/>
                    <w:jc w:val="center"/>
                    <w:rPr>
                      <w:color w:val="auto"/>
                      <w:szCs w:val="21"/>
                      <w:u w:val="none"/>
                    </w:rPr>
                  </w:pPr>
                  <w:r>
                    <w:rPr>
                      <w:color w:val="auto"/>
                      <w:szCs w:val="21"/>
                      <w:u w:val="none"/>
                    </w:rPr>
                    <w:t>含油消防沙</w:t>
                  </w:r>
                </w:p>
              </w:tc>
              <w:tc>
                <w:tcPr>
                  <w:tcW w:w="535" w:type="pct"/>
                  <w:vAlign w:val="center"/>
                </w:tcPr>
                <w:p w14:paraId="29846894">
                  <w:pPr>
                    <w:wordWrap w:val="0"/>
                    <w:topLinePunct/>
                    <w:adjustRightInd w:val="0"/>
                    <w:snapToGrid w:val="0"/>
                    <w:ind w:left="-105" w:leftChars="-50" w:right="-105" w:rightChars="-50"/>
                    <w:jc w:val="center"/>
                    <w:rPr>
                      <w:color w:val="auto"/>
                      <w:szCs w:val="21"/>
                      <w:u w:val="none"/>
                    </w:rPr>
                  </w:pPr>
                  <w:r>
                    <w:rPr>
                      <w:color w:val="auto"/>
                      <w:szCs w:val="21"/>
                      <w:u w:val="none"/>
                    </w:rPr>
                    <w:t>0.</w:t>
                  </w:r>
                  <w:r>
                    <w:rPr>
                      <w:rFonts w:hint="eastAsia"/>
                      <w:color w:val="auto"/>
                      <w:szCs w:val="21"/>
                      <w:u w:val="none"/>
                    </w:rPr>
                    <w:t>1</w:t>
                  </w:r>
                </w:p>
              </w:tc>
              <w:tc>
                <w:tcPr>
                  <w:tcW w:w="652" w:type="pct"/>
                  <w:vAlign w:val="center"/>
                </w:tcPr>
                <w:p w14:paraId="4908432C">
                  <w:pPr>
                    <w:wordWrap w:val="0"/>
                    <w:topLinePunct/>
                    <w:adjustRightInd w:val="0"/>
                    <w:snapToGrid w:val="0"/>
                    <w:ind w:left="-105" w:leftChars="-50" w:right="-105" w:rightChars="-50"/>
                    <w:jc w:val="center"/>
                    <w:rPr>
                      <w:color w:val="auto"/>
                      <w:szCs w:val="21"/>
                      <w:u w:val="none"/>
                    </w:rPr>
                  </w:pPr>
                  <w:r>
                    <w:rPr>
                      <w:color w:val="auto"/>
                      <w:szCs w:val="21"/>
                      <w:u w:val="none"/>
                    </w:rPr>
                    <w:t>HW49 900-042-49处置突发性污染事故后遗下的危化品及清理物</w:t>
                  </w:r>
                </w:p>
              </w:tc>
              <w:tc>
                <w:tcPr>
                  <w:tcW w:w="753" w:type="pct"/>
                  <w:vAlign w:val="center"/>
                </w:tcPr>
                <w:p w14:paraId="616836AF">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434" w:type="pct"/>
                  <w:vAlign w:val="center"/>
                </w:tcPr>
                <w:p w14:paraId="07F62CB6">
                  <w:pPr>
                    <w:wordWrap w:val="0"/>
                    <w:topLinePunct/>
                    <w:adjustRightInd w:val="0"/>
                    <w:snapToGrid w:val="0"/>
                    <w:ind w:left="-105" w:leftChars="-50" w:right="-105" w:rightChars="-50"/>
                    <w:jc w:val="center"/>
                    <w:rPr>
                      <w:color w:val="auto"/>
                      <w:szCs w:val="21"/>
                      <w:u w:val="none"/>
                    </w:rPr>
                  </w:pPr>
                  <w:r>
                    <w:rPr>
                      <w:color w:val="auto"/>
                      <w:szCs w:val="21"/>
                      <w:u w:val="none"/>
                    </w:rPr>
                    <w:t>固态</w:t>
                  </w:r>
                </w:p>
              </w:tc>
              <w:tc>
                <w:tcPr>
                  <w:tcW w:w="436" w:type="pct"/>
                  <w:vAlign w:val="center"/>
                </w:tcPr>
                <w:p w14:paraId="75016131">
                  <w:pPr>
                    <w:wordWrap w:val="0"/>
                    <w:topLinePunct/>
                    <w:adjustRightInd w:val="0"/>
                    <w:snapToGrid w:val="0"/>
                    <w:ind w:left="-105" w:leftChars="-50" w:right="-105" w:rightChars="-50"/>
                    <w:jc w:val="center"/>
                    <w:rPr>
                      <w:color w:val="auto"/>
                      <w:szCs w:val="21"/>
                      <w:u w:val="none"/>
                    </w:rPr>
                  </w:pPr>
                  <w:r>
                    <w:rPr>
                      <w:color w:val="auto"/>
                      <w:szCs w:val="21"/>
                      <w:u w:val="none"/>
                    </w:rPr>
                    <w:t>T，I</w:t>
                  </w:r>
                </w:p>
              </w:tc>
              <w:tc>
                <w:tcPr>
                  <w:tcW w:w="277" w:type="pct"/>
                  <w:vAlign w:val="center"/>
                </w:tcPr>
                <w:p w14:paraId="6BE083C7">
                  <w:pPr>
                    <w:wordWrap w:val="0"/>
                    <w:topLinePunct/>
                    <w:adjustRightInd w:val="0"/>
                    <w:snapToGrid w:val="0"/>
                    <w:ind w:left="-105" w:leftChars="-50" w:right="-105" w:rightChars="-50"/>
                    <w:jc w:val="center"/>
                    <w:rPr>
                      <w:color w:val="auto"/>
                      <w:szCs w:val="21"/>
                      <w:u w:val="none"/>
                    </w:rPr>
                  </w:pPr>
                  <w:r>
                    <w:rPr>
                      <w:color w:val="auto"/>
                      <w:szCs w:val="21"/>
                      <w:u w:val="none"/>
                    </w:rPr>
                    <w:t>桶装</w:t>
                  </w:r>
                </w:p>
              </w:tc>
              <w:tc>
                <w:tcPr>
                  <w:tcW w:w="952" w:type="pct"/>
                  <w:vAlign w:val="center"/>
                </w:tcPr>
                <w:p w14:paraId="5346C132">
                  <w:pPr>
                    <w:wordWrap w:val="0"/>
                    <w:topLinePunct/>
                    <w:adjustRightInd w:val="0"/>
                    <w:snapToGrid w:val="0"/>
                    <w:ind w:left="-105" w:leftChars="-50" w:right="-105" w:rightChars="-50"/>
                    <w:jc w:val="center"/>
                    <w:rPr>
                      <w:color w:val="auto"/>
                      <w:szCs w:val="21"/>
                      <w:u w:val="none"/>
                    </w:rPr>
                  </w:pPr>
                  <w:r>
                    <w:rPr>
                      <w:color w:val="auto"/>
                      <w:szCs w:val="21"/>
                      <w:u w:val="none"/>
                    </w:rPr>
                    <w:t>集中收集后交由有资质单位处置</w:t>
                  </w:r>
                </w:p>
              </w:tc>
            </w:tr>
            <w:tr w14:paraId="6DA6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0" w:type="pct"/>
                  <w:vAlign w:val="center"/>
                </w:tcPr>
                <w:p w14:paraId="620E0084">
                  <w:pPr>
                    <w:wordWrap w:val="0"/>
                    <w:topLinePunct/>
                    <w:adjustRightInd w:val="0"/>
                    <w:snapToGrid w:val="0"/>
                    <w:ind w:left="-105" w:leftChars="-50" w:right="-105" w:rightChars="-50"/>
                    <w:jc w:val="center"/>
                    <w:rPr>
                      <w:rFonts w:hint="eastAsia" w:eastAsia="宋体"/>
                      <w:color w:val="auto"/>
                      <w:szCs w:val="21"/>
                      <w:u w:val="none"/>
                      <w:lang w:val="en-US" w:eastAsia="zh-CN"/>
                    </w:rPr>
                  </w:pPr>
                  <w:r>
                    <w:rPr>
                      <w:rFonts w:hint="eastAsia"/>
                      <w:color w:val="auto"/>
                      <w:szCs w:val="21"/>
                      <w:u w:val="none"/>
                      <w:lang w:val="en-US" w:eastAsia="zh-CN"/>
                    </w:rPr>
                    <w:t>4</w:t>
                  </w:r>
                </w:p>
              </w:tc>
              <w:tc>
                <w:tcPr>
                  <w:tcW w:w="706" w:type="pct"/>
                  <w:vAlign w:val="center"/>
                </w:tcPr>
                <w:p w14:paraId="66D30719">
                  <w:pPr>
                    <w:wordWrap w:val="0"/>
                    <w:topLinePunct/>
                    <w:adjustRightInd w:val="0"/>
                    <w:snapToGrid w:val="0"/>
                    <w:ind w:left="-105" w:leftChars="-50" w:right="-105" w:rightChars="-50"/>
                    <w:jc w:val="center"/>
                    <w:rPr>
                      <w:rFonts w:hint="default" w:eastAsia="宋体"/>
                      <w:color w:val="auto"/>
                      <w:szCs w:val="21"/>
                      <w:u w:val="none"/>
                      <w:lang w:val="en-US" w:eastAsia="zh-CN"/>
                    </w:rPr>
                  </w:pPr>
                  <w:r>
                    <w:rPr>
                      <w:rFonts w:hint="eastAsia"/>
                      <w:color w:val="auto"/>
                      <w:szCs w:val="21"/>
                      <w:u w:val="none"/>
                      <w:lang w:val="en-US" w:eastAsia="zh-CN"/>
                    </w:rPr>
                    <w:t>废活性炭</w:t>
                  </w:r>
                </w:p>
              </w:tc>
              <w:tc>
                <w:tcPr>
                  <w:tcW w:w="535" w:type="pct"/>
                  <w:vAlign w:val="center"/>
                </w:tcPr>
                <w:p w14:paraId="7F14E6E1">
                  <w:pPr>
                    <w:wordWrap w:val="0"/>
                    <w:topLinePunct/>
                    <w:adjustRightInd w:val="0"/>
                    <w:snapToGrid w:val="0"/>
                    <w:ind w:left="-105" w:leftChars="-50" w:right="-105" w:rightChars="-50"/>
                    <w:jc w:val="center"/>
                    <w:rPr>
                      <w:rFonts w:hint="default" w:eastAsia="宋体"/>
                      <w:color w:val="auto"/>
                      <w:szCs w:val="21"/>
                      <w:u w:val="none"/>
                      <w:lang w:val="en-US" w:eastAsia="zh-CN"/>
                    </w:rPr>
                  </w:pPr>
                  <w:r>
                    <w:rPr>
                      <w:rFonts w:hint="eastAsia"/>
                      <w:color w:val="auto"/>
                      <w:szCs w:val="21"/>
                      <w:u w:val="none"/>
                      <w:lang w:val="en-US" w:eastAsia="zh-CN"/>
                    </w:rPr>
                    <w:t>0.0248</w:t>
                  </w:r>
                </w:p>
              </w:tc>
              <w:tc>
                <w:tcPr>
                  <w:tcW w:w="652" w:type="pct"/>
                  <w:vAlign w:val="center"/>
                </w:tcPr>
                <w:p w14:paraId="3E802662">
                  <w:pPr>
                    <w:wordWrap w:val="0"/>
                    <w:topLinePunct/>
                    <w:adjustRightInd w:val="0"/>
                    <w:snapToGrid w:val="0"/>
                    <w:ind w:left="-105" w:leftChars="-50" w:right="-105" w:rightChars="-50"/>
                    <w:jc w:val="center"/>
                    <w:rPr>
                      <w:rFonts w:hint="default"/>
                      <w:color w:val="auto"/>
                      <w:szCs w:val="21"/>
                      <w:u w:val="none"/>
                      <w:lang w:val="en-US"/>
                    </w:rPr>
                  </w:pPr>
                  <w:r>
                    <w:rPr>
                      <w:rFonts w:hint="eastAsia"/>
                      <w:color w:val="auto"/>
                      <w:szCs w:val="21"/>
                      <w:u w:val="none"/>
                      <w:lang w:val="en-US" w:eastAsia="zh-CN"/>
                    </w:rPr>
                    <w:t>HW49其他废物 900-039-49</w:t>
                  </w:r>
                </w:p>
              </w:tc>
              <w:tc>
                <w:tcPr>
                  <w:tcW w:w="753" w:type="pct"/>
                  <w:vAlign w:val="center"/>
                </w:tcPr>
                <w:p w14:paraId="6E981827">
                  <w:pPr>
                    <w:wordWrap w:val="0"/>
                    <w:topLinePunct/>
                    <w:adjustRightInd w:val="0"/>
                    <w:snapToGrid w:val="0"/>
                    <w:ind w:left="-105" w:leftChars="-50" w:right="-105" w:rightChars="-50"/>
                    <w:jc w:val="center"/>
                    <w:rPr>
                      <w:rFonts w:hint="eastAsia" w:eastAsia="宋体"/>
                      <w:color w:val="auto"/>
                      <w:szCs w:val="21"/>
                      <w:u w:val="none"/>
                      <w:lang w:val="en-US" w:eastAsia="zh-CN"/>
                    </w:rPr>
                  </w:pPr>
                  <w:r>
                    <w:rPr>
                      <w:rFonts w:hint="eastAsia"/>
                      <w:color w:val="auto"/>
                      <w:szCs w:val="21"/>
                      <w:u w:val="none"/>
                      <w:lang w:val="en-US" w:eastAsia="zh-CN"/>
                    </w:rPr>
                    <w:t>/</w:t>
                  </w:r>
                </w:p>
              </w:tc>
              <w:tc>
                <w:tcPr>
                  <w:tcW w:w="434" w:type="pct"/>
                  <w:shd w:val="clear" w:color="auto" w:fill="auto"/>
                  <w:vAlign w:val="center"/>
                </w:tcPr>
                <w:p w14:paraId="23FC81F7">
                  <w:pPr>
                    <w:wordWrap w:val="0"/>
                    <w:topLinePunct/>
                    <w:adjustRightInd w:val="0"/>
                    <w:snapToGrid w:val="0"/>
                    <w:ind w:left="-105" w:leftChars="-50" w:right="-105" w:rightChars="-5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lang w:val="en-US" w:eastAsia="zh-CN"/>
                    </w:rPr>
                    <w:t>固态</w:t>
                  </w:r>
                </w:p>
              </w:tc>
              <w:tc>
                <w:tcPr>
                  <w:tcW w:w="436" w:type="pct"/>
                  <w:shd w:val="clear" w:color="auto" w:fill="auto"/>
                  <w:vAlign w:val="center"/>
                </w:tcPr>
                <w:p w14:paraId="7DAB69B5">
                  <w:pPr>
                    <w:wordWrap w:val="0"/>
                    <w:topLinePunct/>
                    <w:adjustRightInd w:val="0"/>
                    <w:snapToGrid w:val="0"/>
                    <w:ind w:left="-105" w:leftChars="-50" w:right="-105" w:rightChars="-5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Cs w:val="21"/>
                      <w:u w:val="none" w:color="auto"/>
                      <w:lang w:val="en-US" w:eastAsia="zh-CN"/>
                    </w:rPr>
                    <w:t>T</w:t>
                  </w:r>
                </w:p>
              </w:tc>
              <w:tc>
                <w:tcPr>
                  <w:tcW w:w="277" w:type="pct"/>
                  <w:shd w:val="clear" w:color="auto" w:fill="auto"/>
                  <w:vAlign w:val="center"/>
                </w:tcPr>
                <w:p w14:paraId="43D58081">
                  <w:pPr>
                    <w:wordWrap w:val="0"/>
                    <w:topLinePunct/>
                    <w:adjustRightInd w:val="0"/>
                    <w:snapToGrid w:val="0"/>
                    <w:ind w:left="-105" w:leftChars="-50" w:right="-105" w:rightChars="-50"/>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Cs w:val="21"/>
                      <w:u w:val="none" w:color="auto"/>
                      <w:lang w:val="en-US" w:eastAsia="zh-CN"/>
                    </w:rPr>
                    <w:t>袋装</w:t>
                  </w:r>
                </w:p>
              </w:tc>
              <w:tc>
                <w:tcPr>
                  <w:tcW w:w="952" w:type="pct"/>
                  <w:shd w:val="clear" w:color="auto" w:fill="auto"/>
                  <w:vAlign w:val="center"/>
                </w:tcPr>
                <w:p w14:paraId="204B3FCF">
                  <w:pPr>
                    <w:wordWrap w:val="0"/>
                    <w:topLinePunct/>
                    <w:adjustRightInd w:val="0"/>
                    <w:snapToGrid w:val="0"/>
                    <w:ind w:left="-105" w:leftChars="-50" w:right="-105" w:rightChars="-50"/>
                    <w:jc w:val="center"/>
                    <w:rPr>
                      <w:rFonts w:ascii="Times New Roman" w:hAnsi="Times New Roman" w:eastAsia="宋体" w:cs="Times New Roman"/>
                      <w:color w:val="auto"/>
                      <w:kern w:val="2"/>
                      <w:sz w:val="21"/>
                      <w:szCs w:val="21"/>
                      <w:u w:val="none" w:color="auto"/>
                      <w:lang w:val="en-US" w:eastAsia="zh-CN" w:bidi="ar-SA"/>
                    </w:rPr>
                  </w:pPr>
                  <w:r>
                    <w:rPr>
                      <w:color w:val="auto"/>
                      <w:szCs w:val="21"/>
                      <w:u w:val="none" w:color="auto"/>
                    </w:rPr>
                    <w:t>集中收集后交由有资质单位处置</w:t>
                  </w:r>
                </w:p>
              </w:tc>
            </w:tr>
            <w:tr w14:paraId="2A14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0" w:type="pct"/>
                  <w:vAlign w:val="center"/>
                </w:tcPr>
                <w:p w14:paraId="54180C26">
                  <w:pPr>
                    <w:wordWrap w:val="0"/>
                    <w:topLinePunct/>
                    <w:adjustRightInd w:val="0"/>
                    <w:snapToGrid w:val="0"/>
                    <w:ind w:left="-105" w:leftChars="-50" w:right="-105" w:rightChars="-50"/>
                    <w:jc w:val="center"/>
                    <w:rPr>
                      <w:rFonts w:hint="eastAsia" w:eastAsia="宋体"/>
                      <w:color w:val="auto"/>
                      <w:szCs w:val="21"/>
                      <w:u w:val="none"/>
                      <w:lang w:eastAsia="zh-CN"/>
                    </w:rPr>
                  </w:pPr>
                  <w:r>
                    <w:rPr>
                      <w:rFonts w:hint="eastAsia"/>
                      <w:color w:val="auto"/>
                      <w:szCs w:val="21"/>
                      <w:u w:val="none"/>
                      <w:lang w:val="en-US" w:eastAsia="zh-CN"/>
                    </w:rPr>
                    <w:t>5</w:t>
                  </w:r>
                </w:p>
              </w:tc>
              <w:tc>
                <w:tcPr>
                  <w:tcW w:w="706" w:type="pct"/>
                  <w:vAlign w:val="center"/>
                </w:tcPr>
                <w:p w14:paraId="2CCB6D61">
                  <w:pPr>
                    <w:wordWrap w:val="0"/>
                    <w:topLinePunct/>
                    <w:adjustRightInd w:val="0"/>
                    <w:snapToGrid w:val="0"/>
                    <w:ind w:left="-105" w:leftChars="-50" w:right="-105" w:rightChars="-50"/>
                    <w:jc w:val="center"/>
                    <w:rPr>
                      <w:color w:val="auto"/>
                      <w:szCs w:val="21"/>
                      <w:u w:val="none"/>
                    </w:rPr>
                  </w:pPr>
                  <w:r>
                    <w:rPr>
                      <w:color w:val="auto"/>
                      <w:szCs w:val="21"/>
                      <w:u w:val="none"/>
                    </w:rPr>
                    <w:t>含油抹布和手套</w:t>
                  </w:r>
                </w:p>
              </w:tc>
              <w:tc>
                <w:tcPr>
                  <w:tcW w:w="535" w:type="pct"/>
                  <w:vAlign w:val="center"/>
                </w:tcPr>
                <w:p w14:paraId="476D3D06">
                  <w:pPr>
                    <w:wordWrap w:val="0"/>
                    <w:topLinePunct/>
                    <w:adjustRightInd w:val="0"/>
                    <w:snapToGrid w:val="0"/>
                    <w:ind w:left="-105" w:leftChars="-50" w:right="-105" w:rightChars="-50"/>
                    <w:jc w:val="center"/>
                    <w:rPr>
                      <w:color w:val="auto"/>
                      <w:szCs w:val="21"/>
                      <w:u w:val="none"/>
                    </w:rPr>
                  </w:pPr>
                  <w:r>
                    <w:rPr>
                      <w:color w:val="auto"/>
                      <w:szCs w:val="21"/>
                      <w:u w:val="none"/>
                    </w:rPr>
                    <w:t>0.0</w:t>
                  </w:r>
                  <w:r>
                    <w:rPr>
                      <w:rFonts w:hint="eastAsia"/>
                      <w:color w:val="auto"/>
                      <w:szCs w:val="21"/>
                      <w:u w:val="none"/>
                    </w:rPr>
                    <w:t>4</w:t>
                  </w:r>
                </w:p>
              </w:tc>
              <w:tc>
                <w:tcPr>
                  <w:tcW w:w="652" w:type="pct"/>
                  <w:vAlign w:val="center"/>
                </w:tcPr>
                <w:p w14:paraId="0AD1EFA6">
                  <w:pPr>
                    <w:wordWrap w:val="0"/>
                    <w:topLinePunct/>
                    <w:adjustRightInd w:val="0"/>
                    <w:snapToGrid w:val="0"/>
                    <w:ind w:left="-105" w:leftChars="-50" w:right="-105" w:rightChars="-50"/>
                    <w:jc w:val="center"/>
                    <w:rPr>
                      <w:color w:val="auto"/>
                      <w:szCs w:val="21"/>
                      <w:u w:val="none"/>
                    </w:rPr>
                  </w:pPr>
                  <w:r>
                    <w:rPr>
                      <w:color w:val="auto"/>
                      <w:szCs w:val="21"/>
                      <w:u w:val="none"/>
                    </w:rPr>
                    <w:t>HW49 900-041-49其他废物</w:t>
                  </w:r>
                </w:p>
              </w:tc>
              <w:tc>
                <w:tcPr>
                  <w:tcW w:w="753" w:type="pct"/>
                  <w:vAlign w:val="center"/>
                </w:tcPr>
                <w:p w14:paraId="312F9645">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434" w:type="pct"/>
                  <w:vAlign w:val="center"/>
                </w:tcPr>
                <w:p w14:paraId="08028C4B">
                  <w:pPr>
                    <w:wordWrap w:val="0"/>
                    <w:topLinePunct/>
                    <w:adjustRightInd w:val="0"/>
                    <w:snapToGrid w:val="0"/>
                    <w:ind w:left="-105" w:leftChars="-50" w:right="-105" w:rightChars="-50"/>
                    <w:jc w:val="center"/>
                    <w:rPr>
                      <w:color w:val="auto"/>
                      <w:szCs w:val="21"/>
                      <w:u w:val="none"/>
                    </w:rPr>
                  </w:pPr>
                  <w:r>
                    <w:rPr>
                      <w:color w:val="auto"/>
                      <w:szCs w:val="21"/>
                      <w:u w:val="none"/>
                    </w:rPr>
                    <w:t>固态</w:t>
                  </w:r>
                </w:p>
              </w:tc>
              <w:tc>
                <w:tcPr>
                  <w:tcW w:w="436" w:type="pct"/>
                  <w:vAlign w:val="center"/>
                </w:tcPr>
                <w:p w14:paraId="5226918E">
                  <w:pPr>
                    <w:wordWrap w:val="0"/>
                    <w:topLinePunct/>
                    <w:adjustRightInd w:val="0"/>
                    <w:snapToGrid w:val="0"/>
                    <w:ind w:left="-105" w:leftChars="-50" w:right="-105" w:rightChars="-50"/>
                    <w:jc w:val="center"/>
                    <w:rPr>
                      <w:color w:val="auto"/>
                      <w:szCs w:val="21"/>
                      <w:u w:val="none"/>
                    </w:rPr>
                  </w:pPr>
                  <w:r>
                    <w:rPr>
                      <w:color w:val="auto"/>
                      <w:szCs w:val="21"/>
                      <w:u w:val="none"/>
                    </w:rPr>
                    <w:t>T/C/I/R</w:t>
                  </w:r>
                </w:p>
              </w:tc>
              <w:tc>
                <w:tcPr>
                  <w:tcW w:w="277" w:type="pct"/>
                  <w:vAlign w:val="center"/>
                </w:tcPr>
                <w:p w14:paraId="4A957A79">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952" w:type="pct"/>
                  <w:vAlign w:val="center"/>
                </w:tcPr>
                <w:p w14:paraId="4FF678DF">
                  <w:pPr>
                    <w:wordWrap w:val="0"/>
                    <w:topLinePunct/>
                    <w:adjustRightInd w:val="0"/>
                    <w:snapToGrid w:val="0"/>
                    <w:ind w:left="-105" w:leftChars="-50" w:right="-105" w:rightChars="-50"/>
                    <w:jc w:val="center"/>
                    <w:rPr>
                      <w:color w:val="auto"/>
                      <w:szCs w:val="21"/>
                      <w:u w:val="none"/>
                    </w:rPr>
                  </w:pPr>
                  <w:r>
                    <w:rPr>
                      <w:color w:val="auto"/>
                      <w:szCs w:val="21"/>
                      <w:u w:val="none"/>
                    </w:rPr>
                    <w:t>集中收集后交由有资质单位处置</w:t>
                  </w:r>
                </w:p>
              </w:tc>
            </w:tr>
            <w:tr w14:paraId="04D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50" w:type="pct"/>
                  <w:vAlign w:val="center"/>
                </w:tcPr>
                <w:p w14:paraId="45F2E949">
                  <w:pPr>
                    <w:wordWrap w:val="0"/>
                    <w:topLinePunct/>
                    <w:adjustRightInd w:val="0"/>
                    <w:snapToGrid w:val="0"/>
                    <w:ind w:left="-105" w:leftChars="-50" w:right="-105" w:rightChars="-50"/>
                    <w:jc w:val="center"/>
                    <w:rPr>
                      <w:rFonts w:hint="eastAsia" w:eastAsia="宋体"/>
                      <w:color w:val="auto"/>
                      <w:szCs w:val="21"/>
                      <w:u w:val="none"/>
                      <w:lang w:eastAsia="zh-CN"/>
                    </w:rPr>
                  </w:pPr>
                  <w:r>
                    <w:rPr>
                      <w:rFonts w:hint="eastAsia"/>
                      <w:color w:val="auto"/>
                      <w:szCs w:val="21"/>
                      <w:u w:val="none"/>
                      <w:lang w:val="en-US" w:eastAsia="zh-CN"/>
                    </w:rPr>
                    <w:t>6</w:t>
                  </w:r>
                </w:p>
              </w:tc>
              <w:tc>
                <w:tcPr>
                  <w:tcW w:w="706" w:type="pct"/>
                  <w:vAlign w:val="center"/>
                </w:tcPr>
                <w:p w14:paraId="76D5791B">
                  <w:pPr>
                    <w:wordWrap w:val="0"/>
                    <w:topLinePunct/>
                    <w:adjustRightInd w:val="0"/>
                    <w:snapToGrid w:val="0"/>
                    <w:ind w:left="-105" w:leftChars="-50" w:right="-105" w:rightChars="-50"/>
                    <w:jc w:val="center"/>
                    <w:rPr>
                      <w:color w:val="auto"/>
                      <w:szCs w:val="21"/>
                      <w:u w:val="none"/>
                    </w:rPr>
                  </w:pPr>
                  <w:r>
                    <w:rPr>
                      <w:color w:val="auto"/>
                      <w:szCs w:val="21"/>
                      <w:u w:val="none"/>
                    </w:rPr>
                    <w:t>生活垃圾</w:t>
                  </w:r>
                </w:p>
              </w:tc>
              <w:tc>
                <w:tcPr>
                  <w:tcW w:w="535" w:type="pct"/>
                  <w:vAlign w:val="center"/>
                </w:tcPr>
                <w:p w14:paraId="7E2EE11D">
                  <w:pPr>
                    <w:wordWrap w:val="0"/>
                    <w:topLinePunct/>
                    <w:adjustRightInd w:val="0"/>
                    <w:snapToGrid w:val="0"/>
                    <w:ind w:left="-105" w:leftChars="-50" w:right="-105" w:rightChars="-50"/>
                    <w:jc w:val="center"/>
                    <w:rPr>
                      <w:color w:val="auto"/>
                      <w:szCs w:val="21"/>
                      <w:u w:val="none"/>
                    </w:rPr>
                  </w:pPr>
                  <w:r>
                    <w:rPr>
                      <w:rFonts w:hint="eastAsia"/>
                      <w:color w:val="auto"/>
                      <w:szCs w:val="21"/>
                      <w:u w:val="none"/>
                    </w:rPr>
                    <w:t>1.8615</w:t>
                  </w:r>
                </w:p>
              </w:tc>
              <w:tc>
                <w:tcPr>
                  <w:tcW w:w="652" w:type="pct"/>
                  <w:vAlign w:val="center"/>
                </w:tcPr>
                <w:p w14:paraId="1FDEED00">
                  <w:pPr>
                    <w:wordWrap w:val="0"/>
                    <w:topLinePunct/>
                    <w:adjustRightInd w:val="0"/>
                    <w:snapToGrid w:val="0"/>
                    <w:ind w:left="-105" w:leftChars="-50" w:right="-105" w:rightChars="-50"/>
                    <w:jc w:val="center"/>
                    <w:rPr>
                      <w:color w:val="auto"/>
                      <w:szCs w:val="21"/>
                      <w:u w:val="none"/>
                    </w:rPr>
                  </w:pPr>
                  <w:r>
                    <w:rPr>
                      <w:color w:val="auto"/>
                      <w:szCs w:val="21"/>
                      <w:u w:val="none"/>
                    </w:rPr>
                    <w:t>生活垃圾</w:t>
                  </w:r>
                </w:p>
              </w:tc>
              <w:tc>
                <w:tcPr>
                  <w:tcW w:w="753" w:type="pct"/>
                  <w:vAlign w:val="center"/>
                </w:tcPr>
                <w:p w14:paraId="6D33112E">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434" w:type="pct"/>
                  <w:vAlign w:val="center"/>
                </w:tcPr>
                <w:p w14:paraId="699E0415">
                  <w:pPr>
                    <w:wordWrap w:val="0"/>
                    <w:topLinePunct/>
                    <w:adjustRightInd w:val="0"/>
                    <w:snapToGrid w:val="0"/>
                    <w:ind w:left="-105" w:leftChars="-50" w:right="-105" w:rightChars="-50"/>
                    <w:jc w:val="center"/>
                    <w:rPr>
                      <w:color w:val="auto"/>
                      <w:szCs w:val="21"/>
                      <w:u w:val="none"/>
                    </w:rPr>
                  </w:pPr>
                  <w:r>
                    <w:rPr>
                      <w:color w:val="auto"/>
                      <w:szCs w:val="21"/>
                      <w:u w:val="none"/>
                    </w:rPr>
                    <w:t>固态</w:t>
                  </w:r>
                </w:p>
              </w:tc>
              <w:tc>
                <w:tcPr>
                  <w:tcW w:w="436" w:type="pct"/>
                  <w:vAlign w:val="center"/>
                </w:tcPr>
                <w:p w14:paraId="6C8D1D28">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277" w:type="pct"/>
                  <w:vAlign w:val="center"/>
                </w:tcPr>
                <w:p w14:paraId="03D9D224">
                  <w:pPr>
                    <w:wordWrap w:val="0"/>
                    <w:topLinePunct/>
                    <w:adjustRightInd w:val="0"/>
                    <w:snapToGrid w:val="0"/>
                    <w:ind w:left="-105" w:leftChars="-50" w:right="-105" w:rightChars="-50"/>
                    <w:jc w:val="center"/>
                    <w:rPr>
                      <w:color w:val="auto"/>
                      <w:szCs w:val="21"/>
                      <w:u w:val="none"/>
                    </w:rPr>
                  </w:pPr>
                  <w:r>
                    <w:rPr>
                      <w:color w:val="auto"/>
                      <w:szCs w:val="21"/>
                      <w:u w:val="none"/>
                    </w:rPr>
                    <w:t>/</w:t>
                  </w:r>
                </w:p>
              </w:tc>
              <w:tc>
                <w:tcPr>
                  <w:tcW w:w="952" w:type="pct"/>
                  <w:vAlign w:val="center"/>
                </w:tcPr>
                <w:p w14:paraId="757D51EA">
                  <w:pPr>
                    <w:wordWrap w:val="0"/>
                    <w:topLinePunct/>
                    <w:adjustRightInd w:val="0"/>
                    <w:snapToGrid w:val="0"/>
                    <w:ind w:left="-105" w:leftChars="-50" w:right="-105" w:rightChars="-50"/>
                    <w:jc w:val="center"/>
                    <w:rPr>
                      <w:color w:val="auto"/>
                      <w:szCs w:val="21"/>
                      <w:u w:val="none"/>
                    </w:rPr>
                  </w:pPr>
                  <w:r>
                    <w:rPr>
                      <w:color w:val="auto"/>
                      <w:szCs w:val="21"/>
                      <w:u w:val="none"/>
                    </w:rPr>
                    <w:t>集中收集后交由环卫部门统一处理</w:t>
                  </w:r>
                </w:p>
              </w:tc>
            </w:tr>
          </w:tbl>
          <w:p w14:paraId="6401AC9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4.8.</w:t>
            </w:r>
            <w:r>
              <w:rPr>
                <w:rFonts w:hint="eastAsia" w:cs="Times New Roman"/>
                <w:b/>
                <w:bCs/>
                <w:kern w:val="2"/>
                <w:sz w:val="24"/>
                <w:szCs w:val="24"/>
                <w:lang w:val="en-US" w:eastAsia="zh-CN" w:bidi="ar-SA"/>
              </w:rPr>
              <w:t>3</w:t>
            </w:r>
            <w:r>
              <w:rPr>
                <w:rFonts w:hint="eastAsia" w:ascii="Times New Roman" w:hAnsi="Times New Roman" w:eastAsia="宋体" w:cs="Times New Roman"/>
                <w:b/>
                <w:bCs/>
                <w:kern w:val="2"/>
                <w:sz w:val="24"/>
                <w:szCs w:val="24"/>
                <w:lang w:val="en-US" w:eastAsia="zh-CN" w:bidi="ar-SA"/>
              </w:rPr>
              <w:t xml:space="preserve"> </w:t>
            </w:r>
            <w:r>
              <w:rPr>
                <w:rFonts w:hint="eastAsia" w:cs="Times New Roman"/>
                <w:b/>
                <w:bCs/>
                <w:kern w:val="2"/>
                <w:sz w:val="24"/>
                <w:szCs w:val="24"/>
                <w:lang w:val="en-US" w:eastAsia="zh-CN" w:bidi="ar-SA"/>
              </w:rPr>
              <w:t>固体废物管理要求</w:t>
            </w:r>
          </w:p>
          <w:p w14:paraId="4BCACA89">
            <w:pPr>
              <w:wordWrap w:val="0"/>
              <w:topLinePunct/>
              <w:adjustRightInd w:val="0"/>
              <w:snapToGrid w:val="0"/>
              <w:spacing w:line="360" w:lineRule="auto"/>
              <w:ind w:firstLine="480" w:firstLineChars="200"/>
              <w:rPr>
                <w:kern w:val="0"/>
                <w:sz w:val="24"/>
              </w:rPr>
            </w:pPr>
            <w:r>
              <w:rPr>
                <w:kern w:val="0"/>
                <w:sz w:val="24"/>
              </w:rPr>
              <w:t>建设项目需强化废物产生、收集、贮运各环节的管理，杜绝固废在</w:t>
            </w:r>
            <w:r>
              <w:rPr>
                <w:sz w:val="24"/>
              </w:rPr>
              <w:t>厂房</w:t>
            </w:r>
            <w:r>
              <w:rPr>
                <w:kern w:val="0"/>
                <w:sz w:val="24"/>
              </w:rPr>
              <w:t>内的散失、渗漏。做好固体废物在</w:t>
            </w:r>
            <w:r>
              <w:rPr>
                <w:sz w:val="24"/>
              </w:rPr>
              <w:t>厂房</w:t>
            </w:r>
            <w:r>
              <w:rPr>
                <w:kern w:val="0"/>
                <w:sz w:val="24"/>
              </w:rPr>
              <w:t>内的收集和储存相关防护工作，收集后进行有效处置或者回用。建立完善的规章制度，以降低固体废物散落对周围环境的影响。本项目一般固废间设置在包装材料库中，符合一般固废管理要求。</w:t>
            </w:r>
          </w:p>
          <w:p w14:paraId="624D2E40">
            <w:pPr>
              <w:wordWrap w:val="0"/>
              <w:topLinePunct/>
              <w:adjustRightInd w:val="0"/>
              <w:snapToGrid w:val="0"/>
              <w:spacing w:line="360" w:lineRule="auto"/>
              <w:ind w:firstLine="480" w:firstLineChars="200"/>
              <w:rPr>
                <w:kern w:val="0"/>
                <w:sz w:val="24"/>
              </w:rPr>
            </w:pPr>
            <w:r>
              <w:rPr>
                <w:bCs/>
                <w:kern w:val="0"/>
                <w:sz w:val="24"/>
              </w:rPr>
              <w:t>本项目产生的危险废物为储罐油泥、隔油沉淀池油泥、含油消防沙及含油抹布和手套，其中隔油沉淀池油泥、含油消防沙及含油抹布和手套暂存于危废间，危废间需防腐防渗，</w:t>
            </w:r>
            <w:r>
              <w:rPr>
                <w:kern w:val="0"/>
                <w:sz w:val="24"/>
              </w:rPr>
              <w:t>按照《危险废物污染防治技术政策》和《危险废物贮存污染控制标准》(GB18597-20</w:t>
            </w:r>
            <w:r>
              <w:rPr>
                <w:rFonts w:hint="eastAsia"/>
                <w:kern w:val="0"/>
                <w:sz w:val="24"/>
              </w:rPr>
              <w:t>23</w:t>
            </w:r>
            <w:r>
              <w:rPr>
                <w:kern w:val="0"/>
                <w:sz w:val="24"/>
              </w:rPr>
              <w:t>)要求：危险废物的临时贮存需设置专门的储存厂房，采用密闭式贮存。在其收集、贮存、处置方面须采取如下措施：</w:t>
            </w:r>
          </w:p>
          <w:p w14:paraId="3791F261">
            <w:pPr>
              <w:numPr>
                <w:ilvl w:val="0"/>
                <w:numId w:val="4"/>
              </w:numPr>
              <w:tabs>
                <w:tab w:val="left" w:pos="885"/>
              </w:tabs>
              <w:wordWrap w:val="0"/>
              <w:topLinePunct/>
              <w:adjustRightInd w:val="0"/>
              <w:snapToGrid w:val="0"/>
              <w:spacing w:line="360" w:lineRule="auto"/>
              <w:ind w:left="0" w:firstLine="480" w:firstLineChars="200"/>
              <w:rPr>
                <w:rFonts w:ascii="Times New Roman" w:hAnsi="Times New Roman" w:cs="Times New Roman"/>
                <w:kern w:val="0"/>
                <w:sz w:val="24"/>
              </w:rPr>
            </w:pPr>
            <w:r>
              <w:rPr>
                <w:rFonts w:ascii="Times New Roman" w:hAnsi="Times New Roman" w:cs="Times New Roman"/>
                <w:kern w:val="0"/>
                <w:sz w:val="24"/>
              </w:rPr>
              <w:t>收集和贮存：本次环评建议在</w:t>
            </w:r>
            <w:r>
              <w:rPr>
                <w:rFonts w:hint="default" w:ascii="Times New Roman" w:hAnsi="Times New Roman" w:cs="Times New Roman"/>
                <w:kern w:val="0"/>
                <w:sz w:val="24"/>
                <w:lang w:val="en-US" w:eastAsia="zh-CN"/>
              </w:rPr>
              <w:t>辅助用房</w:t>
            </w:r>
            <w:r>
              <w:rPr>
                <w:rFonts w:ascii="Times New Roman" w:hAnsi="Times New Roman" w:cs="Times New Roman"/>
                <w:kern w:val="0"/>
                <w:sz w:val="24"/>
              </w:rPr>
              <w:t>设置危废间（不小于5m</w:t>
            </w:r>
            <w:r>
              <w:rPr>
                <w:rFonts w:ascii="Times New Roman" w:hAnsi="Times New Roman" w:cs="Times New Roman"/>
                <w:kern w:val="0"/>
                <w:sz w:val="24"/>
                <w:vertAlign w:val="superscript"/>
              </w:rPr>
              <w:t>2</w:t>
            </w:r>
            <w:r>
              <w:rPr>
                <w:rFonts w:ascii="Times New Roman" w:hAnsi="Times New Roman" w:cs="Times New Roman"/>
                <w:kern w:val="0"/>
                <w:sz w:val="24"/>
              </w:rPr>
              <w:t>），废物的收集和贮存严格按照《危险废物贮存和污染控制标准》(GB18597-20</w:t>
            </w:r>
            <w:r>
              <w:rPr>
                <w:rFonts w:hint="default" w:ascii="Times New Roman" w:hAnsi="Times New Roman" w:cs="Times New Roman"/>
                <w:kern w:val="0"/>
                <w:sz w:val="24"/>
              </w:rPr>
              <w:t>23</w:t>
            </w:r>
            <w:r>
              <w:rPr>
                <w:rFonts w:ascii="Times New Roman" w:hAnsi="Times New Roman" w:cs="Times New Roman"/>
                <w:kern w:val="0"/>
                <w:sz w:val="24"/>
              </w:rPr>
              <w:t>)要求进行分类收集，根据危险废物的性质分类贮存于危险废物暂存间(防渗、防漏、防遗撒等方面的工程措施符合《危险废物贮存和污染控制标准》(GB18597-20</w:t>
            </w:r>
            <w:r>
              <w:rPr>
                <w:rFonts w:hint="default" w:ascii="Times New Roman" w:hAnsi="Times New Roman" w:cs="Times New Roman"/>
                <w:kern w:val="0"/>
                <w:sz w:val="24"/>
              </w:rPr>
              <w:t>23</w:t>
            </w:r>
            <w:r>
              <w:rPr>
                <w:rFonts w:ascii="Times New Roman" w:hAnsi="Times New Roman" w:cs="Times New Roman"/>
                <w:kern w:val="0"/>
                <w:sz w:val="24"/>
              </w:rPr>
              <w:t>)</w:t>
            </w:r>
            <w:r>
              <w:rPr>
                <w:rFonts w:hint="default" w:ascii="Times New Roman" w:hAnsi="Times New Roman" w:cs="Times New Roman"/>
                <w:kern w:val="0"/>
                <w:sz w:val="24"/>
              </w:rPr>
              <w:t>要求</w:t>
            </w:r>
            <w:r>
              <w:rPr>
                <w:rFonts w:ascii="Times New Roman" w:hAnsi="Times New Roman" w:cs="Times New Roman"/>
                <w:kern w:val="0"/>
                <w:sz w:val="24"/>
              </w:rPr>
              <w:t>。</w:t>
            </w:r>
          </w:p>
          <w:p w14:paraId="20CE2B91">
            <w:pPr>
              <w:numPr>
                <w:ilvl w:val="0"/>
                <w:numId w:val="4"/>
              </w:numPr>
              <w:tabs>
                <w:tab w:val="left" w:pos="885"/>
              </w:tabs>
              <w:wordWrap w:val="0"/>
              <w:topLinePunct/>
              <w:adjustRightInd w:val="0"/>
              <w:snapToGrid w:val="0"/>
              <w:spacing w:line="360" w:lineRule="auto"/>
              <w:ind w:left="0" w:firstLine="480" w:firstLineChars="200"/>
              <w:rPr>
                <w:rFonts w:ascii="Times New Roman" w:hAnsi="Times New Roman" w:cs="Times New Roman"/>
                <w:kern w:val="0"/>
                <w:sz w:val="24"/>
              </w:rPr>
            </w:pPr>
            <w:r>
              <w:rPr>
                <w:rFonts w:ascii="Times New Roman" w:hAnsi="Times New Roman" w:cs="Times New Roman"/>
                <w:kern w:val="0"/>
                <w:sz w:val="24"/>
              </w:rPr>
              <w:t>转移：危险废物转移过程中严格执行《危险废物转移联单管理办法》，防止危险废物在转移过程中污染环境。</w:t>
            </w:r>
          </w:p>
          <w:p w14:paraId="5314A035">
            <w:pPr>
              <w:wordWrap w:val="0"/>
              <w:topLinePunct/>
              <w:adjustRightInd w:val="0"/>
              <w:snapToGrid w:val="0"/>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3、处置：本项目危险废物须收集暂存于危废间后交由有资质单位处置。</w:t>
            </w:r>
          </w:p>
          <w:p w14:paraId="23A83401">
            <w:pPr>
              <w:topLinePunct/>
              <w:adjustRightInd w:val="0"/>
              <w:snapToGrid w:val="0"/>
              <w:spacing w:line="400" w:lineRule="exact"/>
              <w:jc w:val="center"/>
              <w:rPr>
                <w:b/>
                <w:sz w:val="24"/>
                <w:szCs w:val="24"/>
              </w:rPr>
            </w:pPr>
            <w:r>
              <w:rPr>
                <w:b/>
                <w:sz w:val="24"/>
                <w:szCs w:val="24"/>
              </w:rPr>
              <w:t>表4-1</w:t>
            </w:r>
            <w:r>
              <w:rPr>
                <w:rFonts w:hint="eastAsia"/>
                <w:b/>
                <w:sz w:val="24"/>
                <w:szCs w:val="24"/>
                <w:lang w:val="en-US" w:eastAsia="zh-CN"/>
              </w:rPr>
              <w:t>8</w:t>
            </w:r>
            <w:r>
              <w:rPr>
                <w:b/>
                <w:sz w:val="24"/>
                <w:szCs w:val="24"/>
              </w:rPr>
              <w:t xml:space="preserve"> 建设项目危险废物贮存场所（设施）基本情况表</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3"/>
              <w:gridCol w:w="1036"/>
              <w:gridCol w:w="1469"/>
              <w:gridCol w:w="951"/>
              <w:gridCol w:w="1577"/>
              <w:gridCol w:w="645"/>
              <w:gridCol w:w="759"/>
              <w:gridCol w:w="743"/>
              <w:gridCol w:w="782"/>
            </w:tblGrid>
            <w:tr w14:paraId="1360F1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4" w:type="pct"/>
                  <w:vAlign w:val="center"/>
                </w:tcPr>
                <w:p w14:paraId="585D41CE">
                  <w:pPr>
                    <w:topLinePunct/>
                    <w:adjustRightInd w:val="0"/>
                    <w:snapToGrid w:val="0"/>
                    <w:jc w:val="center"/>
                    <w:rPr>
                      <w:kern w:val="0"/>
                      <w:szCs w:val="21"/>
                    </w:rPr>
                  </w:pPr>
                  <w:r>
                    <w:rPr>
                      <w:kern w:val="0"/>
                      <w:szCs w:val="21"/>
                    </w:rPr>
                    <w:t>序号</w:t>
                  </w:r>
                </w:p>
              </w:tc>
              <w:tc>
                <w:tcPr>
                  <w:tcW w:w="609" w:type="pct"/>
                  <w:vAlign w:val="center"/>
                </w:tcPr>
                <w:p w14:paraId="781D71FF">
                  <w:pPr>
                    <w:topLinePunct/>
                    <w:adjustRightInd w:val="0"/>
                    <w:snapToGrid w:val="0"/>
                    <w:jc w:val="center"/>
                    <w:rPr>
                      <w:kern w:val="0"/>
                      <w:szCs w:val="21"/>
                    </w:rPr>
                  </w:pPr>
                  <w:r>
                    <w:rPr>
                      <w:kern w:val="0"/>
                      <w:szCs w:val="21"/>
                    </w:rPr>
                    <w:t>贮存场所名称</w:t>
                  </w:r>
                </w:p>
              </w:tc>
              <w:tc>
                <w:tcPr>
                  <w:tcW w:w="864" w:type="pct"/>
                  <w:vAlign w:val="center"/>
                </w:tcPr>
                <w:p w14:paraId="0DED8A9C">
                  <w:pPr>
                    <w:topLinePunct/>
                    <w:adjustRightInd w:val="0"/>
                    <w:snapToGrid w:val="0"/>
                    <w:jc w:val="center"/>
                    <w:rPr>
                      <w:kern w:val="0"/>
                      <w:szCs w:val="21"/>
                    </w:rPr>
                  </w:pPr>
                  <w:r>
                    <w:rPr>
                      <w:kern w:val="0"/>
                      <w:szCs w:val="21"/>
                    </w:rPr>
                    <w:t>危险废物</w:t>
                  </w:r>
                </w:p>
                <w:p w14:paraId="6530C819">
                  <w:pPr>
                    <w:topLinePunct/>
                    <w:adjustRightInd w:val="0"/>
                    <w:snapToGrid w:val="0"/>
                    <w:jc w:val="center"/>
                    <w:rPr>
                      <w:kern w:val="0"/>
                      <w:szCs w:val="21"/>
                    </w:rPr>
                  </w:pPr>
                  <w:r>
                    <w:rPr>
                      <w:kern w:val="0"/>
                      <w:szCs w:val="21"/>
                    </w:rPr>
                    <w:t>名称</w:t>
                  </w:r>
                </w:p>
              </w:tc>
              <w:tc>
                <w:tcPr>
                  <w:tcW w:w="559" w:type="pct"/>
                  <w:vAlign w:val="center"/>
                </w:tcPr>
                <w:p w14:paraId="083F23DC">
                  <w:pPr>
                    <w:topLinePunct/>
                    <w:adjustRightInd w:val="0"/>
                    <w:snapToGrid w:val="0"/>
                    <w:jc w:val="center"/>
                    <w:rPr>
                      <w:kern w:val="0"/>
                      <w:szCs w:val="21"/>
                    </w:rPr>
                  </w:pPr>
                  <w:r>
                    <w:rPr>
                      <w:kern w:val="0"/>
                      <w:szCs w:val="21"/>
                    </w:rPr>
                    <w:t>危险废物类别</w:t>
                  </w:r>
                </w:p>
              </w:tc>
              <w:tc>
                <w:tcPr>
                  <w:tcW w:w="927" w:type="pct"/>
                  <w:vAlign w:val="center"/>
                </w:tcPr>
                <w:p w14:paraId="5F6AB8B5">
                  <w:pPr>
                    <w:topLinePunct/>
                    <w:adjustRightInd w:val="0"/>
                    <w:snapToGrid w:val="0"/>
                    <w:jc w:val="center"/>
                    <w:rPr>
                      <w:kern w:val="0"/>
                      <w:szCs w:val="21"/>
                    </w:rPr>
                  </w:pPr>
                  <w:r>
                    <w:rPr>
                      <w:kern w:val="0"/>
                      <w:szCs w:val="21"/>
                    </w:rPr>
                    <w:t>危险废物代码</w:t>
                  </w:r>
                </w:p>
              </w:tc>
              <w:tc>
                <w:tcPr>
                  <w:tcW w:w="379" w:type="pct"/>
                  <w:vAlign w:val="center"/>
                </w:tcPr>
                <w:p w14:paraId="4F3808A9">
                  <w:pPr>
                    <w:topLinePunct/>
                    <w:adjustRightInd w:val="0"/>
                    <w:snapToGrid w:val="0"/>
                    <w:jc w:val="center"/>
                    <w:rPr>
                      <w:kern w:val="0"/>
                      <w:szCs w:val="21"/>
                    </w:rPr>
                  </w:pPr>
                  <w:r>
                    <w:rPr>
                      <w:kern w:val="0"/>
                      <w:szCs w:val="21"/>
                    </w:rPr>
                    <w:t>占地面积</w:t>
                  </w:r>
                </w:p>
              </w:tc>
              <w:tc>
                <w:tcPr>
                  <w:tcW w:w="446" w:type="pct"/>
                  <w:vAlign w:val="center"/>
                </w:tcPr>
                <w:p w14:paraId="61261653">
                  <w:pPr>
                    <w:topLinePunct/>
                    <w:adjustRightInd w:val="0"/>
                    <w:snapToGrid w:val="0"/>
                    <w:jc w:val="center"/>
                    <w:rPr>
                      <w:kern w:val="0"/>
                      <w:szCs w:val="21"/>
                    </w:rPr>
                  </w:pPr>
                  <w:r>
                    <w:rPr>
                      <w:kern w:val="0"/>
                      <w:szCs w:val="21"/>
                    </w:rPr>
                    <w:t>贮存方式</w:t>
                  </w:r>
                </w:p>
              </w:tc>
              <w:tc>
                <w:tcPr>
                  <w:tcW w:w="437" w:type="pct"/>
                  <w:vAlign w:val="center"/>
                </w:tcPr>
                <w:p w14:paraId="2610988A">
                  <w:pPr>
                    <w:topLinePunct/>
                    <w:adjustRightInd w:val="0"/>
                    <w:snapToGrid w:val="0"/>
                    <w:jc w:val="center"/>
                    <w:rPr>
                      <w:kern w:val="0"/>
                      <w:szCs w:val="21"/>
                    </w:rPr>
                  </w:pPr>
                  <w:r>
                    <w:rPr>
                      <w:kern w:val="0"/>
                      <w:szCs w:val="21"/>
                    </w:rPr>
                    <w:t>贮存</w:t>
                  </w:r>
                </w:p>
                <w:p w14:paraId="20D34388">
                  <w:pPr>
                    <w:topLinePunct/>
                    <w:adjustRightInd w:val="0"/>
                    <w:snapToGrid w:val="0"/>
                    <w:jc w:val="center"/>
                    <w:rPr>
                      <w:kern w:val="0"/>
                      <w:szCs w:val="21"/>
                    </w:rPr>
                  </w:pPr>
                  <w:r>
                    <w:rPr>
                      <w:kern w:val="0"/>
                      <w:szCs w:val="21"/>
                    </w:rPr>
                    <w:t>能力</w:t>
                  </w:r>
                </w:p>
              </w:tc>
              <w:tc>
                <w:tcPr>
                  <w:tcW w:w="460" w:type="pct"/>
                  <w:vAlign w:val="center"/>
                </w:tcPr>
                <w:p w14:paraId="68DA8C11">
                  <w:pPr>
                    <w:topLinePunct/>
                    <w:adjustRightInd w:val="0"/>
                    <w:snapToGrid w:val="0"/>
                    <w:jc w:val="center"/>
                    <w:rPr>
                      <w:kern w:val="0"/>
                      <w:szCs w:val="21"/>
                    </w:rPr>
                  </w:pPr>
                  <w:r>
                    <w:rPr>
                      <w:kern w:val="0"/>
                      <w:szCs w:val="21"/>
                    </w:rPr>
                    <w:t>贮存</w:t>
                  </w:r>
                </w:p>
                <w:p w14:paraId="3C2BB6C7">
                  <w:pPr>
                    <w:topLinePunct/>
                    <w:adjustRightInd w:val="0"/>
                    <w:snapToGrid w:val="0"/>
                    <w:jc w:val="center"/>
                    <w:rPr>
                      <w:kern w:val="0"/>
                      <w:szCs w:val="21"/>
                    </w:rPr>
                  </w:pPr>
                  <w:r>
                    <w:rPr>
                      <w:kern w:val="0"/>
                      <w:szCs w:val="21"/>
                    </w:rPr>
                    <w:t>周期</w:t>
                  </w:r>
                </w:p>
              </w:tc>
            </w:tr>
            <w:tr w14:paraId="6EC68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4" w:type="pct"/>
                  <w:vAlign w:val="center"/>
                </w:tcPr>
                <w:p w14:paraId="7211367A">
                  <w:pPr>
                    <w:topLinePunct/>
                    <w:adjustRightInd w:val="0"/>
                    <w:snapToGrid w:val="0"/>
                    <w:jc w:val="center"/>
                    <w:rPr>
                      <w:kern w:val="0"/>
                      <w:szCs w:val="21"/>
                    </w:rPr>
                  </w:pPr>
                  <w:r>
                    <w:rPr>
                      <w:rFonts w:hint="eastAsia"/>
                      <w:kern w:val="0"/>
                      <w:szCs w:val="21"/>
                    </w:rPr>
                    <w:t>1</w:t>
                  </w:r>
                </w:p>
              </w:tc>
              <w:tc>
                <w:tcPr>
                  <w:tcW w:w="609" w:type="pct"/>
                  <w:vMerge w:val="restart"/>
                  <w:vAlign w:val="center"/>
                </w:tcPr>
                <w:p w14:paraId="69A4E1E6">
                  <w:pPr>
                    <w:topLinePunct/>
                    <w:adjustRightInd w:val="0"/>
                    <w:snapToGrid w:val="0"/>
                    <w:jc w:val="center"/>
                    <w:rPr>
                      <w:kern w:val="0"/>
                      <w:szCs w:val="21"/>
                    </w:rPr>
                  </w:pPr>
                  <w:r>
                    <w:rPr>
                      <w:kern w:val="0"/>
                      <w:szCs w:val="21"/>
                    </w:rPr>
                    <w:t>危废暂存间</w:t>
                  </w:r>
                </w:p>
              </w:tc>
              <w:tc>
                <w:tcPr>
                  <w:tcW w:w="864" w:type="pct"/>
                  <w:vAlign w:val="center"/>
                </w:tcPr>
                <w:p w14:paraId="2641C9F5">
                  <w:pPr>
                    <w:adjustRightInd w:val="0"/>
                    <w:snapToGrid w:val="0"/>
                    <w:jc w:val="center"/>
                    <w:rPr>
                      <w:kern w:val="0"/>
                      <w:szCs w:val="21"/>
                    </w:rPr>
                  </w:pPr>
                  <w:r>
                    <w:rPr>
                      <w:kern w:val="0"/>
                      <w:szCs w:val="21"/>
                    </w:rPr>
                    <w:t>隔油沉淀池油泥</w:t>
                  </w:r>
                </w:p>
              </w:tc>
              <w:tc>
                <w:tcPr>
                  <w:tcW w:w="559" w:type="pct"/>
                  <w:vAlign w:val="center"/>
                </w:tcPr>
                <w:p w14:paraId="0313E8C6">
                  <w:pPr>
                    <w:jc w:val="center"/>
                    <w:rPr>
                      <w:rFonts w:hint="default" w:eastAsia="宋体"/>
                      <w:lang w:val="en-US" w:eastAsia="zh-CN"/>
                    </w:rPr>
                  </w:pPr>
                  <w:r>
                    <w:rPr>
                      <w:szCs w:val="21"/>
                    </w:rPr>
                    <w:t>HW</w:t>
                  </w:r>
                  <w:r>
                    <w:rPr>
                      <w:rFonts w:hint="eastAsia"/>
                      <w:szCs w:val="21"/>
                      <w:lang w:val="en-US" w:eastAsia="zh-CN"/>
                    </w:rPr>
                    <w:t>08</w:t>
                  </w:r>
                </w:p>
              </w:tc>
              <w:tc>
                <w:tcPr>
                  <w:tcW w:w="927" w:type="pct"/>
                  <w:vAlign w:val="center"/>
                </w:tcPr>
                <w:p w14:paraId="5170A2BE">
                  <w:pPr>
                    <w:snapToGrid w:val="0"/>
                    <w:jc w:val="center"/>
                    <w:rPr>
                      <w:szCs w:val="21"/>
                    </w:rPr>
                  </w:pPr>
                  <w:r>
                    <w:rPr>
                      <w:szCs w:val="21"/>
                    </w:rPr>
                    <w:t>900-210-08</w:t>
                  </w:r>
                </w:p>
              </w:tc>
              <w:tc>
                <w:tcPr>
                  <w:tcW w:w="379" w:type="pct"/>
                  <w:vMerge w:val="restart"/>
                  <w:vAlign w:val="center"/>
                </w:tcPr>
                <w:p w14:paraId="219DFDBD">
                  <w:pPr>
                    <w:topLinePunct/>
                    <w:adjustRightInd w:val="0"/>
                    <w:snapToGrid w:val="0"/>
                    <w:jc w:val="center"/>
                    <w:rPr>
                      <w:szCs w:val="21"/>
                    </w:rPr>
                  </w:pPr>
                  <w:r>
                    <w:rPr>
                      <w:szCs w:val="21"/>
                    </w:rPr>
                    <w:t>5m</w:t>
                  </w:r>
                  <w:r>
                    <w:rPr>
                      <w:szCs w:val="21"/>
                      <w:vertAlign w:val="superscript"/>
                    </w:rPr>
                    <w:t>2</w:t>
                  </w:r>
                </w:p>
              </w:tc>
              <w:tc>
                <w:tcPr>
                  <w:tcW w:w="446" w:type="pct"/>
                  <w:vMerge w:val="restart"/>
                  <w:vAlign w:val="center"/>
                </w:tcPr>
                <w:p w14:paraId="750C2F8E">
                  <w:pPr>
                    <w:topLinePunct/>
                    <w:adjustRightInd w:val="0"/>
                    <w:snapToGrid w:val="0"/>
                    <w:jc w:val="center"/>
                    <w:rPr>
                      <w:kern w:val="0"/>
                      <w:szCs w:val="21"/>
                    </w:rPr>
                  </w:pPr>
                  <w:r>
                    <w:rPr>
                      <w:kern w:val="0"/>
                      <w:szCs w:val="21"/>
                    </w:rPr>
                    <w:t>规范贮存</w:t>
                  </w:r>
                </w:p>
              </w:tc>
              <w:tc>
                <w:tcPr>
                  <w:tcW w:w="437" w:type="pct"/>
                  <w:vMerge w:val="restart"/>
                  <w:vAlign w:val="center"/>
                </w:tcPr>
                <w:p w14:paraId="7A036068">
                  <w:pPr>
                    <w:topLinePunct/>
                    <w:adjustRightInd w:val="0"/>
                    <w:snapToGrid w:val="0"/>
                    <w:jc w:val="center"/>
                    <w:rPr>
                      <w:kern w:val="0"/>
                      <w:szCs w:val="21"/>
                    </w:rPr>
                  </w:pPr>
                  <w:r>
                    <w:rPr>
                      <w:kern w:val="0"/>
                      <w:szCs w:val="21"/>
                    </w:rPr>
                    <w:t>2t</w:t>
                  </w:r>
                </w:p>
              </w:tc>
              <w:tc>
                <w:tcPr>
                  <w:tcW w:w="460" w:type="pct"/>
                  <w:vMerge w:val="restart"/>
                  <w:vAlign w:val="center"/>
                </w:tcPr>
                <w:p w14:paraId="18FA4B2F">
                  <w:pPr>
                    <w:topLinePunct/>
                    <w:adjustRightInd w:val="0"/>
                    <w:snapToGrid w:val="0"/>
                    <w:jc w:val="center"/>
                    <w:rPr>
                      <w:kern w:val="0"/>
                      <w:szCs w:val="21"/>
                    </w:rPr>
                  </w:pPr>
                  <w:r>
                    <w:rPr>
                      <w:kern w:val="0"/>
                      <w:szCs w:val="21"/>
                    </w:rPr>
                    <w:t>90天</w:t>
                  </w:r>
                </w:p>
              </w:tc>
            </w:tr>
            <w:tr w14:paraId="70D9BF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4" w:type="pct"/>
                  <w:vAlign w:val="center"/>
                </w:tcPr>
                <w:p w14:paraId="32A24AB2">
                  <w:pPr>
                    <w:topLinePunct/>
                    <w:adjustRightInd w:val="0"/>
                    <w:snapToGrid w:val="0"/>
                    <w:jc w:val="center"/>
                    <w:rPr>
                      <w:kern w:val="0"/>
                      <w:szCs w:val="21"/>
                    </w:rPr>
                  </w:pPr>
                  <w:r>
                    <w:rPr>
                      <w:rFonts w:hint="eastAsia"/>
                      <w:kern w:val="0"/>
                      <w:szCs w:val="21"/>
                    </w:rPr>
                    <w:t>2</w:t>
                  </w:r>
                </w:p>
              </w:tc>
              <w:tc>
                <w:tcPr>
                  <w:tcW w:w="609" w:type="pct"/>
                  <w:vMerge w:val="continue"/>
                  <w:vAlign w:val="center"/>
                </w:tcPr>
                <w:p w14:paraId="140C1364">
                  <w:pPr>
                    <w:topLinePunct/>
                    <w:adjustRightInd w:val="0"/>
                    <w:snapToGrid w:val="0"/>
                    <w:jc w:val="center"/>
                    <w:rPr>
                      <w:kern w:val="0"/>
                      <w:szCs w:val="21"/>
                    </w:rPr>
                  </w:pPr>
                </w:p>
              </w:tc>
              <w:tc>
                <w:tcPr>
                  <w:tcW w:w="864" w:type="pct"/>
                  <w:vAlign w:val="center"/>
                </w:tcPr>
                <w:p w14:paraId="0A02C05E">
                  <w:pPr>
                    <w:adjustRightInd w:val="0"/>
                    <w:snapToGrid w:val="0"/>
                    <w:jc w:val="center"/>
                    <w:rPr>
                      <w:kern w:val="0"/>
                      <w:szCs w:val="21"/>
                    </w:rPr>
                  </w:pPr>
                  <w:r>
                    <w:rPr>
                      <w:kern w:val="0"/>
                      <w:szCs w:val="21"/>
                    </w:rPr>
                    <w:t>含油消防沙</w:t>
                  </w:r>
                </w:p>
              </w:tc>
              <w:tc>
                <w:tcPr>
                  <w:tcW w:w="559" w:type="pct"/>
                  <w:vAlign w:val="center"/>
                </w:tcPr>
                <w:p w14:paraId="1D5F4B8D">
                  <w:pPr>
                    <w:jc w:val="center"/>
                  </w:pPr>
                  <w:r>
                    <w:rPr>
                      <w:szCs w:val="21"/>
                    </w:rPr>
                    <w:t>HW49</w:t>
                  </w:r>
                </w:p>
              </w:tc>
              <w:tc>
                <w:tcPr>
                  <w:tcW w:w="927" w:type="pct"/>
                  <w:vAlign w:val="center"/>
                </w:tcPr>
                <w:p w14:paraId="12601352">
                  <w:pPr>
                    <w:snapToGrid w:val="0"/>
                    <w:jc w:val="center"/>
                    <w:rPr>
                      <w:szCs w:val="21"/>
                    </w:rPr>
                  </w:pPr>
                  <w:r>
                    <w:rPr>
                      <w:szCs w:val="21"/>
                    </w:rPr>
                    <w:t>900-042-49</w:t>
                  </w:r>
                </w:p>
              </w:tc>
              <w:tc>
                <w:tcPr>
                  <w:tcW w:w="379" w:type="pct"/>
                  <w:vMerge w:val="continue"/>
                  <w:vAlign w:val="center"/>
                </w:tcPr>
                <w:p w14:paraId="62DA2D24">
                  <w:pPr>
                    <w:topLinePunct/>
                    <w:adjustRightInd w:val="0"/>
                    <w:snapToGrid w:val="0"/>
                    <w:jc w:val="center"/>
                    <w:rPr>
                      <w:szCs w:val="21"/>
                    </w:rPr>
                  </w:pPr>
                </w:p>
              </w:tc>
              <w:tc>
                <w:tcPr>
                  <w:tcW w:w="446" w:type="pct"/>
                  <w:vMerge w:val="continue"/>
                  <w:vAlign w:val="center"/>
                </w:tcPr>
                <w:p w14:paraId="2B74C1FE">
                  <w:pPr>
                    <w:topLinePunct/>
                    <w:adjustRightInd w:val="0"/>
                    <w:snapToGrid w:val="0"/>
                    <w:jc w:val="center"/>
                    <w:rPr>
                      <w:kern w:val="0"/>
                      <w:szCs w:val="21"/>
                    </w:rPr>
                  </w:pPr>
                </w:p>
              </w:tc>
              <w:tc>
                <w:tcPr>
                  <w:tcW w:w="437" w:type="pct"/>
                  <w:vMerge w:val="continue"/>
                  <w:vAlign w:val="center"/>
                </w:tcPr>
                <w:p w14:paraId="6BE30CA7">
                  <w:pPr>
                    <w:topLinePunct/>
                    <w:adjustRightInd w:val="0"/>
                    <w:snapToGrid w:val="0"/>
                    <w:jc w:val="center"/>
                    <w:rPr>
                      <w:kern w:val="0"/>
                      <w:szCs w:val="21"/>
                    </w:rPr>
                  </w:pPr>
                </w:p>
              </w:tc>
              <w:tc>
                <w:tcPr>
                  <w:tcW w:w="460" w:type="pct"/>
                  <w:vMerge w:val="continue"/>
                  <w:vAlign w:val="center"/>
                </w:tcPr>
                <w:p w14:paraId="360C579C">
                  <w:pPr>
                    <w:topLinePunct/>
                    <w:adjustRightInd w:val="0"/>
                    <w:snapToGrid w:val="0"/>
                    <w:jc w:val="center"/>
                    <w:rPr>
                      <w:kern w:val="0"/>
                      <w:szCs w:val="21"/>
                    </w:rPr>
                  </w:pPr>
                </w:p>
              </w:tc>
            </w:tr>
            <w:tr w14:paraId="5EDA14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4" w:type="pct"/>
                  <w:vAlign w:val="center"/>
                </w:tcPr>
                <w:p w14:paraId="0CBC0596">
                  <w:pPr>
                    <w:topLinePunct/>
                    <w:adjustRightInd w:val="0"/>
                    <w:snapToGrid w:val="0"/>
                    <w:jc w:val="center"/>
                    <w:rPr>
                      <w:kern w:val="0"/>
                      <w:szCs w:val="21"/>
                    </w:rPr>
                  </w:pPr>
                  <w:r>
                    <w:rPr>
                      <w:rFonts w:hint="eastAsia"/>
                      <w:kern w:val="0"/>
                      <w:szCs w:val="21"/>
                    </w:rPr>
                    <w:t>3</w:t>
                  </w:r>
                </w:p>
              </w:tc>
              <w:tc>
                <w:tcPr>
                  <w:tcW w:w="609" w:type="pct"/>
                  <w:vMerge w:val="continue"/>
                  <w:vAlign w:val="center"/>
                </w:tcPr>
                <w:p w14:paraId="52F024E7">
                  <w:pPr>
                    <w:topLinePunct/>
                    <w:adjustRightInd w:val="0"/>
                    <w:snapToGrid w:val="0"/>
                    <w:jc w:val="center"/>
                    <w:rPr>
                      <w:kern w:val="0"/>
                      <w:szCs w:val="21"/>
                    </w:rPr>
                  </w:pPr>
                </w:p>
              </w:tc>
              <w:tc>
                <w:tcPr>
                  <w:tcW w:w="864" w:type="pct"/>
                  <w:vAlign w:val="center"/>
                </w:tcPr>
                <w:p w14:paraId="5124770E">
                  <w:pPr>
                    <w:adjustRightInd w:val="0"/>
                    <w:snapToGrid w:val="0"/>
                    <w:jc w:val="center"/>
                    <w:rPr>
                      <w:kern w:val="0"/>
                      <w:szCs w:val="21"/>
                    </w:rPr>
                  </w:pPr>
                  <w:r>
                    <w:rPr>
                      <w:kern w:val="0"/>
                      <w:szCs w:val="21"/>
                    </w:rPr>
                    <w:t>含油抹布和手套</w:t>
                  </w:r>
                </w:p>
              </w:tc>
              <w:tc>
                <w:tcPr>
                  <w:tcW w:w="559" w:type="pct"/>
                  <w:vAlign w:val="center"/>
                </w:tcPr>
                <w:p w14:paraId="6DE04754">
                  <w:pPr>
                    <w:jc w:val="center"/>
                  </w:pPr>
                  <w:r>
                    <w:rPr>
                      <w:szCs w:val="21"/>
                    </w:rPr>
                    <w:t>HW49</w:t>
                  </w:r>
                </w:p>
              </w:tc>
              <w:tc>
                <w:tcPr>
                  <w:tcW w:w="927" w:type="pct"/>
                  <w:vAlign w:val="center"/>
                </w:tcPr>
                <w:p w14:paraId="7BF1B104">
                  <w:pPr>
                    <w:snapToGrid w:val="0"/>
                    <w:jc w:val="center"/>
                    <w:rPr>
                      <w:szCs w:val="21"/>
                    </w:rPr>
                  </w:pPr>
                  <w:r>
                    <w:rPr>
                      <w:szCs w:val="21"/>
                    </w:rPr>
                    <w:t>900-041-49</w:t>
                  </w:r>
                </w:p>
              </w:tc>
              <w:tc>
                <w:tcPr>
                  <w:tcW w:w="379" w:type="pct"/>
                  <w:vMerge w:val="continue"/>
                  <w:vAlign w:val="center"/>
                </w:tcPr>
                <w:p w14:paraId="429C9341">
                  <w:pPr>
                    <w:topLinePunct/>
                    <w:adjustRightInd w:val="0"/>
                    <w:snapToGrid w:val="0"/>
                    <w:jc w:val="center"/>
                    <w:rPr>
                      <w:szCs w:val="21"/>
                    </w:rPr>
                  </w:pPr>
                </w:p>
              </w:tc>
              <w:tc>
                <w:tcPr>
                  <w:tcW w:w="446" w:type="pct"/>
                  <w:vMerge w:val="continue"/>
                  <w:vAlign w:val="center"/>
                </w:tcPr>
                <w:p w14:paraId="1AB9BEE5">
                  <w:pPr>
                    <w:topLinePunct/>
                    <w:adjustRightInd w:val="0"/>
                    <w:snapToGrid w:val="0"/>
                    <w:jc w:val="center"/>
                    <w:rPr>
                      <w:kern w:val="0"/>
                      <w:szCs w:val="21"/>
                    </w:rPr>
                  </w:pPr>
                </w:p>
              </w:tc>
              <w:tc>
                <w:tcPr>
                  <w:tcW w:w="437" w:type="pct"/>
                  <w:vMerge w:val="continue"/>
                  <w:vAlign w:val="center"/>
                </w:tcPr>
                <w:p w14:paraId="198D1DDD">
                  <w:pPr>
                    <w:topLinePunct/>
                    <w:adjustRightInd w:val="0"/>
                    <w:snapToGrid w:val="0"/>
                    <w:jc w:val="center"/>
                    <w:rPr>
                      <w:kern w:val="0"/>
                      <w:szCs w:val="21"/>
                    </w:rPr>
                  </w:pPr>
                </w:p>
              </w:tc>
              <w:tc>
                <w:tcPr>
                  <w:tcW w:w="460" w:type="pct"/>
                  <w:vMerge w:val="continue"/>
                  <w:vAlign w:val="center"/>
                </w:tcPr>
                <w:p w14:paraId="357DB978">
                  <w:pPr>
                    <w:topLinePunct/>
                    <w:adjustRightInd w:val="0"/>
                    <w:snapToGrid w:val="0"/>
                    <w:jc w:val="center"/>
                    <w:rPr>
                      <w:kern w:val="0"/>
                      <w:szCs w:val="21"/>
                    </w:rPr>
                  </w:pPr>
                </w:p>
              </w:tc>
            </w:tr>
            <w:tr w14:paraId="350595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14" w:type="pct"/>
                  <w:vAlign w:val="center"/>
                </w:tcPr>
                <w:p w14:paraId="1FC2BDDD">
                  <w:pPr>
                    <w:topLinePunct/>
                    <w:adjustRightInd w:val="0"/>
                    <w:snapToGrid w:val="0"/>
                    <w:jc w:val="center"/>
                    <w:rPr>
                      <w:rFonts w:hint="eastAsia" w:eastAsia="宋体"/>
                      <w:kern w:val="0"/>
                      <w:szCs w:val="21"/>
                      <w:lang w:val="en-US" w:eastAsia="zh-CN"/>
                    </w:rPr>
                  </w:pPr>
                  <w:r>
                    <w:rPr>
                      <w:rFonts w:hint="eastAsia"/>
                      <w:kern w:val="0"/>
                      <w:szCs w:val="21"/>
                      <w:lang w:val="en-US" w:eastAsia="zh-CN"/>
                    </w:rPr>
                    <w:t>4</w:t>
                  </w:r>
                </w:p>
              </w:tc>
              <w:tc>
                <w:tcPr>
                  <w:tcW w:w="609" w:type="pct"/>
                  <w:vMerge w:val="continue"/>
                  <w:vAlign w:val="center"/>
                </w:tcPr>
                <w:p w14:paraId="42030D44">
                  <w:pPr>
                    <w:topLinePunct/>
                    <w:adjustRightInd w:val="0"/>
                    <w:snapToGrid w:val="0"/>
                    <w:jc w:val="center"/>
                    <w:rPr>
                      <w:kern w:val="0"/>
                      <w:szCs w:val="21"/>
                    </w:rPr>
                  </w:pPr>
                </w:p>
              </w:tc>
              <w:tc>
                <w:tcPr>
                  <w:tcW w:w="864" w:type="pct"/>
                  <w:vAlign w:val="center"/>
                </w:tcPr>
                <w:p w14:paraId="43CA96E6">
                  <w:pPr>
                    <w:adjustRightInd w:val="0"/>
                    <w:snapToGrid w:val="0"/>
                    <w:jc w:val="center"/>
                    <w:rPr>
                      <w:rFonts w:hint="default" w:eastAsia="宋体"/>
                      <w:kern w:val="0"/>
                      <w:szCs w:val="21"/>
                      <w:lang w:val="en-US" w:eastAsia="zh-CN"/>
                    </w:rPr>
                  </w:pPr>
                  <w:r>
                    <w:rPr>
                      <w:rFonts w:hint="eastAsia"/>
                      <w:kern w:val="0"/>
                      <w:szCs w:val="21"/>
                      <w:lang w:val="en-US" w:eastAsia="zh-CN"/>
                    </w:rPr>
                    <w:t>废活性炭</w:t>
                  </w:r>
                </w:p>
              </w:tc>
              <w:tc>
                <w:tcPr>
                  <w:tcW w:w="559" w:type="pct"/>
                  <w:vAlign w:val="center"/>
                </w:tcPr>
                <w:p w14:paraId="3FCBD7C3">
                  <w:pPr>
                    <w:jc w:val="center"/>
                    <w:rPr>
                      <w:szCs w:val="21"/>
                    </w:rPr>
                  </w:pPr>
                  <w:r>
                    <w:rPr>
                      <w:rFonts w:hint="eastAsia"/>
                      <w:color w:val="auto"/>
                      <w:szCs w:val="21"/>
                      <w:u w:val="none"/>
                      <w:lang w:val="en-US" w:eastAsia="zh-CN"/>
                    </w:rPr>
                    <w:t>HW49</w:t>
                  </w:r>
                </w:p>
              </w:tc>
              <w:tc>
                <w:tcPr>
                  <w:tcW w:w="927" w:type="pct"/>
                  <w:vAlign w:val="center"/>
                </w:tcPr>
                <w:p w14:paraId="3AECAF47">
                  <w:pPr>
                    <w:snapToGrid w:val="0"/>
                    <w:jc w:val="center"/>
                    <w:rPr>
                      <w:szCs w:val="21"/>
                    </w:rPr>
                  </w:pPr>
                  <w:r>
                    <w:rPr>
                      <w:rFonts w:hint="eastAsia"/>
                      <w:color w:val="auto"/>
                      <w:szCs w:val="21"/>
                      <w:u w:val="none"/>
                      <w:lang w:val="en-US" w:eastAsia="zh-CN"/>
                    </w:rPr>
                    <w:t>900-039-49</w:t>
                  </w:r>
                </w:p>
              </w:tc>
              <w:tc>
                <w:tcPr>
                  <w:tcW w:w="379" w:type="pct"/>
                  <w:vMerge w:val="continue"/>
                  <w:vAlign w:val="center"/>
                </w:tcPr>
                <w:p w14:paraId="7FA9B65F">
                  <w:pPr>
                    <w:topLinePunct/>
                    <w:adjustRightInd w:val="0"/>
                    <w:snapToGrid w:val="0"/>
                    <w:jc w:val="center"/>
                    <w:rPr>
                      <w:szCs w:val="21"/>
                    </w:rPr>
                  </w:pPr>
                </w:p>
              </w:tc>
              <w:tc>
                <w:tcPr>
                  <w:tcW w:w="446" w:type="pct"/>
                  <w:vMerge w:val="continue"/>
                  <w:vAlign w:val="center"/>
                </w:tcPr>
                <w:p w14:paraId="1C151E79">
                  <w:pPr>
                    <w:topLinePunct/>
                    <w:adjustRightInd w:val="0"/>
                    <w:snapToGrid w:val="0"/>
                    <w:jc w:val="center"/>
                    <w:rPr>
                      <w:kern w:val="0"/>
                      <w:szCs w:val="21"/>
                    </w:rPr>
                  </w:pPr>
                </w:p>
              </w:tc>
              <w:tc>
                <w:tcPr>
                  <w:tcW w:w="437" w:type="pct"/>
                  <w:vMerge w:val="continue"/>
                  <w:vAlign w:val="center"/>
                </w:tcPr>
                <w:p w14:paraId="1B3554C5">
                  <w:pPr>
                    <w:topLinePunct/>
                    <w:adjustRightInd w:val="0"/>
                    <w:snapToGrid w:val="0"/>
                    <w:jc w:val="center"/>
                    <w:rPr>
                      <w:kern w:val="0"/>
                      <w:szCs w:val="21"/>
                    </w:rPr>
                  </w:pPr>
                </w:p>
              </w:tc>
              <w:tc>
                <w:tcPr>
                  <w:tcW w:w="460" w:type="pct"/>
                  <w:vMerge w:val="continue"/>
                  <w:vAlign w:val="center"/>
                </w:tcPr>
                <w:p w14:paraId="13BF1758">
                  <w:pPr>
                    <w:topLinePunct/>
                    <w:adjustRightInd w:val="0"/>
                    <w:snapToGrid w:val="0"/>
                    <w:jc w:val="center"/>
                    <w:rPr>
                      <w:kern w:val="0"/>
                      <w:szCs w:val="21"/>
                    </w:rPr>
                  </w:pPr>
                </w:p>
              </w:tc>
            </w:tr>
          </w:tbl>
          <w:p w14:paraId="71254719">
            <w:pPr>
              <w:wordWrap w:val="0"/>
              <w:topLinePunct/>
              <w:adjustRightInd w:val="0"/>
              <w:snapToGrid w:val="0"/>
              <w:spacing w:line="360" w:lineRule="auto"/>
              <w:rPr>
                <w:b/>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9</w:t>
            </w:r>
            <w:r>
              <w:rPr>
                <w:rFonts w:hint="eastAsia" w:ascii="Times New Roman" w:hAnsi="Times New Roman" w:eastAsia="宋体" w:cs="Times New Roman"/>
                <w:b/>
                <w:bCs/>
                <w:kern w:val="2"/>
                <w:sz w:val="24"/>
                <w:szCs w:val="24"/>
                <w:lang w:val="en-US" w:eastAsia="zh-CN" w:bidi="ar-SA"/>
              </w:rPr>
              <w:t xml:space="preserve"> </w:t>
            </w:r>
            <w:r>
              <w:rPr>
                <w:b/>
                <w:sz w:val="24"/>
              </w:rPr>
              <w:t>地下水</w:t>
            </w:r>
          </w:p>
          <w:p w14:paraId="17F58217">
            <w:pPr>
              <w:pStyle w:val="118"/>
              <w:wordWrap w:val="0"/>
              <w:topLinePunct/>
              <w:spacing w:line="360" w:lineRule="auto"/>
              <w:ind w:left="0" w:leftChars="0" w:firstLine="0" w:firstLineChars="0"/>
              <w:jc w:val="both"/>
              <w:rPr>
                <w:b/>
                <w:bCs/>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 xml:space="preserve">9.1 </w:t>
            </w:r>
            <w:r>
              <w:rPr>
                <w:b/>
                <w:bCs/>
              </w:rPr>
              <w:t>污染源、</w:t>
            </w:r>
            <w:r>
              <w:rPr>
                <w:b/>
                <w:bCs/>
                <w:szCs w:val="22"/>
              </w:rPr>
              <w:t>污染物类型及污染途径分析</w:t>
            </w:r>
          </w:p>
          <w:p w14:paraId="202AFBE0">
            <w:pPr>
              <w:tabs>
                <w:tab w:val="left" w:pos="1440"/>
                <w:tab w:val="left" w:pos="1800"/>
              </w:tabs>
              <w:adjustRightInd w:val="0"/>
              <w:spacing w:line="360" w:lineRule="auto"/>
              <w:ind w:firstLine="480" w:firstLineChars="200"/>
              <w:jc w:val="left"/>
              <w:rPr>
                <w:sz w:val="24"/>
              </w:rPr>
            </w:pPr>
            <w:r>
              <w:rPr>
                <w:sz w:val="24"/>
              </w:rPr>
              <w:t>根据调查，项目周边居民均以市政自来水为主要水源，周边地下水环境不敏感。</w:t>
            </w:r>
          </w:p>
          <w:p w14:paraId="16B6A619">
            <w:pPr>
              <w:tabs>
                <w:tab w:val="left" w:pos="1440"/>
                <w:tab w:val="left" w:pos="1800"/>
              </w:tabs>
              <w:adjustRightInd w:val="0"/>
              <w:spacing w:line="360" w:lineRule="auto"/>
              <w:ind w:firstLine="480" w:firstLineChars="200"/>
              <w:rPr>
                <w:sz w:val="24"/>
              </w:rPr>
            </w:pPr>
            <w:r>
              <w:rPr>
                <w:sz w:val="24"/>
              </w:rPr>
              <w:t>本项目为</w:t>
            </w:r>
            <w:r>
              <w:rPr>
                <w:rFonts w:hint="eastAsia"/>
                <w:sz w:val="24"/>
                <w:lang w:val="en-US" w:eastAsia="zh-CN"/>
              </w:rPr>
              <w:t>二级</w:t>
            </w:r>
            <w:r>
              <w:rPr>
                <w:sz w:val="24"/>
              </w:rPr>
              <w:t>加油站，正常状况下项目废水经预处理后进入</w:t>
            </w:r>
            <w:r>
              <w:rPr>
                <w:rFonts w:hint="eastAsia"/>
                <w:sz w:val="24"/>
                <w:lang w:eastAsia="zh-CN"/>
              </w:rPr>
              <w:t>祁阳市城北污水处理厂</w:t>
            </w:r>
            <w:r>
              <w:rPr>
                <w:sz w:val="24"/>
              </w:rPr>
              <w:t>处理；加油站汽油卸油、加油设置一、二次油气回收系统回收油气，柴油污染较小，无组织排放，均可达到排放要求，汽油柴油储罐采用双层埋地油罐，加油卸油采用双层输油管道。</w:t>
            </w:r>
          </w:p>
          <w:p w14:paraId="2327C802">
            <w:pPr>
              <w:tabs>
                <w:tab w:val="left" w:pos="1440"/>
                <w:tab w:val="left" w:pos="1800"/>
              </w:tabs>
              <w:adjustRightInd w:val="0"/>
              <w:spacing w:line="360" w:lineRule="auto"/>
              <w:ind w:firstLine="480" w:firstLineChars="200"/>
              <w:rPr>
                <w:sz w:val="24"/>
              </w:rPr>
            </w:pPr>
            <w:r>
              <w:rPr>
                <w:sz w:val="24"/>
              </w:rPr>
              <w:t>在非正常状况下，汽/柴油储罐破损泄露、油品输送管道、处理池内污水</w:t>
            </w:r>
            <w:r>
              <w:rPr>
                <w:sz w:val="24"/>
                <w:lang w:val="zh-CN"/>
              </w:rPr>
              <w:t>渗漏入表层土壤、进而迁移入深层的地下水层</w:t>
            </w:r>
            <w:r>
              <w:rPr>
                <w:sz w:val="24"/>
              </w:rPr>
              <w:t>或废水处理池体破裂时，未经处理的废水溢出厂外，</w:t>
            </w:r>
            <w:r>
              <w:rPr>
                <w:sz w:val="24"/>
                <w:lang w:val="zh-CN"/>
              </w:rPr>
              <w:t>从而可能影响</w:t>
            </w:r>
            <w:r>
              <w:rPr>
                <w:sz w:val="24"/>
              </w:rPr>
              <w:t>地下水的水质。</w:t>
            </w:r>
          </w:p>
          <w:p w14:paraId="0FAADB53">
            <w:pPr>
              <w:pStyle w:val="71"/>
              <w:spacing w:line="360" w:lineRule="auto"/>
              <w:ind w:firstLine="480" w:firstLineChars="200"/>
              <w:rPr>
                <w:rFonts w:ascii="Times New Roman" w:hAnsi="Times New Roman" w:cs="Times New Roman"/>
                <w:color w:val="auto"/>
              </w:rPr>
            </w:pPr>
            <w:r>
              <w:rPr>
                <w:rFonts w:ascii="Times New Roman" w:hAnsi="Times New Roman" w:cs="Times New Roman"/>
                <w:color w:val="auto"/>
              </w:rPr>
              <w:t>根据工程分析，本项目可能对地下水造成污染的主要包括储罐区、输油管道、应急事故池、污水处理设施、危险</w:t>
            </w:r>
            <w:r>
              <w:rPr>
                <w:rFonts w:hint="eastAsia" w:cs="Times New Roman"/>
                <w:color w:val="auto"/>
                <w:lang w:val="en-US" w:eastAsia="zh-CN"/>
              </w:rPr>
              <w:t>废物暂存</w:t>
            </w:r>
            <w:r>
              <w:rPr>
                <w:rFonts w:ascii="Times New Roman" w:hAnsi="Times New Roman" w:cs="Times New Roman"/>
                <w:color w:val="auto"/>
              </w:rPr>
              <w:t>间等，主要污染因子为SS、氨氮、LAS、石油类</w:t>
            </w:r>
            <w:r>
              <w:rPr>
                <w:rFonts w:hint="eastAsia" w:cs="Times New Roman"/>
                <w:color w:val="auto"/>
                <w:lang w:eastAsia="zh-CN"/>
              </w:rPr>
              <w:t>，</w:t>
            </w:r>
            <w:r>
              <w:rPr>
                <w:rFonts w:ascii="Times New Roman" w:hAnsi="Times New Roman" w:cs="Times New Roman"/>
                <w:color w:val="auto"/>
              </w:rPr>
              <w:t>通过类比同类型项目，本项目对地下水污染途径有以下几种途径：</w:t>
            </w:r>
          </w:p>
          <w:p w14:paraId="320A2910">
            <w:pPr>
              <w:tabs>
                <w:tab w:val="left" w:pos="1440"/>
                <w:tab w:val="left" w:pos="1800"/>
              </w:tabs>
              <w:adjustRightInd w:val="0"/>
              <w:spacing w:line="360" w:lineRule="auto"/>
              <w:ind w:firstLine="480" w:firstLineChars="200"/>
              <w:jc w:val="left"/>
              <w:rPr>
                <w:sz w:val="24"/>
              </w:rPr>
            </w:pPr>
            <w:r>
              <w:rPr>
                <w:sz w:val="24"/>
              </w:rPr>
              <w:t>①因隔油沉淀池、事故应急池池体渗漏、破裂或运输管道破裂以及危废间漏雨产生危废渗滤液，导致</w:t>
            </w:r>
            <w:r>
              <w:rPr>
                <w:rFonts w:hint="eastAsia"/>
                <w:sz w:val="24"/>
                <w:lang w:eastAsia="zh-CN"/>
              </w:rPr>
              <w:t>地面清洁废水</w:t>
            </w:r>
            <w:r>
              <w:rPr>
                <w:sz w:val="24"/>
              </w:rPr>
              <w:t>、初期雨水以及危废渗滤液渗入地下对地下水造成污染；</w:t>
            </w:r>
          </w:p>
          <w:p w14:paraId="550FE358">
            <w:pPr>
              <w:pStyle w:val="118"/>
              <w:spacing w:line="360" w:lineRule="auto"/>
              <w:rPr>
                <w:b/>
              </w:rPr>
            </w:pPr>
            <w:r>
              <w:t>②因汽油储罐、输送管道或设备破损、故障及工作人员操作失误等原因导致油品泄露进入地下水环境，从而对地下水造成污染。</w:t>
            </w:r>
          </w:p>
          <w:p w14:paraId="02642A66">
            <w:pPr>
              <w:spacing w:line="360" w:lineRule="auto"/>
              <w:jc w:val="left"/>
              <w:rPr>
                <w:b/>
                <w:bCs/>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 xml:space="preserve">9.2 </w:t>
            </w:r>
            <w:r>
              <w:rPr>
                <w:b/>
                <w:bCs/>
                <w:sz w:val="24"/>
              </w:rPr>
              <w:t>防控措施</w:t>
            </w:r>
          </w:p>
          <w:p w14:paraId="19BB999E">
            <w:pPr>
              <w:pStyle w:val="118"/>
              <w:spacing w:line="360" w:lineRule="auto"/>
              <w:ind w:firstLine="480" w:firstLineChars="200"/>
              <w:jc w:val="both"/>
              <w:rPr>
                <w:b/>
                <w:u w:val="single"/>
              </w:rPr>
            </w:pPr>
            <w:r>
              <w:rPr>
                <w:u w:val="single"/>
              </w:rPr>
              <w:t>项目地下水污染源主要为储罐区、卸油加油区、污水处理池、危废暂存间</w:t>
            </w:r>
            <w:r>
              <w:rPr>
                <w:rFonts w:hint="eastAsia"/>
                <w:u w:val="single"/>
                <w:lang w:eastAsia="zh-CN"/>
              </w:rPr>
              <w:t>、</w:t>
            </w:r>
            <w:r>
              <w:rPr>
                <w:rFonts w:hint="eastAsia"/>
                <w:u w:val="single"/>
                <w:lang w:val="en-US" w:eastAsia="zh-CN"/>
              </w:rPr>
              <w:t>洗车区</w:t>
            </w:r>
            <w:r>
              <w:rPr>
                <w:u w:val="single"/>
              </w:rPr>
              <w:t>，为确保评价区域地下水不受到本项目污染，针对上述污染源及污染途径，建议将厂区划分为重点防渗、一般防渗和简单防渗区。</w:t>
            </w:r>
          </w:p>
          <w:p w14:paraId="07A4DB6B">
            <w:pPr>
              <w:ind w:firstLine="422" w:firstLineChars="175"/>
              <w:jc w:val="center"/>
              <w:rPr>
                <w:b/>
                <w:bCs/>
                <w:sz w:val="24"/>
                <w:szCs w:val="24"/>
                <w:u w:val="single"/>
              </w:rPr>
            </w:pPr>
            <w:r>
              <w:rPr>
                <w:b/>
                <w:bCs/>
                <w:sz w:val="24"/>
                <w:szCs w:val="24"/>
                <w:u w:val="single"/>
              </w:rPr>
              <w:t>表4-1</w:t>
            </w:r>
            <w:r>
              <w:rPr>
                <w:rFonts w:hint="eastAsia"/>
                <w:b/>
                <w:bCs/>
                <w:sz w:val="24"/>
                <w:szCs w:val="24"/>
                <w:u w:val="single"/>
                <w:lang w:val="en-US" w:eastAsia="zh-CN"/>
              </w:rPr>
              <w:t>9</w:t>
            </w:r>
            <w:r>
              <w:rPr>
                <w:b/>
                <w:bCs/>
                <w:sz w:val="24"/>
                <w:szCs w:val="24"/>
                <w:u w:val="single"/>
              </w:rPr>
              <w:t xml:space="preserve"> </w:t>
            </w:r>
            <w:r>
              <w:rPr>
                <w:rFonts w:hint="eastAsia"/>
                <w:b/>
                <w:bCs/>
                <w:sz w:val="24"/>
                <w:szCs w:val="24"/>
                <w:u w:val="single"/>
              </w:rPr>
              <w:t>场区</w:t>
            </w:r>
            <w:r>
              <w:rPr>
                <w:b/>
                <w:bCs/>
                <w:sz w:val="24"/>
                <w:szCs w:val="24"/>
                <w:u w:val="single"/>
              </w:rPr>
              <w:t>分区防渗措施一览表</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7"/>
              <w:gridCol w:w="940"/>
              <w:gridCol w:w="1834"/>
              <w:gridCol w:w="5001"/>
            </w:tblGrid>
            <w:tr w14:paraId="2A0154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9" w:hRule="atLeast"/>
                <w:tblHeader/>
                <w:jc w:val="center"/>
              </w:trPr>
              <w:tc>
                <w:tcPr>
                  <w:tcW w:w="422" w:type="pct"/>
                  <w:vAlign w:val="center"/>
                </w:tcPr>
                <w:p w14:paraId="60CE1B9D">
                  <w:pPr>
                    <w:jc w:val="center"/>
                    <w:rPr>
                      <w:b/>
                      <w:bCs/>
                      <w:u w:val="single"/>
                    </w:rPr>
                  </w:pPr>
                  <w:r>
                    <w:rPr>
                      <w:b/>
                      <w:bCs/>
                      <w:u w:val="single"/>
                    </w:rPr>
                    <w:t>序号</w:t>
                  </w:r>
                </w:p>
              </w:tc>
              <w:tc>
                <w:tcPr>
                  <w:tcW w:w="553" w:type="pct"/>
                  <w:vAlign w:val="center"/>
                </w:tcPr>
                <w:p w14:paraId="4AC2E6ED">
                  <w:pPr>
                    <w:jc w:val="center"/>
                    <w:rPr>
                      <w:b/>
                      <w:bCs/>
                      <w:u w:val="single"/>
                    </w:rPr>
                  </w:pPr>
                  <w:r>
                    <w:rPr>
                      <w:b/>
                      <w:bCs/>
                      <w:u w:val="single"/>
                    </w:rPr>
                    <w:t>分区</w:t>
                  </w:r>
                </w:p>
              </w:tc>
              <w:tc>
                <w:tcPr>
                  <w:tcW w:w="1079" w:type="pct"/>
                  <w:vAlign w:val="center"/>
                </w:tcPr>
                <w:p w14:paraId="08B53DE8">
                  <w:pPr>
                    <w:jc w:val="center"/>
                    <w:rPr>
                      <w:b/>
                      <w:bCs/>
                      <w:u w:val="single"/>
                    </w:rPr>
                  </w:pPr>
                  <w:r>
                    <w:rPr>
                      <w:b/>
                      <w:bCs/>
                      <w:u w:val="single"/>
                    </w:rPr>
                    <w:t>区域</w:t>
                  </w:r>
                </w:p>
              </w:tc>
              <w:tc>
                <w:tcPr>
                  <w:tcW w:w="2943" w:type="pct"/>
                  <w:vAlign w:val="center"/>
                </w:tcPr>
                <w:p w14:paraId="361DDE5F">
                  <w:pPr>
                    <w:jc w:val="center"/>
                    <w:rPr>
                      <w:b/>
                      <w:bCs/>
                      <w:u w:val="single"/>
                    </w:rPr>
                  </w:pPr>
                  <w:r>
                    <w:rPr>
                      <w:b/>
                      <w:bCs/>
                      <w:u w:val="single"/>
                    </w:rPr>
                    <w:t>防渗要求</w:t>
                  </w:r>
                </w:p>
              </w:tc>
            </w:tr>
            <w:tr w14:paraId="582D5D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2" w:type="pct"/>
                  <w:vAlign w:val="center"/>
                </w:tcPr>
                <w:p w14:paraId="1AEAC2BC">
                  <w:pPr>
                    <w:jc w:val="center"/>
                    <w:rPr>
                      <w:u w:val="single"/>
                    </w:rPr>
                  </w:pPr>
                  <w:r>
                    <w:rPr>
                      <w:u w:val="single"/>
                    </w:rPr>
                    <w:t>1</w:t>
                  </w:r>
                </w:p>
              </w:tc>
              <w:tc>
                <w:tcPr>
                  <w:tcW w:w="553" w:type="pct"/>
                  <w:vAlign w:val="center"/>
                </w:tcPr>
                <w:p w14:paraId="68A16C0D">
                  <w:pPr>
                    <w:jc w:val="center"/>
                    <w:rPr>
                      <w:u w:val="single"/>
                    </w:rPr>
                  </w:pPr>
                  <w:r>
                    <w:rPr>
                      <w:u w:val="single"/>
                    </w:rPr>
                    <w:t>重点防渗区</w:t>
                  </w:r>
                </w:p>
              </w:tc>
              <w:tc>
                <w:tcPr>
                  <w:tcW w:w="1079" w:type="pct"/>
                  <w:vAlign w:val="center"/>
                </w:tcPr>
                <w:p w14:paraId="477862E9">
                  <w:pPr>
                    <w:jc w:val="center"/>
                    <w:rPr>
                      <w:rFonts w:hint="default" w:eastAsia="宋体"/>
                      <w:u w:val="single"/>
                      <w:lang w:val="en-US" w:eastAsia="zh-CN"/>
                    </w:rPr>
                  </w:pPr>
                  <w:r>
                    <w:rPr>
                      <w:u w:val="single"/>
                    </w:rPr>
                    <w:t>储油罐区、输油管道、卸油口、加油机底槽、</w:t>
                  </w:r>
                  <w:r>
                    <w:rPr>
                      <w:rFonts w:hint="eastAsia"/>
                      <w:u w:val="single"/>
                      <w:lang w:val="en-US" w:eastAsia="zh-CN"/>
                    </w:rPr>
                    <w:t>污水处理设施</w:t>
                  </w:r>
                  <w:r>
                    <w:rPr>
                      <w:rFonts w:hint="eastAsia"/>
                      <w:u w:val="single"/>
                      <w:lang w:eastAsia="zh-CN"/>
                    </w:rPr>
                    <w:t>、</w:t>
                  </w:r>
                  <w:r>
                    <w:rPr>
                      <w:u w:val="single"/>
                    </w:rPr>
                    <w:t>危废暂存间</w:t>
                  </w:r>
                  <w:r>
                    <w:rPr>
                      <w:rFonts w:hint="eastAsia"/>
                      <w:u w:val="single"/>
                      <w:lang w:eastAsia="zh-CN"/>
                    </w:rPr>
                    <w:t>、</w:t>
                  </w:r>
                  <w:r>
                    <w:rPr>
                      <w:rFonts w:hint="eastAsia"/>
                      <w:u w:val="single"/>
                      <w:lang w:val="en-US" w:eastAsia="zh-CN"/>
                    </w:rPr>
                    <w:t>洗车区</w:t>
                  </w:r>
                </w:p>
              </w:tc>
              <w:tc>
                <w:tcPr>
                  <w:tcW w:w="2943" w:type="pct"/>
                  <w:vAlign w:val="center"/>
                </w:tcPr>
                <w:p w14:paraId="28DCB097">
                  <w:pPr>
                    <w:jc w:val="center"/>
                    <w:rPr>
                      <w:u w:val="single"/>
                    </w:rPr>
                  </w:pPr>
                  <w:r>
                    <w:rPr>
                      <w:color w:val="auto"/>
                      <w:u w:val="single"/>
                      <w:lang w:val="zh-CN"/>
                    </w:rPr>
                    <w:t>储油罐采用双层钢罐，</w:t>
                  </w:r>
                  <w:r>
                    <w:rPr>
                      <w:rFonts w:hint="eastAsia"/>
                      <w:color w:val="auto"/>
                      <w:u w:val="single"/>
                      <w:lang w:val="zh-CN"/>
                    </w:rPr>
                    <w:t>油罐底板采用50cm厚的钢筋混凝土硬化，再将油罐固定于底板上，并在油罐与油罐之间填充干净的细砂</w:t>
                  </w:r>
                  <w:r>
                    <w:rPr>
                      <w:color w:val="auto"/>
                      <w:u w:val="single"/>
                      <w:lang w:val="zh-CN"/>
                    </w:rPr>
                    <w:t>；</w:t>
                  </w:r>
                  <w:r>
                    <w:rPr>
                      <w:rFonts w:hint="eastAsia"/>
                      <w:u w:val="single"/>
                      <w:lang w:val="en-US" w:eastAsia="zh-CN"/>
                    </w:rPr>
                    <w:t>污水处理设施</w:t>
                  </w:r>
                  <w:r>
                    <w:rPr>
                      <w:u w:val="single"/>
                      <w:lang w:val="zh-CN"/>
                    </w:rPr>
                    <w:t>采用水泥硬化，四周壁用砖砌再用水泥硬化防渗，全池涂环氧树脂防腐防渗。站内管道埋地部分采用外防腐层保护方式；站场内露空管道及设备采用外涂层防腐；所有管道均为无缝钢管，管线连接采用焊接。管线敷设采用管沟方式，管线安装完毕沟内用细沙填满。重点污染区各单元防渗层渗透系数≤10</w:t>
                  </w:r>
                  <w:r>
                    <w:rPr>
                      <w:u w:val="single"/>
                      <w:vertAlign w:val="superscript"/>
                      <w:lang w:val="zh-CN"/>
                    </w:rPr>
                    <w:t>-10</w:t>
                  </w:r>
                  <w:r>
                    <w:rPr>
                      <w:u w:val="single"/>
                      <w:lang w:val="zh-CN"/>
                    </w:rPr>
                    <w:t>cm/s</w:t>
                  </w:r>
                </w:p>
              </w:tc>
            </w:tr>
            <w:tr w14:paraId="3210ED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2" w:type="pct"/>
                  <w:vAlign w:val="center"/>
                </w:tcPr>
                <w:p w14:paraId="5103369D">
                  <w:pPr>
                    <w:jc w:val="center"/>
                    <w:rPr>
                      <w:u w:val="single"/>
                    </w:rPr>
                  </w:pPr>
                  <w:r>
                    <w:rPr>
                      <w:u w:val="single"/>
                    </w:rPr>
                    <w:t>2</w:t>
                  </w:r>
                </w:p>
              </w:tc>
              <w:tc>
                <w:tcPr>
                  <w:tcW w:w="553" w:type="pct"/>
                  <w:vAlign w:val="center"/>
                </w:tcPr>
                <w:p w14:paraId="47E395EA">
                  <w:pPr>
                    <w:jc w:val="center"/>
                    <w:rPr>
                      <w:u w:val="single"/>
                    </w:rPr>
                  </w:pPr>
                  <w:r>
                    <w:rPr>
                      <w:u w:val="single"/>
                    </w:rPr>
                    <w:t>一般防渗区</w:t>
                  </w:r>
                </w:p>
              </w:tc>
              <w:tc>
                <w:tcPr>
                  <w:tcW w:w="1079" w:type="pct"/>
                  <w:vAlign w:val="center"/>
                </w:tcPr>
                <w:p w14:paraId="0DF7C264">
                  <w:pPr>
                    <w:jc w:val="center"/>
                    <w:rPr>
                      <w:u w:val="single"/>
                    </w:rPr>
                  </w:pPr>
                  <w:r>
                    <w:rPr>
                      <w:u w:val="single"/>
                    </w:rPr>
                    <w:t>加油区、垃圾集中箱放置地</w:t>
                  </w:r>
                </w:p>
              </w:tc>
              <w:tc>
                <w:tcPr>
                  <w:tcW w:w="2943" w:type="pct"/>
                  <w:vAlign w:val="center"/>
                </w:tcPr>
                <w:p w14:paraId="7A79CBB8">
                  <w:pPr>
                    <w:jc w:val="center"/>
                    <w:rPr>
                      <w:u w:val="single"/>
                    </w:rPr>
                  </w:pPr>
                  <w:r>
                    <w:rPr>
                      <w:u w:val="single"/>
                    </w:rPr>
                    <w:t>采用现浇防渗钢纤维混凝土面层作为基础防渗措施，表层再铺设20mm厚防渗水泥进行地面硬化，防渗性能不应低于1.5m厚渗透系数为1.0×10</w:t>
                  </w:r>
                  <w:r>
                    <w:rPr>
                      <w:u w:val="single"/>
                      <w:vertAlign w:val="superscript"/>
                    </w:rPr>
                    <w:t>-7</w:t>
                  </w:r>
                  <w:r>
                    <w:rPr>
                      <w:u w:val="single"/>
                    </w:rPr>
                    <w:t>cm/s的粘土层的防渗性能</w:t>
                  </w:r>
                </w:p>
              </w:tc>
            </w:tr>
            <w:tr w14:paraId="464AC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2" w:type="pct"/>
                  <w:vAlign w:val="center"/>
                </w:tcPr>
                <w:p w14:paraId="788AA904">
                  <w:pPr>
                    <w:jc w:val="center"/>
                    <w:rPr>
                      <w:u w:val="single"/>
                    </w:rPr>
                  </w:pPr>
                  <w:r>
                    <w:rPr>
                      <w:u w:val="single"/>
                    </w:rPr>
                    <w:t>3</w:t>
                  </w:r>
                </w:p>
              </w:tc>
              <w:tc>
                <w:tcPr>
                  <w:tcW w:w="553" w:type="pct"/>
                  <w:vAlign w:val="center"/>
                </w:tcPr>
                <w:p w14:paraId="0F9DF8B6">
                  <w:pPr>
                    <w:jc w:val="center"/>
                    <w:rPr>
                      <w:u w:val="single"/>
                    </w:rPr>
                  </w:pPr>
                  <w:r>
                    <w:rPr>
                      <w:u w:val="single"/>
                    </w:rPr>
                    <w:t>简单防渗区</w:t>
                  </w:r>
                </w:p>
              </w:tc>
              <w:tc>
                <w:tcPr>
                  <w:tcW w:w="1079" w:type="pct"/>
                  <w:vAlign w:val="center"/>
                </w:tcPr>
                <w:p w14:paraId="3CA3512F">
                  <w:pPr>
                    <w:jc w:val="center"/>
                    <w:rPr>
                      <w:u w:val="single"/>
                    </w:rPr>
                  </w:pPr>
                  <w:r>
                    <w:rPr>
                      <w:u w:val="single"/>
                    </w:rPr>
                    <w:t>除上述建筑外的所有区域（除厂区绿化用地外）</w:t>
                  </w:r>
                </w:p>
              </w:tc>
              <w:tc>
                <w:tcPr>
                  <w:tcW w:w="2943" w:type="pct"/>
                  <w:vAlign w:val="center"/>
                </w:tcPr>
                <w:p w14:paraId="7F3BDE6E">
                  <w:pPr>
                    <w:jc w:val="center"/>
                    <w:rPr>
                      <w:u w:val="single"/>
                    </w:rPr>
                  </w:pPr>
                  <w:r>
                    <w:rPr>
                      <w:u w:val="single"/>
                    </w:rPr>
                    <w:t>采取粘土铺底，上层再铺10~15cm的水泥进行硬化</w:t>
                  </w:r>
                </w:p>
              </w:tc>
            </w:tr>
          </w:tbl>
          <w:p w14:paraId="7F21A88A">
            <w:pPr>
              <w:spacing w:line="360" w:lineRule="auto"/>
              <w:jc w:val="left"/>
              <w:rPr>
                <w:b/>
                <w:bCs/>
                <w:sz w:val="24"/>
                <w:u w:val="single"/>
              </w:rPr>
            </w:pPr>
            <w:r>
              <w:rPr>
                <w:rFonts w:hint="eastAsia" w:ascii="Times New Roman" w:hAnsi="Times New Roman" w:eastAsia="宋体" w:cs="Times New Roman"/>
                <w:b/>
                <w:bCs/>
                <w:kern w:val="2"/>
                <w:sz w:val="24"/>
                <w:szCs w:val="24"/>
                <w:u w:val="single"/>
                <w:lang w:val="en-US" w:eastAsia="zh-CN" w:bidi="ar-SA"/>
              </w:rPr>
              <w:t>4.</w:t>
            </w:r>
            <w:r>
              <w:rPr>
                <w:rFonts w:hint="eastAsia" w:cs="Times New Roman"/>
                <w:b/>
                <w:bCs/>
                <w:kern w:val="2"/>
                <w:sz w:val="24"/>
                <w:szCs w:val="24"/>
                <w:u w:val="single"/>
                <w:lang w:val="en-US" w:eastAsia="zh-CN" w:bidi="ar-SA"/>
              </w:rPr>
              <w:t xml:space="preserve">9.3 </w:t>
            </w:r>
            <w:r>
              <w:rPr>
                <w:b/>
                <w:bCs/>
                <w:sz w:val="24"/>
                <w:u w:val="single"/>
              </w:rPr>
              <w:t>地下水跟踪监测计划</w:t>
            </w:r>
          </w:p>
          <w:p w14:paraId="37BF71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sz w:val="24"/>
                <w:u w:val="single"/>
              </w:rPr>
            </w:pPr>
            <w:r>
              <w:rPr>
                <w:sz w:val="24"/>
                <w:u w:val="single"/>
              </w:rPr>
              <w:t>根据《加油站地下水污染防治技术指南》（试行）中的要求：①</w:t>
            </w:r>
            <w:r>
              <w:rPr>
                <w:sz w:val="24"/>
                <w:u w:val="single"/>
                <w:lang w:bidi="ar"/>
              </w:rPr>
              <w:t>当现场只需布设一个地下水监测井时，地下水监测井应设在埋地油罐区地下水流向的下游，在保证安全的情况下，尽可能靠近埋地油罐；②地下水监测井结构采用一孔成井工艺。</w:t>
            </w:r>
          </w:p>
          <w:p w14:paraId="7D283DA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本项目地下水跟踪监测计划如下：</w:t>
            </w:r>
          </w:p>
          <w:p w14:paraId="3D584FB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1）跟踪监测井布设</w:t>
            </w:r>
          </w:p>
          <w:p w14:paraId="2FCC31E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为了掌握本工程周围地下水环境质量状况和地下水体中污染物的动态变化，应对项目所在地周围的地下水水质进行监测，以便及时准确地反馈地下水水质状况，为防止对地下水的污染采取相应的措施提供重要依据。</w:t>
            </w:r>
          </w:p>
          <w:p w14:paraId="7C51A9F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跟踪监测点布设：地下水监测点应设在厂内储罐区地下水流向的下游，设置1个地下水监测井。</w:t>
            </w:r>
          </w:p>
          <w:p w14:paraId="796992C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sz w:val="24"/>
                <w:u w:val="single"/>
              </w:rPr>
            </w:pPr>
            <w:r>
              <w:rPr>
                <w:sz w:val="24"/>
                <w:u w:val="single"/>
              </w:rPr>
              <w:t>监测频率：</w:t>
            </w:r>
            <w:r>
              <w:rPr>
                <w:rFonts w:hint="eastAsia"/>
                <w:sz w:val="24"/>
                <w:u w:val="single"/>
                <w:lang w:bidi="ar"/>
              </w:rPr>
              <w:t>每季度监测一次</w:t>
            </w:r>
          </w:p>
          <w:p w14:paraId="3A4B177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监测项目为：石油类。</w:t>
            </w:r>
          </w:p>
          <w:p w14:paraId="11F4171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rFonts w:hint="eastAsia"/>
                <w:sz w:val="24"/>
                <w:u w:val="single"/>
              </w:rPr>
              <w:t>2）</w:t>
            </w:r>
            <w:r>
              <w:rPr>
                <w:sz w:val="24"/>
                <w:u w:val="single"/>
              </w:rPr>
              <w:t>地下水监测管理</w:t>
            </w:r>
          </w:p>
          <w:p w14:paraId="132EF42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为保证地下水监测有效、有序管理，须制定相关规定、明确职责，采取以下管理措施和技术措施。</w:t>
            </w:r>
          </w:p>
          <w:p w14:paraId="09DBE1C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防止地下水污染管理的职责属于环境保护管理部门的职责之一。项目区环境保护管理部门指派专人负责防止地下水污染管理工作。</w:t>
            </w:r>
          </w:p>
          <w:p w14:paraId="5ED0B1D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sz w:val="24"/>
                <w:u w:val="single"/>
              </w:rPr>
              <w:t>项目区环境保护管理部门应委托具有监测资质的单位负责地下水监测工作,按要求及时分析整理原始资料、监测报告的编写工作。</w:t>
            </w:r>
          </w:p>
          <w:p w14:paraId="049DCA1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rFonts w:hint="eastAsia"/>
                <w:sz w:val="24"/>
                <w:u w:val="single"/>
              </w:rPr>
              <w:t>3）地下水监测计划</w:t>
            </w:r>
          </w:p>
          <w:p w14:paraId="5395F01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u w:val="single"/>
              </w:rPr>
            </w:pPr>
            <w:r>
              <w:rPr>
                <w:rFonts w:hint="eastAsia"/>
                <w:sz w:val="24"/>
                <w:u w:val="single"/>
              </w:rPr>
              <w:t>根据工程排污特征，建议地下水监测工作安排如下表4-</w:t>
            </w:r>
            <w:r>
              <w:rPr>
                <w:rFonts w:hint="eastAsia"/>
                <w:sz w:val="24"/>
                <w:u w:val="single"/>
                <w:lang w:val="en-US" w:eastAsia="zh-CN"/>
              </w:rPr>
              <w:t>20</w:t>
            </w:r>
            <w:r>
              <w:rPr>
                <w:rFonts w:hint="eastAsia"/>
                <w:sz w:val="24"/>
                <w:u w:val="single"/>
              </w:rPr>
              <w:t>所示。</w:t>
            </w:r>
          </w:p>
          <w:p w14:paraId="78388E45">
            <w:pPr>
              <w:jc w:val="center"/>
              <w:rPr>
                <w:b/>
                <w:bCs/>
                <w:sz w:val="24"/>
                <w:szCs w:val="24"/>
                <w:u w:val="single"/>
              </w:rPr>
            </w:pPr>
            <w:r>
              <w:rPr>
                <w:rFonts w:hint="eastAsia"/>
                <w:b/>
                <w:bCs/>
                <w:sz w:val="24"/>
                <w:szCs w:val="24"/>
                <w:u w:val="single"/>
              </w:rPr>
              <w:t>表4-</w:t>
            </w:r>
            <w:r>
              <w:rPr>
                <w:rFonts w:hint="eastAsia"/>
                <w:b/>
                <w:bCs/>
                <w:sz w:val="24"/>
                <w:szCs w:val="24"/>
                <w:u w:val="single"/>
                <w:lang w:val="en-US" w:eastAsia="zh-CN"/>
              </w:rPr>
              <w:t>21</w:t>
            </w:r>
            <w:r>
              <w:rPr>
                <w:rFonts w:hint="eastAsia"/>
                <w:b/>
                <w:bCs/>
                <w:sz w:val="24"/>
                <w:szCs w:val="24"/>
                <w:u w:val="single"/>
              </w:rPr>
              <w:t xml:space="preserve"> 地下水监测计划</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63"/>
              <w:gridCol w:w="1300"/>
              <w:gridCol w:w="6052"/>
            </w:tblGrid>
            <w:tr w14:paraId="4D04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gridSpan w:val="2"/>
                  <w:tcBorders>
                    <w:tl2br w:val="nil"/>
                    <w:tr2bl w:val="nil"/>
                  </w:tcBorders>
                  <w:vAlign w:val="center"/>
                </w:tcPr>
                <w:p w14:paraId="66E1E20F">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b/>
                      <w:bCs/>
                      <w:u w:val="single"/>
                    </w:rPr>
                  </w:pPr>
                  <w:r>
                    <w:rPr>
                      <w:rFonts w:hint="eastAsia"/>
                      <w:b/>
                      <w:bCs/>
                      <w:u w:val="single"/>
                    </w:rPr>
                    <w:t>类型</w:t>
                  </w:r>
                </w:p>
              </w:tc>
              <w:tc>
                <w:tcPr>
                  <w:tcW w:w="765" w:type="pct"/>
                  <w:tcBorders>
                    <w:tl2br w:val="nil"/>
                    <w:tr2bl w:val="nil"/>
                  </w:tcBorders>
                  <w:vAlign w:val="center"/>
                </w:tcPr>
                <w:p w14:paraId="553CCD64">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b/>
                      <w:bCs/>
                      <w:u w:val="single"/>
                    </w:rPr>
                  </w:pPr>
                  <w:r>
                    <w:rPr>
                      <w:rFonts w:hint="eastAsia"/>
                      <w:b/>
                      <w:bCs/>
                      <w:u w:val="single"/>
                    </w:rPr>
                    <w:t>监测点位</w:t>
                  </w:r>
                </w:p>
              </w:tc>
              <w:tc>
                <w:tcPr>
                  <w:tcW w:w="3561" w:type="pct"/>
                  <w:tcBorders>
                    <w:tl2br w:val="nil"/>
                    <w:tr2bl w:val="nil"/>
                  </w:tcBorders>
                  <w:vAlign w:val="center"/>
                </w:tcPr>
                <w:p w14:paraId="18EBC6F5">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b/>
                      <w:bCs/>
                      <w:u w:val="single"/>
                    </w:rPr>
                  </w:pPr>
                  <w:r>
                    <w:rPr>
                      <w:rFonts w:hint="eastAsia"/>
                      <w:b/>
                      <w:bCs/>
                      <w:u w:val="single"/>
                    </w:rPr>
                    <w:t>监测项目及监测频次</w:t>
                  </w:r>
                </w:p>
              </w:tc>
            </w:tr>
            <w:tr w14:paraId="6495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42" w:type="pct"/>
                  <w:tcBorders>
                    <w:tl2br w:val="nil"/>
                    <w:tr2bl w:val="nil"/>
                  </w:tcBorders>
                  <w:vAlign w:val="center"/>
                </w:tcPr>
                <w:p w14:paraId="45C6E2D5">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u w:val="single"/>
                    </w:rPr>
                  </w:pPr>
                  <w:r>
                    <w:rPr>
                      <w:rFonts w:hint="eastAsia"/>
                      <w:u w:val="single"/>
                    </w:rPr>
                    <w:t>污染源监测</w:t>
                  </w:r>
                </w:p>
              </w:tc>
              <w:tc>
                <w:tcPr>
                  <w:tcW w:w="330" w:type="pct"/>
                  <w:tcBorders>
                    <w:tl2br w:val="nil"/>
                    <w:tr2bl w:val="nil"/>
                  </w:tcBorders>
                  <w:vAlign w:val="center"/>
                </w:tcPr>
                <w:p w14:paraId="70B29F2A">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u w:val="single"/>
                    </w:rPr>
                  </w:pPr>
                  <w:r>
                    <w:rPr>
                      <w:rFonts w:hint="eastAsia"/>
                      <w:u w:val="single"/>
                    </w:rPr>
                    <w:t>地下水监测</w:t>
                  </w:r>
                </w:p>
              </w:tc>
              <w:tc>
                <w:tcPr>
                  <w:tcW w:w="765" w:type="pct"/>
                  <w:tcBorders>
                    <w:tl2br w:val="nil"/>
                    <w:tr2bl w:val="nil"/>
                  </w:tcBorders>
                  <w:vAlign w:val="center"/>
                </w:tcPr>
                <w:p w14:paraId="2DB62839">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center"/>
                    <w:textAlignment w:val="auto"/>
                    <w:rPr>
                      <w:u w:val="single"/>
                    </w:rPr>
                  </w:pPr>
                  <w:r>
                    <w:rPr>
                      <w:rFonts w:hint="eastAsia"/>
                      <w:u w:val="single"/>
                    </w:rPr>
                    <w:t>站内监测井</w:t>
                  </w:r>
                </w:p>
              </w:tc>
              <w:tc>
                <w:tcPr>
                  <w:tcW w:w="3561" w:type="pct"/>
                  <w:tcBorders>
                    <w:tl2br w:val="nil"/>
                    <w:tr2bl w:val="nil"/>
                  </w:tcBorders>
                  <w:vAlign w:val="center"/>
                </w:tcPr>
                <w:p w14:paraId="3F074DAD">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both"/>
                    <w:textAlignment w:val="auto"/>
                    <w:rPr>
                      <w:rFonts w:hint="eastAsia"/>
                      <w:color w:val="auto"/>
                      <w:u w:val="single"/>
                    </w:rPr>
                  </w:pPr>
                  <w:r>
                    <w:rPr>
                      <w:rFonts w:hint="eastAsia"/>
                      <w:color w:val="auto"/>
                      <w:u w:val="single"/>
                    </w:rPr>
                    <w:t>①定性监测：可通过肉眼观察、使用测油膏、便携式气体监测仪等其他快速方法判定地下水监测井中是否存在油品污染，定性监测每周一次。</w:t>
                  </w:r>
                </w:p>
                <w:p w14:paraId="49AF411C">
                  <w:pPr>
                    <w:pStyle w:val="115"/>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jc w:val="both"/>
                    <w:textAlignment w:val="auto"/>
                    <w:rPr>
                      <w:u w:val="single"/>
                    </w:rPr>
                  </w:pPr>
                  <w:r>
                    <w:rPr>
                      <w:rFonts w:hint="eastAsia"/>
                      <w:color w:val="auto"/>
                      <w:u w:val="single"/>
                    </w:rPr>
                    <w:t>②定量监测：若定性监测发现地下水存在油品污染，立即启动定量监测；若定性监测未发现问题，则每季度监测一次，监测指标为石油类</w:t>
                  </w:r>
                </w:p>
              </w:tc>
            </w:tr>
          </w:tbl>
          <w:p w14:paraId="00637BE2">
            <w:pPr>
              <w:keepNext w:val="0"/>
              <w:keepLines w:val="0"/>
              <w:pageBreakBefore w:val="0"/>
              <w:widowControl w:val="0"/>
              <w:kinsoku/>
              <w:wordWrap w:val="0"/>
              <w:overflowPunct/>
              <w:topLinePunct/>
              <w:autoSpaceDE/>
              <w:autoSpaceDN/>
              <w:bidi w:val="0"/>
              <w:adjustRightInd w:val="0"/>
              <w:snapToGrid w:val="0"/>
              <w:spacing w:line="360" w:lineRule="auto"/>
              <w:textAlignment w:val="auto"/>
              <w:rPr>
                <w:b/>
                <w:bCs/>
                <w:kern w:val="0"/>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9</w:t>
            </w:r>
            <w:r>
              <w:rPr>
                <w:rFonts w:hint="eastAsia" w:ascii="Times New Roman" w:hAnsi="Times New Roman" w:eastAsia="宋体" w:cs="Times New Roman"/>
                <w:b/>
                <w:bCs/>
                <w:kern w:val="2"/>
                <w:sz w:val="24"/>
                <w:szCs w:val="24"/>
                <w:lang w:val="en-US" w:eastAsia="zh-CN" w:bidi="ar-SA"/>
              </w:rPr>
              <w:t xml:space="preserve"> </w:t>
            </w:r>
            <w:r>
              <w:rPr>
                <w:b/>
                <w:bCs/>
                <w:sz w:val="24"/>
              </w:rPr>
              <w:t>土壤</w:t>
            </w:r>
          </w:p>
          <w:p w14:paraId="7E9B855A">
            <w:pPr>
              <w:keepNext w:val="0"/>
              <w:keepLines w:val="0"/>
              <w:pageBreakBefore w:val="0"/>
              <w:widowControl w:val="0"/>
              <w:kinsoku/>
              <w:wordWrap w:val="0"/>
              <w:overflowPunct/>
              <w:topLinePunct/>
              <w:autoSpaceDE/>
              <w:autoSpaceDN/>
              <w:bidi w:val="0"/>
              <w:adjustRightInd w:val="0"/>
              <w:snapToGrid w:val="0"/>
              <w:spacing w:line="360" w:lineRule="auto"/>
              <w:textAlignment w:val="auto"/>
              <w:rPr>
                <w:b/>
                <w:bCs/>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9.1</w:t>
            </w:r>
            <w:r>
              <w:rPr>
                <w:rFonts w:hint="eastAsia" w:ascii="Times New Roman" w:hAnsi="Times New Roman" w:eastAsia="宋体" w:cs="Times New Roman"/>
                <w:b/>
                <w:bCs/>
                <w:kern w:val="2"/>
                <w:sz w:val="24"/>
                <w:szCs w:val="24"/>
                <w:lang w:val="en-US" w:eastAsia="zh-CN" w:bidi="ar-SA"/>
              </w:rPr>
              <w:t xml:space="preserve"> </w:t>
            </w:r>
            <w:r>
              <w:rPr>
                <w:b/>
                <w:bCs/>
                <w:sz w:val="24"/>
              </w:rPr>
              <w:t>土壤环境影响源及影响因子识别</w:t>
            </w:r>
          </w:p>
          <w:p w14:paraId="2C9A5EA4">
            <w:pPr>
              <w:wordWrap w:val="0"/>
              <w:topLinePunct/>
              <w:adjustRightInd w:val="0"/>
              <w:snapToGrid w:val="0"/>
              <w:spacing w:line="360" w:lineRule="auto"/>
              <w:ind w:firstLine="480" w:firstLineChars="200"/>
              <w:rPr>
                <w:b/>
                <w:bCs/>
                <w:kern w:val="0"/>
                <w:sz w:val="24"/>
              </w:rPr>
            </w:pPr>
            <w:r>
              <w:rPr>
                <w:sz w:val="24"/>
              </w:rPr>
              <w:t>本项目土壤影响源主要为汽油柴油储罐区、加油卸油区、污水处理设施等。</w:t>
            </w:r>
          </w:p>
          <w:p w14:paraId="39975209">
            <w:pPr>
              <w:jc w:val="center"/>
              <w:rPr>
                <w:b/>
                <w:bCs/>
                <w:sz w:val="24"/>
                <w:szCs w:val="24"/>
              </w:rPr>
            </w:pPr>
            <w:r>
              <w:rPr>
                <w:b/>
                <w:bCs/>
                <w:sz w:val="24"/>
                <w:szCs w:val="24"/>
              </w:rPr>
              <w:t>表4-</w:t>
            </w:r>
            <w:r>
              <w:rPr>
                <w:rFonts w:hint="eastAsia"/>
                <w:b/>
                <w:bCs/>
                <w:sz w:val="24"/>
                <w:szCs w:val="24"/>
                <w:lang w:val="en-US" w:eastAsia="zh-CN"/>
              </w:rPr>
              <w:t>22</w:t>
            </w:r>
            <w:r>
              <w:rPr>
                <w:b/>
                <w:bCs/>
                <w:sz w:val="24"/>
                <w:szCs w:val="24"/>
              </w:rPr>
              <w:t xml:space="preserve"> 土壤环境影响源及影响因子识别表</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79"/>
              <w:gridCol w:w="1288"/>
              <w:gridCol w:w="1174"/>
              <w:gridCol w:w="2826"/>
              <w:gridCol w:w="1237"/>
              <w:gridCol w:w="888"/>
            </w:tblGrid>
            <w:tr w14:paraId="706A45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vAlign w:val="center"/>
                </w:tcPr>
                <w:p w14:paraId="57F4A873">
                  <w:pPr>
                    <w:pStyle w:val="18"/>
                    <w:spacing w:after="0"/>
                    <w:ind w:left="0" w:leftChars="0"/>
                    <w:jc w:val="center"/>
                    <w:rPr>
                      <w:b/>
                      <w:bCs/>
                      <w:sz w:val="21"/>
                    </w:rPr>
                  </w:pPr>
                  <w:r>
                    <w:rPr>
                      <w:b/>
                      <w:bCs/>
                      <w:sz w:val="21"/>
                    </w:rPr>
                    <w:t>污染源</w:t>
                  </w:r>
                </w:p>
              </w:tc>
              <w:tc>
                <w:tcPr>
                  <w:tcW w:w="758" w:type="pct"/>
                  <w:vAlign w:val="center"/>
                </w:tcPr>
                <w:p w14:paraId="659A4707">
                  <w:pPr>
                    <w:pStyle w:val="18"/>
                    <w:spacing w:after="0"/>
                    <w:ind w:left="0" w:leftChars="0"/>
                    <w:jc w:val="center"/>
                    <w:rPr>
                      <w:b/>
                      <w:bCs/>
                      <w:sz w:val="21"/>
                    </w:rPr>
                  </w:pPr>
                  <w:r>
                    <w:rPr>
                      <w:b/>
                      <w:bCs/>
                      <w:sz w:val="21"/>
                    </w:rPr>
                    <w:t>工艺流程/节点</w:t>
                  </w:r>
                </w:p>
              </w:tc>
              <w:tc>
                <w:tcPr>
                  <w:tcW w:w="691" w:type="pct"/>
                  <w:vAlign w:val="center"/>
                </w:tcPr>
                <w:p w14:paraId="0D9686CF">
                  <w:pPr>
                    <w:pStyle w:val="18"/>
                    <w:spacing w:after="0"/>
                    <w:ind w:left="0" w:leftChars="0"/>
                    <w:jc w:val="center"/>
                    <w:rPr>
                      <w:b/>
                      <w:bCs/>
                      <w:sz w:val="21"/>
                    </w:rPr>
                  </w:pPr>
                  <w:r>
                    <w:rPr>
                      <w:b/>
                      <w:bCs/>
                      <w:sz w:val="21"/>
                    </w:rPr>
                    <w:t>污染途径</w:t>
                  </w:r>
                </w:p>
              </w:tc>
              <w:tc>
                <w:tcPr>
                  <w:tcW w:w="1663" w:type="pct"/>
                  <w:vAlign w:val="center"/>
                </w:tcPr>
                <w:p w14:paraId="65335494">
                  <w:pPr>
                    <w:pStyle w:val="18"/>
                    <w:spacing w:after="0"/>
                    <w:ind w:left="0" w:leftChars="0"/>
                    <w:jc w:val="center"/>
                    <w:rPr>
                      <w:b/>
                      <w:bCs/>
                      <w:sz w:val="21"/>
                    </w:rPr>
                  </w:pPr>
                  <w:r>
                    <w:rPr>
                      <w:b/>
                      <w:bCs/>
                      <w:sz w:val="21"/>
                    </w:rPr>
                    <w:t>全部污染物指标</w:t>
                  </w:r>
                </w:p>
              </w:tc>
              <w:tc>
                <w:tcPr>
                  <w:tcW w:w="728" w:type="pct"/>
                  <w:vAlign w:val="center"/>
                </w:tcPr>
                <w:p w14:paraId="0C9ADD90">
                  <w:pPr>
                    <w:pStyle w:val="18"/>
                    <w:spacing w:after="0"/>
                    <w:ind w:left="0" w:leftChars="0"/>
                    <w:jc w:val="center"/>
                    <w:rPr>
                      <w:b/>
                      <w:bCs/>
                      <w:sz w:val="21"/>
                    </w:rPr>
                  </w:pPr>
                  <w:r>
                    <w:rPr>
                      <w:b/>
                      <w:bCs/>
                      <w:sz w:val="21"/>
                    </w:rPr>
                    <w:t>特征因子</w:t>
                  </w:r>
                </w:p>
              </w:tc>
              <w:tc>
                <w:tcPr>
                  <w:tcW w:w="522" w:type="pct"/>
                  <w:vAlign w:val="center"/>
                </w:tcPr>
                <w:p w14:paraId="0FCAB8D0">
                  <w:pPr>
                    <w:pStyle w:val="18"/>
                    <w:spacing w:after="0"/>
                    <w:ind w:left="0" w:leftChars="0"/>
                    <w:jc w:val="center"/>
                    <w:rPr>
                      <w:b/>
                      <w:bCs/>
                      <w:sz w:val="21"/>
                    </w:rPr>
                  </w:pPr>
                  <w:r>
                    <w:rPr>
                      <w:b/>
                      <w:bCs/>
                      <w:sz w:val="21"/>
                    </w:rPr>
                    <w:t>备注</w:t>
                  </w:r>
                </w:p>
              </w:tc>
            </w:tr>
            <w:tr w14:paraId="440336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vAlign w:val="center"/>
                </w:tcPr>
                <w:p w14:paraId="78218B96">
                  <w:pPr>
                    <w:pStyle w:val="18"/>
                    <w:spacing w:after="0"/>
                    <w:ind w:left="0" w:leftChars="0"/>
                    <w:jc w:val="center"/>
                    <w:rPr>
                      <w:sz w:val="21"/>
                    </w:rPr>
                  </w:pPr>
                  <w:r>
                    <w:rPr>
                      <w:sz w:val="21"/>
                    </w:rPr>
                    <w:t>污水处理设施</w:t>
                  </w:r>
                </w:p>
              </w:tc>
              <w:tc>
                <w:tcPr>
                  <w:tcW w:w="758" w:type="pct"/>
                  <w:vAlign w:val="center"/>
                </w:tcPr>
                <w:p w14:paraId="006AD495">
                  <w:pPr>
                    <w:pStyle w:val="18"/>
                    <w:spacing w:after="0"/>
                    <w:ind w:left="0" w:leftChars="0"/>
                    <w:jc w:val="center"/>
                    <w:rPr>
                      <w:sz w:val="21"/>
                    </w:rPr>
                  </w:pPr>
                  <w:r>
                    <w:rPr>
                      <w:sz w:val="21"/>
                    </w:rPr>
                    <w:t>废水处理</w:t>
                  </w:r>
                </w:p>
              </w:tc>
              <w:tc>
                <w:tcPr>
                  <w:tcW w:w="691" w:type="pct"/>
                  <w:vAlign w:val="center"/>
                </w:tcPr>
                <w:p w14:paraId="6332E07C">
                  <w:pPr>
                    <w:pStyle w:val="18"/>
                    <w:spacing w:after="0"/>
                    <w:ind w:left="0" w:leftChars="0"/>
                    <w:jc w:val="center"/>
                    <w:rPr>
                      <w:sz w:val="21"/>
                    </w:rPr>
                  </w:pPr>
                  <w:r>
                    <w:rPr>
                      <w:sz w:val="21"/>
                    </w:rPr>
                    <w:t>垂直入渗、地表漫流</w:t>
                  </w:r>
                </w:p>
              </w:tc>
              <w:tc>
                <w:tcPr>
                  <w:tcW w:w="1663" w:type="pct"/>
                  <w:vAlign w:val="center"/>
                </w:tcPr>
                <w:p w14:paraId="14437261">
                  <w:pPr>
                    <w:pStyle w:val="18"/>
                    <w:spacing w:after="0"/>
                    <w:ind w:left="0" w:leftChars="0"/>
                    <w:jc w:val="center"/>
                    <w:rPr>
                      <w:sz w:val="21"/>
                    </w:rPr>
                  </w:pPr>
                  <w:r>
                    <w:rPr>
                      <w:sz w:val="21"/>
                    </w:rPr>
                    <w:t>COD、BOD</w:t>
                  </w:r>
                  <w:r>
                    <w:rPr>
                      <w:sz w:val="21"/>
                      <w:vertAlign w:val="subscript"/>
                    </w:rPr>
                    <w:t>5</w:t>
                  </w:r>
                  <w:r>
                    <w:rPr>
                      <w:sz w:val="21"/>
                    </w:rPr>
                    <w:t>、NH</w:t>
                  </w:r>
                  <w:r>
                    <w:rPr>
                      <w:sz w:val="21"/>
                      <w:vertAlign w:val="subscript"/>
                    </w:rPr>
                    <w:t>3</w:t>
                  </w:r>
                  <w:r>
                    <w:rPr>
                      <w:sz w:val="21"/>
                    </w:rPr>
                    <w:t>-N、SS、动植物油、石油类、LAS</w:t>
                  </w:r>
                </w:p>
              </w:tc>
              <w:tc>
                <w:tcPr>
                  <w:tcW w:w="728" w:type="pct"/>
                  <w:vAlign w:val="center"/>
                </w:tcPr>
                <w:p w14:paraId="1E9AEEEF">
                  <w:pPr>
                    <w:pStyle w:val="18"/>
                    <w:spacing w:after="0"/>
                    <w:ind w:left="0" w:leftChars="0"/>
                    <w:jc w:val="center"/>
                    <w:rPr>
                      <w:sz w:val="21"/>
                    </w:rPr>
                  </w:pPr>
                  <w:r>
                    <w:rPr>
                      <w:sz w:val="21"/>
                    </w:rPr>
                    <w:t>石油烃</w:t>
                  </w:r>
                </w:p>
              </w:tc>
              <w:tc>
                <w:tcPr>
                  <w:tcW w:w="522" w:type="pct"/>
                  <w:vAlign w:val="center"/>
                </w:tcPr>
                <w:p w14:paraId="677DDA59">
                  <w:pPr>
                    <w:pStyle w:val="18"/>
                    <w:spacing w:after="0"/>
                    <w:ind w:left="0" w:leftChars="0"/>
                    <w:jc w:val="center"/>
                    <w:rPr>
                      <w:sz w:val="21"/>
                    </w:rPr>
                  </w:pPr>
                  <w:r>
                    <w:rPr>
                      <w:sz w:val="21"/>
                    </w:rPr>
                    <w:t>事故</w:t>
                  </w:r>
                </w:p>
              </w:tc>
            </w:tr>
            <w:tr w14:paraId="626149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vAlign w:val="center"/>
                </w:tcPr>
                <w:p w14:paraId="1F4B1A76">
                  <w:pPr>
                    <w:pStyle w:val="18"/>
                    <w:spacing w:after="0"/>
                    <w:ind w:left="0" w:leftChars="0"/>
                    <w:jc w:val="center"/>
                    <w:rPr>
                      <w:sz w:val="21"/>
                    </w:rPr>
                  </w:pPr>
                  <w:r>
                    <w:rPr>
                      <w:sz w:val="21"/>
                    </w:rPr>
                    <w:t>汽油、柴油储油罐</w:t>
                  </w:r>
                </w:p>
              </w:tc>
              <w:tc>
                <w:tcPr>
                  <w:tcW w:w="758" w:type="pct"/>
                  <w:vAlign w:val="center"/>
                </w:tcPr>
                <w:p w14:paraId="732E9DBD">
                  <w:pPr>
                    <w:pStyle w:val="18"/>
                    <w:spacing w:after="0"/>
                    <w:ind w:left="0" w:leftChars="0"/>
                    <w:jc w:val="center"/>
                    <w:rPr>
                      <w:sz w:val="21"/>
                    </w:rPr>
                  </w:pPr>
                  <w:r>
                    <w:rPr>
                      <w:sz w:val="21"/>
                    </w:rPr>
                    <w:t>储油</w:t>
                  </w:r>
                </w:p>
              </w:tc>
              <w:tc>
                <w:tcPr>
                  <w:tcW w:w="691" w:type="pct"/>
                  <w:vAlign w:val="center"/>
                </w:tcPr>
                <w:p w14:paraId="0A7AFFC6">
                  <w:pPr>
                    <w:pStyle w:val="18"/>
                    <w:spacing w:after="0"/>
                    <w:ind w:left="0" w:leftChars="0"/>
                    <w:jc w:val="center"/>
                    <w:rPr>
                      <w:sz w:val="21"/>
                    </w:rPr>
                  </w:pPr>
                  <w:r>
                    <w:rPr>
                      <w:sz w:val="21"/>
                    </w:rPr>
                    <w:t>垂直入渗</w:t>
                  </w:r>
                </w:p>
              </w:tc>
              <w:tc>
                <w:tcPr>
                  <w:tcW w:w="1663" w:type="pct"/>
                  <w:vAlign w:val="center"/>
                </w:tcPr>
                <w:p w14:paraId="6B8C2E11">
                  <w:pPr>
                    <w:pStyle w:val="18"/>
                    <w:spacing w:after="0"/>
                    <w:ind w:left="0" w:leftChars="0"/>
                    <w:jc w:val="center"/>
                    <w:rPr>
                      <w:sz w:val="21"/>
                    </w:rPr>
                  </w:pPr>
                  <w:r>
                    <w:rPr>
                      <w:sz w:val="21"/>
                    </w:rPr>
                    <w:t>C4~C12烃类</w:t>
                  </w:r>
                </w:p>
              </w:tc>
              <w:tc>
                <w:tcPr>
                  <w:tcW w:w="728" w:type="pct"/>
                  <w:vAlign w:val="center"/>
                </w:tcPr>
                <w:p w14:paraId="18C1B4C1">
                  <w:pPr>
                    <w:pStyle w:val="18"/>
                    <w:spacing w:after="0"/>
                    <w:ind w:left="0" w:leftChars="0"/>
                    <w:jc w:val="center"/>
                    <w:rPr>
                      <w:sz w:val="21"/>
                    </w:rPr>
                  </w:pPr>
                  <w:r>
                    <w:rPr>
                      <w:sz w:val="21"/>
                    </w:rPr>
                    <w:t>石油烃</w:t>
                  </w:r>
                </w:p>
              </w:tc>
              <w:tc>
                <w:tcPr>
                  <w:tcW w:w="522" w:type="pct"/>
                  <w:vAlign w:val="center"/>
                </w:tcPr>
                <w:p w14:paraId="5A583CE8">
                  <w:pPr>
                    <w:pStyle w:val="18"/>
                    <w:spacing w:after="0"/>
                    <w:ind w:left="0" w:leftChars="0"/>
                    <w:jc w:val="center"/>
                    <w:rPr>
                      <w:sz w:val="21"/>
                    </w:rPr>
                  </w:pPr>
                  <w:r>
                    <w:t>事故</w:t>
                  </w:r>
                </w:p>
              </w:tc>
            </w:tr>
            <w:tr w14:paraId="619618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vAlign w:val="center"/>
                </w:tcPr>
                <w:p w14:paraId="4BE18143">
                  <w:pPr>
                    <w:pStyle w:val="18"/>
                    <w:spacing w:after="0"/>
                    <w:ind w:left="0" w:leftChars="0"/>
                    <w:jc w:val="center"/>
                    <w:rPr>
                      <w:sz w:val="21"/>
                    </w:rPr>
                  </w:pPr>
                  <w:r>
                    <w:rPr>
                      <w:sz w:val="21"/>
                    </w:rPr>
                    <w:t>加油站</w:t>
                  </w:r>
                </w:p>
              </w:tc>
              <w:tc>
                <w:tcPr>
                  <w:tcW w:w="758" w:type="pct"/>
                  <w:vAlign w:val="center"/>
                </w:tcPr>
                <w:p w14:paraId="6DD65F46">
                  <w:pPr>
                    <w:pStyle w:val="18"/>
                    <w:spacing w:after="0"/>
                    <w:ind w:left="0" w:leftChars="0"/>
                    <w:jc w:val="center"/>
                    <w:rPr>
                      <w:sz w:val="21"/>
                    </w:rPr>
                  </w:pPr>
                  <w:r>
                    <w:rPr>
                      <w:sz w:val="21"/>
                    </w:rPr>
                    <w:t>卸油、加油</w:t>
                  </w:r>
                </w:p>
              </w:tc>
              <w:tc>
                <w:tcPr>
                  <w:tcW w:w="691" w:type="pct"/>
                  <w:vAlign w:val="center"/>
                </w:tcPr>
                <w:p w14:paraId="014FD952">
                  <w:pPr>
                    <w:pStyle w:val="18"/>
                    <w:spacing w:after="0"/>
                    <w:ind w:left="0" w:leftChars="0"/>
                    <w:jc w:val="center"/>
                    <w:rPr>
                      <w:sz w:val="21"/>
                    </w:rPr>
                  </w:pPr>
                  <w:r>
                    <w:rPr>
                      <w:sz w:val="21"/>
                    </w:rPr>
                    <w:t>大气</w:t>
                  </w:r>
                </w:p>
                <w:p w14:paraId="784528DA">
                  <w:pPr>
                    <w:pStyle w:val="18"/>
                    <w:spacing w:after="0"/>
                    <w:ind w:left="0" w:leftChars="0"/>
                    <w:jc w:val="center"/>
                    <w:rPr>
                      <w:sz w:val="21"/>
                    </w:rPr>
                  </w:pPr>
                  <w:r>
                    <w:rPr>
                      <w:sz w:val="21"/>
                    </w:rPr>
                    <w:t>沉降</w:t>
                  </w:r>
                </w:p>
              </w:tc>
              <w:tc>
                <w:tcPr>
                  <w:tcW w:w="1663" w:type="pct"/>
                  <w:vAlign w:val="center"/>
                </w:tcPr>
                <w:p w14:paraId="05F6F3A0">
                  <w:pPr>
                    <w:pStyle w:val="18"/>
                    <w:spacing w:after="0"/>
                    <w:ind w:left="0" w:leftChars="0"/>
                    <w:jc w:val="center"/>
                    <w:rPr>
                      <w:sz w:val="21"/>
                    </w:rPr>
                  </w:pPr>
                  <w:r>
                    <w:rPr>
                      <w:sz w:val="21"/>
                    </w:rPr>
                    <w:t>非甲烷总烃</w:t>
                  </w:r>
                </w:p>
              </w:tc>
              <w:tc>
                <w:tcPr>
                  <w:tcW w:w="728" w:type="pct"/>
                  <w:vAlign w:val="center"/>
                </w:tcPr>
                <w:p w14:paraId="004E7F9C">
                  <w:pPr>
                    <w:jc w:val="center"/>
                  </w:pPr>
                  <w:r>
                    <w:t>/</w:t>
                  </w:r>
                </w:p>
              </w:tc>
              <w:tc>
                <w:tcPr>
                  <w:tcW w:w="522" w:type="pct"/>
                  <w:vAlign w:val="center"/>
                </w:tcPr>
                <w:p w14:paraId="20636ACC">
                  <w:pPr>
                    <w:jc w:val="center"/>
                  </w:pPr>
                  <w:r>
                    <w:t>/</w:t>
                  </w:r>
                </w:p>
              </w:tc>
            </w:tr>
          </w:tbl>
          <w:p w14:paraId="77A82DFD">
            <w:pPr>
              <w:spacing w:line="360" w:lineRule="auto"/>
              <w:ind w:firstLine="480" w:firstLineChars="200"/>
              <w:jc w:val="left"/>
              <w:rPr>
                <w:sz w:val="24"/>
              </w:rPr>
            </w:pPr>
            <w:r>
              <w:rPr>
                <w:sz w:val="24"/>
              </w:rPr>
              <w:t>根据上表，本项目产生的污染因子为COD</w:t>
            </w:r>
            <w:r>
              <w:rPr>
                <w:sz w:val="24"/>
                <w:vertAlign w:val="subscript"/>
              </w:rPr>
              <w:t>Cr</w:t>
            </w:r>
            <w:r>
              <w:rPr>
                <w:sz w:val="24"/>
              </w:rPr>
              <w:t>、BOD</w:t>
            </w:r>
            <w:r>
              <w:rPr>
                <w:sz w:val="24"/>
                <w:vertAlign w:val="subscript"/>
              </w:rPr>
              <w:t>5</w:t>
            </w:r>
            <w:r>
              <w:rPr>
                <w:sz w:val="24"/>
              </w:rPr>
              <w:t>、NH</w:t>
            </w:r>
            <w:r>
              <w:rPr>
                <w:sz w:val="24"/>
                <w:vertAlign w:val="subscript"/>
              </w:rPr>
              <w:t>3</w:t>
            </w:r>
            <w:r>
              <w:rPr>
                <w:sz w:val="24"/>
              </w:rPr>
              <w:t>-N、SS、石油类、LAS、动植物油、非甲烷总烃（不是重金属及难降解有机物），特征污染物为石油烃，识别本项目土壤环境影响类型属于污染影响型，污染类型为垂直入渗、地面漫流、大气沉降。</w:t>
            </w:r>
          </w:p>
          <w:p w14:paraId="308BD6E0">
            <w:pPr>
              <w:spacing w:line="360" w:lineRule="auto"/>
              <w:ind w:firstLine="480" w:firstLineChars="200"/>
              <w:jc w:val="left"/>
              <w:rPr>
                <w:sz w:val="24"/>
              </w:rPr>
            </w:pPr>
            <w:r>
              <w:rPr>
                <w:sz w:val="24"/>
              </w:rPr>
              <w:t>垂直入渗型：正常状况下，生产废水经隔油沉淀池预处理后，进入</w:t>
            </w:r>
            <w:r>
              <w:rPr>
                <w:rFonts w:hint="eastAsia"/>
                <w:sz w:val="24"/>
                <w:lang w:eastAsia="zh-CN"/>
              </w:rPr>
              <w:t>祁阳市城北污水处理厂</w:t>
            </w:r>
            <w:r>
              <w:rPr>
                <w:sz w:val="24"/>
              </w:rPr>
              <w:t>；汽油柴油储罐采用双层埋地油罐，加油卸油采用双层输油管道，在非正常状况下，汽/柴油储罐破损泄露、油品输送管道破裂、处理池内污水</w:t>
            </w:r>
            <w:r>
              <w:rPr>
                <w:sz w:val="24"/>
                <w:lang w:val="zh-CN"/>
              </w:rPr>
              <w:t>渗漏</w:t>
            </w:r>
            <w:r>
              <w:rPr>
                <w:sz w:val="24"/>
              </w:rPr>
              <w:t>可能对土壤环境造成影响。</w:t>
            </w:r>
          </w:p>
          <w:p w14:paraId="56330BFC">
            <w:pPr>
              <w:spacing w:line="360" w:lineRule="auto"/>
              <w:ind w:firstLine="480" w:firstLineChars="200"/>
              <w:jc w:val="left"/>
              <w:rPr>
                <w:sz w:val="24"/>
              </w:rPr>
            </w:pPr>
            <w:r>
              <w:rPr>
                <w:sz w:val="24"/>
              </w:rPr>
              <w:t>地面漫流型：项目废水处理设施、油罐采取埋地设置，无地面漫流影响。地面漫流影响可能发生在卸加油时，油品通过卸油口或加油枪发生泄漏，或发生火灾事故时，油品或消防废水发生地面漫流，造成土壤污染。</w:t>
            </w:r>
          </w:p>
          <w:p w14:paraId="7A655757">
            <w:pPr>
              <w:wordWrap w:val="0"/>
              <w:topLinePunct/>
              <w:adjustRightInd w:val="0"/>
              <w:snapToGrid w:val="0"/>
              <w:spacing w:line="360" w:lineRule="auto"/>
              <w:ind w:firstLine="480" w:firstLineChars="200"/>
              <w:rPr>
                <w:b/>
                <w:bCs/>
                <w:kern w:val="0"/>
                <w:sz w:val="24"/>
              </w:rPr>
            </w:pPr>
            <w:r>
              <w:rPr>
                <w:sz w:val="24"/>
              </w:rPr>
              <w:t>大气沉降型：本项目营运期主要大气污染物为非甲烷总烃，属于气态污染物，基本不存在沉降影响。</w:t>
            </w:r>
          </w:p>
          <w:p w14:paraId="661E6525">
            <w:pPr>
              <w:keepNext w:val="0"/>
              <w:keepLines w:val="0"/>
              <w:pageBreakBefore w:val="0"/>
              <w:widowControl w:val="0"/>
              <w:kinsoku/>
              <w:wordWrap w:val="0"/>
              <w:overflowPunct/>
              <w:topLinePunct/>
              <w:autoSpaceDE/>
              <w:autoSpaceDN/>
              <w:bidi w:val="0"/>
              <w:adjustRightInd w:val="0"/>
              <w:snapToGrid w:val="0"/>
              <w:spacing w:line="360" w:lineRule="auto"/>
              <w:textAlignment w:val="auto"/>
              <w:rPr>
                <w:b/>
                <w:bCs/>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9.2</w:t>
            </w:r>
            <w:r>
              <w:rPr>
                <w:rFonts w:hint="eastAsia" w:ascii="Times New Roman" w:hAnsi="Times New Roman" w:eastAsia="宋体" w:cs="Times New Roman"/>
                <w:b/>
                <w:bCs/>
                <w:kern w:val="2"/>
                <w:sz w:val="24"/>
                <w:szCs w:val="24"/>
                <w:lang w:val="en-US" w:eastAsia="zh-CN" w:bidi="ar-SA"/>
              </w:rPr>
              <w:t xml:space="preserve"> </w:t>
            </w:r>
            <w:r>
              <w:rPr>
                <w:b/>
                <w:bCs/>
                <w:sz w:val="24"/>
              </w:rPr>
              <w:t>防控措施</w:t>
            </w:r>
          </w:p>
          <w:p w14:paraId="3A97C1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sz w:val="24"/>
              </w:rPr>
              <w:t>①源头控制措施</w:t>
            </w:r>
          </w:p>
          <w:p w14:paraId="41E103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sz w:val="24"/>
              </w:rPr>
              <w:t>a、污水处理池：主要包括在污水处理设备、管道、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废水垂直入渗进入土壤，本项目对废水处理站各个池子进行加盖处理，防止暴雨造成各个池子出现溢流现象。</w:t>
            </w:r>
          </w:p>
          <w:p w14:paraId="5B864942">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color w:val="auto"/>
                <w:sz w:val="24"/>
                <w:u w:val="none"/>
              </w:rPr>
            </w:pPr>
            <w:r>
              <w:rPr>
                <w:color w:val="auto"/>
                <w:sz w:val="24"/>
                <w:u w:val="none"/>
              </w:rPr>
              <w:t>b、汽油、柴油储罐：采用双层钢制油罐，油罐内层罐体钢板厚度不小于7mm、外层玻璃纤维增强塑料厚度不小4.2mm，与普通的厚度仅5mm的单层油罐相比，强度提高，外层为玻璃钢，具有耐腐蚀性、耐电蚀性，另外还安装有泄露检测仪，当夹层间发生渗漏时，夹层内的液体会接触到传感器，传感器会发出电子信号给渗漏检测仪，当检测仪接收到传感器发出信号后，程序会自动判断出油水渗漏并进行灯光和声频报警，用户会根据报警情况，及时作出响应并采取响应的应对措施，避免安全隐患和环境污染。</w:t>
            </w:r>
            <w:r>
              <w:rPr>
                <w:rFonts w:hint="eastAsia"/>
                <w:color w:val="auto"/>
                <w:sz w:val="24"/>
                <w:u w:val="none"/>
              </w:rPr>
              <w:t>油罐底板采用50cm厚的钢筋混凝土硬化，再将油罐固定于底板上，并在油罐与油罐之间填充干净的细砂。</w:t>
            </w:r>
          </w:p>
          <w:p w14:paraId="120F379B">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c、管线：出油管线和卸油管线埋地部分均采用双层复合管线，双层管道符合以下要求：①双层管道的内层管符合有关规定；②采用双层非金属管道时，外层管满足耐油、耐腐蚀、耐老化和系统试验压力的要求；③采用双层钢质管道时，外层管的壁厚不小于5mm；④双层管道系统的内层管与外层管之间的缝隙贯通；⑤双层管道系统的最低点设检漏点；⑥双层管道坡向检漏点的坡度，不小于5%，并保证内层管和外层管任何部位出现渗漏均能在检漏点处被发现；⑦管道系统的渗漏检测采用在线监测系统。</w:t>
            </w:r>
          </w:p>
          <w:p w14:paraId="4A6D99C2">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d、项目加油站区域应按照《石油化工企业防渗计设通则》（中国石油天然气集团公司企业标准Q/SY 1303-2010）要求，对</w:t>
            </w:r>
            <w:r>
              <w:rPr>
                <w:rFonts w:hint="eastAsia"/>
                <w:sz w:val="24"/>
                <w:lang w:val="en-US" w:eastAsia="zh-CN"/>
              </w:rPr>
              <w:t>化粪池</w:t>
            </w:r>
            <w:r>
              <w:rPr>
                <w:sz w:val="24"/>
              </w:rPr>
              <w:t>、隔油</w:t>
            </w:r>
            <w:r>
              <w:rPr>
                <w:rFonts w:hint="eastAsia"/>
                <w:sz w:val="24"/>
                <w:lang w:val="en-US" w:eastAsia="zh-CN"/>
              </w:rPr>
              <w:t>沉淀</w:t>
            </w:r>
            <w:r>
              <w:rPr>
                <w:sz w:val="24"/>
              </w:rPr>
              <w:t>池采用现浇防渗钢纤维混凝土面层作为基础防渗措施，站房地面采取粘土铺底，上层铺10~15cm的水泥进行硬化。加油站站区进行防渗，对卸车位、输油管道沿线等采用2.0mmHDPE膜+防渗混凝土；油罐区、加油区等采用现浇防渗钢纤维混凝土面层作为基础防渗措施，表层采用20mm防渗水泥进行地面硬化；站内道路地面采取粘土铺底，上层铺10~15cm的水泥进行硬化。</w:t>
            </w:r>
          </w:p>
          <w:p w14:paraId="4B1FCA1D">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e、埋地工艺管道外表面的防腐设计符合国家现行标准《钢质管道及储罐腐蚀控制工程设计规范》SY0007的有关规定，并采用不低于加强级的防腐绝缘保护层。</w:t>
            </w:r>
          </w:p>
          <w:p w14:paraId="2C97F024">
            <w:pPr>
              <w:keepNext w:val="0"/>
              <w:keepLines w:val="0"/>
              <w:pageBreakBefore w:val="0"/>
              <w:widowControl w:val="0"/>
              <w:kinsoku/>
              <w:overflowPunct/>
              <w:autoSpaceDE/>
              <w:autoSpaceDN/>
              <w:bidi w:val="0"/>
              <w:adjustRightInd w:val="0"/>
              <w:snapToGrid w:val="0"/>
              <w:spacing w:line="360" w:lineRule="auto"/>
              <w:ind w:firstLine="480" w:firstLineChars="200"/>
              <w:textAlignment w:val="auto"/>
              <w:rPr>
                <w:sz w:val="24"/>
              </w:rPr>
            </w:pPr>
            <w:r>
              <w:rPr>
                <w:sz w:val="24"/>
              </w:rPr>
              <w:t>f、加油站对每个油罐配备液位仪，实时监控油品有无渗漏；且定期会对油罐进行清罐作业，清罐作业时会对罐线进行气密性测试，确保油罐完好、无渗漏。因此，在采取管理措施后，如有发生渗漏，加油站工作人员可及时发现。</w:t>
            </w:r>
          </w:p>
          <w:p w14:paraId="5D97E020">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②过程防控措施</w:t>
            </w:r>
          </w:p>
          <w:p w14:paraId="2A5476F0">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a、加油站设置</w:t>
            </w:r>
            <w:r>
              <w:rPr>
                <w:sz w:val="24"/>
                <w:lang w:val="zh-CN"/>
              </w:rPr>
              <w:t>设置围墙，</w:t>
            </w:r>
            <w:r>
              <w:rPr>
                <w:sz w:val="24"/>
              </w:rPr>
              <w:t>加强地面硬化，削弱渗透力</w:t>
            </w:r>
            <w:r>
              <w:rPr>
                <w:sz w:val="24"/>
                <w:lang w:val="zh-CN"/>
              </w:rPr>
              <w:t>；</w:t>
            </w:r>
          </w:p>
          <w:p w14:paraId="3E65CC0B">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b、设置卸油油气回收系统</w:t>
            </w:r>
            <w:r>
              <w:rPr>
                <w:rFonts w:hint="eastAsia"/>
                <w:sz w:val="24"/>
                <w:lang w:eastAsia="zh-CN"/>
              </w:rPr>
              <w:t>、</w:t>
            </w:r>
            <w:r>
              <w:rPr>
                <w:sz w:val="24"/>
              </w:rPr>
              <w:t>加油油气回收系统</w:t>
            </w:r>
            <w:r>
              <w:rPr>
                <w:rFonts w:hint="eastAsia"/>
                <w:sz w:val="24"/>
                <w:lang w:val="en-US" w:eastAsia="zh-CN"/>
              </w:rPr>
              <w:t>和储油油气回收系统</w:t>
            </w:r>
            <w:r>
              <w:rPr>
                <w:sz w:val="24"/>
              </w:rPr>
              <w:t>；</w:t>
            </w:r>
          </w:p>
          <w:p w14:paraId="643A7F03">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auto"/>
              <w:rPr>
                <w:b/>
                <w:bCs/>
                <w:kern w:val="0"/>
                <w:sz w:val="24"/>
              </w:rPr>
            </w:pPr>
            <w:r>
              <w:rPr>
                <w:sz w:val="24"/>
              </w:rPr>
              <w:t>c、定期对管道、设备、油、污水储存及处理构筑物检查，确保无“跑、冒、滴、漏”现象发生。</w:t>
            </w:r>
          </w:p>
          <w:p w14:paraId="574CE4C8">
            <w:pPr>
              <w:keepNext w:val="0"/>
              <w:keepLines w:val="0"/>
              <w:pageBreakBefore w:val="0"/>
              <w:widowControl w:val="0"/>
              <w:kinsoku/>
              <w:overflowPunct/>
              <w:autoSpaceDE/>
              <w:autoSpaceDN/>
              <w:bidi w:val="0"/>
              <w:adjustRightInd w:val="0"/>
              <w:snapToGrid w:val="0"/>
              <w:spacing w:line="360" w:lineRule="auto"/>
              <w:ind w:firstLine="480" w:firstLineChars="200"/>
              <w:textAlignment w:val="auto"/>
              <w:rPr>
                <w:sz w:val="24"/>
              </w:rPr>
            </w:pPr>
            <w:r>
              <w:rPr>
                <w:sz w:val="24"/>
              </w:rPr>
              <w:t>③风险防控措施</w:t>
            </w:r>
          </w:p>
          <w:p w14:paraId="16B7B96B">
            <w:pPr>
              <w:keepNext w:val="0"/>
              <w:keepLines w:val="0"/>
              <w:pageBreakBefore w:val="0"/>
              <w:widowControl w:val="0"/>
              <w:kinsoku/>
              <w:overflowPunct/>
              <w:autoSpaceDE/>
              <w:autoSpaceDN/>
              <w:bidi w:val="0"/>
              <w:adjustRightInd w:val="0"/>
              <w:snapToGrid w:val="0"/>
              <w:spacing w:line="360" w:lineRule="auto"/>
              <w:ind w:firstLine="480" w:firstLineChars="200"/>
              <w:jc w:val="left"/>
              <w:textAlignment w:val="auto"/>
              <w:rPr>
                <w:sz w:val="24"/>
              </w:rPr>
            </w:pPr>
            <w:r>
              <w:rPr>
                <w:sz w:val="24"/>
              </w:rPr>
              <w:t>加强油品储罐、油</w:t>
            </w:r>
            <w:r>
              <w:rPr>
                <w:color w:val="auto"/>
                <w:sz w:val="24"/>
                <w:highlight w:val="none"/>
              </w:rPr>
              <w:t>品输送管道、阀门、危废间及卸加油区的维护管理及泄漏截流措施，确保安全运行。一旦发现土壤污染事故，立即采取应</w:t>
            </w:r>
            <w:r>
              <w:rPr>
                <w:sz w:val="24"/>
              </w:rPr>
              <w:t>急措施控制土壤污染，并使污染得到治理。</w:t>
            </w:r>
          </w:p>
          <w:p w14:paraId="3A4992C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auto"/>
              <w:rPr>
                <w:b/>
                <w:bCs/>
                <w:kern w:val="0"/>
                <w:sz w:val="24"/>
              </w:rPr>
            </w:pPr>
            <w:r>
              <w:rPr>
                <w:sz w:val="24"/>
              </w:rPr>
              <w:t>综上分析，项目在做好污染防控措施及分区防渗措施后，项目运营对周边土壤环境影响较小。</w:t>
            </w:r>
          </w:p>
          <w:p w14:paraId="18130799">
            <w:pPr>
              <w:keepNext w:val="0"/>
              <w:keepLines w:val="0"/>
              <w:pageBreakBefore w:val="0"/>
              <w:widowControl w:val="0"/>
              <w:kinsoku/>
              <w:wordWrap w:val="0"/>
              <w:overflowPunct/>
              <w:topLinePunct/>
              <w:autoSpaceDE/>
              <w:autoSpaceDN/>
              <w:bidi w:val="0"/>
              <w:adjustRightInd w:val="0"/>
              <w:snapToGrid w:val="0"/>
              <w:spacing w:line="360" w:lineRule="auto"/>
              <w:textAlignment w:val="auto"/>
              <w:rPr>
                <w:kern w:val="0"/>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10</w:t>
            </w:r>
            <w:r>
              <w:rPr>
                <w:rFonts w:hint="eastAsia" w:ascii="Times New Roman" w:hAnsi="Times New Roman" w:eastAsia="宋体" w:cs="Times New Roman"/>
                <w:b/>
                <w:bCs/>
                <w:kern w:val="2"/>
                <w:sz w:val="24"/>
                <w:szCs w:val="24"/>
                <w:lang w:val="en-US" w:eastAsia="zh-CN" w:bidi="ar-SA"/>
              </w:rPr>
              <w:t xml:space="preserve"> </w:t>
            </w:r>
            <w:r>
              <w:rPr>
                <w:b/>
                <w:kern w:val="0"/>
                <w:sz w:val="24"/>
              </w:rPr>
              <w:t>环境风险</w:t>
            </w:r>
          </w:p>
          <w:p w14:paraId="556913D9">
            <w:pPr>
              <w:keepNext w:val="0"/>
              <w:keepLines w:val="0"/>
              <w:pageBreakBefore w:val="0"/>
              <w:widowControl w:val="0"/>
              <w:kinsoku/>
              <w:wordWrap w:val="0"/>
              <w:overflowPunct/>
              <w:topLinePunct/>
              <w:autoSpaceDE/>
              <w:autoSpaceDN/>
              <w:bidi w:val="0"/>
              <w:adjustRightInd w:val="0"/>
              <w:snapToGrid w:val="0"/>
              <w:spacing w:line="360" w:lineRule="auto"/>
              <w:textAlignment w:val="auto"/>
              <w:rPr>
                <w:b/>
                <w:bCs/>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10.1</w:t>
            </w:r>
            <w:r>
              <w:rPr>
                <w:rFonts w:hint="eastAsia" w:ascii="Times New Roman" w:hAnsi="Times New Roman" w:eastAsia="宋体" w:cs="Times New Roman"/>
                <w:b/>
                <w:bCs/>
                <w:kern w:val="2"/>
                <w:sz w:val="24"/>
                <w:szCs w:val="24"/>
                <w:lang w:val="en-US" w:eastAsia="zh-CN" w:bidi="ar-SA"/>
              </w:rPr>
              <w:t xml:space="preserve"> </w:t>
            </w:r>
            <w:r>
              <w:rPr>
                <w:rFonts w:hint="eastAsia" w:cs="Times New Roman"/>
                <w:b/>
                <w:bCs/>
                <w:kern w:val="2"/>
                <w:sz w:val="24"/>
                <w:szCs w:val="24"/>
                <w:lang w:val="en-US" w:eastAsia="zh-CN" w:bidi="ar-SA"/>
              </w:rPr>
              <w:t>风险</w:t>
            </w:r>
            <w:r>
              <w:rPr>
                <w:b/>
                <w:bCs/>
                <w:sz w:val="24"/>
              </w:rPr>
              <w:t>物质数量与临界量比值（Q）</w:t>
            </w:r>
          </w:p>
          <w:p w14:paraId="50165F0C">
            <w:pPr>
              <w:spacing w:line="360" w:lineRule="auto"/>
              <w:ind w:firstLine="480" w:firstLineChars="200"/>
              <w:rPr>
                <w:sz w:val="24"/>
              </w:rPr>
            </w:pPr>
            <w:r>
              <w:rPr>
                <w:sz w:val="24"/>
              </w:rPr>
              <w:t>参考《建设项目环境风险评价技术导则》（HJ169-2018）附录B重点关注的危险物质及临界量B.1突发环境事件风险物质及临界量表，本项目危险物质为汽油、柴油，本项目危险物质的储存量、临界量见下表。</w:t>
            </w:r>
          </w:p>
          <w:p w14:paraId="36A38048">
            <w:pPr>
              <w:ind w:firstLine="426" w:firstLineChars="177"/>
              <w:jc w:val="center"/>
              <w:rPr>
                <w:b/>
                <w:bCs/>
                <w:kern w:val="24"/>
              </w:rPr>
            </w:pPr>
            <w:r>
              <w:rPr>
                <w:b/>
                <w:bCs/>
                <w:kern w:val="24"/>
                <w:sz w:val="24"/>
                <w:szCs w:val="24"/>
              </w:rPr>
              <w:t>表4-</w:t>
            </w:r>
            <w:r>
              <w:rPr>
                <w:rFonts w:hint="eastAsia"/>
                <w:b/>
                <w:bCs/>
                <w:kern w:val="24"/>
                <w:sz w:val="24"/>
                <w:szCs w:val="24"/>
                <w:lang w:val="en-US" w:eastAsia="zh-CN"/>
              </w:rPr>
              <w:t>23</w:t>
            </w:r>
            <w:r>
              <w:rPr>
                <w:b/>
                <w:bCs/>
                <w:kern w:val="24"/>
                <w:sz w:val="24"/>
                <w:szCs w:val="24"/>
              </w:rPr>
              <w:t xml:space="preserve"> </w:t>
            </w:r>
            <w:r>
              <w:rPr>
                <w:rFonts w:hint="eastAsia"/>
                <w:b/>
                <w:bCs/>
                <w:kern w:val="24"/>
                <w:sz w:val="24"/>
                <w:szCs w:val="24"/>
                <w:lang w:val="en-US" w:eastAsia="zh-CN"/>
              </w:rPr>
              <w:t>项目</w:t>
            </w:r>
            <w:r>
              <w:rPr>
                <w:b/>
                <w:bCs/>
                <w:kern w:val="24"/>
                <w:sz w:val="24"/>
                <w:szCs w:val="24"/>
              </w:rPr>
              <w:t>主要有毒有害物质一览表</w:t>
            </w:r>
          </w:p>
          <w:tbl>
            <w:tblPr>
              <w:tblStyle w:val="5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2"/>
              <w:gridCol w:w="1486"/>
              <w:gridCol w:w="1016"/>
              <w:gridCol w:w="1715"/>
              <w:gridCol w:w="1374"/>
              <w:gridCol w:w="1055"/>
              <w:gridCol w:w="1072"/>
            </w:tblGrid>
            <w:tr w14:paraId="4BF492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455" w:type="pct"/>
                  <w:vAlign w:val="center"/>
                </w:tcPr>
                <w:p w14:paraId="2E32748D">
                  <w:pPr>
                    <w:jc w:val="center"/>
                    <w:rPr>
                      <w:b/>
                      <w:bCs/>
                    </w:rPr>
                  </w:pPr>
                  <w:r>
                    <w:rPr>
                      <w:b/>
                      <w:bCs/>
                    </w:rPr>
                    <w:t>名称</w:t>
                  </w:r>
                </w:p>
              </w:tc>
              <w:tc>
                <w:tcPr>
                  <w:tcW w:w="875" w:type="pct"/>
                  <w:vAlign w:val="center"/>
                </w:tcPr>
                <w:p w14:paraId="7451A948">
                  <w:pPr>
                    <w:jc w:val="center"/>
                    <w:rPr>
                      <w:b/>
                      <w:bCs/>
                    </w:rPr>
                  </w:pPr>
                  <w:r>
                    <w:rPr>
                      <w:b/>
                      <w:bCs/>
                    </w:rPr>
                    <w:t>危险性</w:t>
                  </w:r>
                </w:p>
              </w:tc>
              <w:tc>
                <w:tcPr>
                  <w:tcW w:w="598" w:type="pct"/>
                  <w:vAlign w:val="center"/>
                </w:tcPr>
                <w:p w14:paraId="01964930">
                  <w:pPr>
                    <w:jc w:val="center"/>
                    <w:rPr>
                      <w:b/>
                      <w:bCs/>
                    </w:rPr>
                  </w:pPr>
                  <w:r>
                    <w:rPr>
                      <w:b/>
                      <w:bCs/>
                    </w:rPr>
                    <w:t>CAS号</w:t>
                  </w:r>
                </w:p>
              </w:tc>
              <w:tc>
                <w:tcPr>
                  <w:tcW w:w="1010" w:type="pct"/>
                  <w:vAlign w:val="center"/>
                </w:tcPr>
                <w:p w14:paraId="0D581039">
                  <w:pPr>
                    <w:jc w:val="center"/>
                    <w:rPr>
                      <w:b/>
                      <w:bCs/>
                    </w:rPr>
                  </w:pPr>
                  <w:r>
                    <w:rPr>
                      <w:b/>
                      <w:bCs/>
                      <w:kern w:val="0"/>
                      <w:lang w:bidi="ar"/>
                    </w:rPr>
                    <w:t>最大储存量（t）</w:t>
                  </w:r>
                </w:p>
              </w:tc>
              <w:tc>
                <w:tcPr>
                  <w:tcW w:w="809" w:type="pct"/>
                  <w:vAlign w:val="center"/>
                </w:tcPr>
                <w:p w14:paraId="0F53A0C7">
                  <w:pPr>
                    <w:jc w:val="center"/>
                    <w:rPr>
                      <w:b/>
                      <w:bCs/>
                      <w:kern w:val="0"/>
                      <w:lang w:bidi="ar"/>
                    </w:rPr>
                  </w:pPr>
                  <w:r>
                    <w:rPr>
                      <w:rFonts w:hint="eastAsia"/>
                      <w:b/>
                      <w:bCs/>
                      <w:kern w:val="0"/>
                      <w:lang w:val="en-US" w:eastAsia="zh-CN" w:bidi="ar"/>
                    </w:rPr>
                    <w:t>储存</w:t>
                  </w:r>
                  <w:r>
                    <w:rPr>
                      <w:b/>
                      <w:bCs/>
                      <w:kern w:val="0"/>
                      <w:lang w:bidi="ar"/>
                    </w:rPr>
                    <w:t>位置</w:t>
                  </w:r>
                </w:p>
              </w:tc>
              <w:tc>
                <w:tcPr>
                  <w:tcW w:w="621" w:type="pct"/>
                  <w:vAlign w:val="center"/>
                </w:tcPr>
                <w:p w14:paraId="199E0ECF">
                  <w:pPr>
                    <w:jc w:val="center"/>
                    <w:rPr>
                      <w:b/>
                      <w:bCs/>
                    </w:rPr>
                  </w:pPr>
                  <w:r>
                    <w:rPr>
                      <w:b/>
                      <w:bCs/>
                    </w:rPr>
                    <w:t>临界量t</w:t>
                  </w:r>
                </w:p>
              </w:tc>
              <w:tc>
                <w:tcPr>
                  <w:tcW w:w="631" w:type="pct"/>
                  <w:vAlign w:val="center"/>
                </w:tcPr>
                <w:p w14:paraId="320B1468">
                  <w:pPr>
                    <w:jc w:val="center"/>
                    <w:rPr>
                      <w:b/>
                      <w:bCs/>
                    </w:rPr>
                  </w:pPr>
                  <w:r>
                    <w:rPr>
                      <w:b/>
                      <w:bCs/>
                    </w:rPr>
                    <w:t>Q</w:t>
                  </w:r>
                </w:p>
              </w:tc>
            </w:tr>
            <w:tr w14:paraId="400967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55" w:type="pct"/>
                  <w:vAlign w:val="center"/>
                </w:tcPr>
                <w:p w14:paraId="059BF935">
                  <w:pPr>
                    <w:jc w:val="center"/>
                  </w:pPr>
                  <w:r>
                    <w:t>汽油</w:t>
                  </w:r>
                </w:p>
              </w:tc>
              <w:tc>
                <w:tcPr>
                  <w:tcW w:w="875" w:type="pct"/>
                  <w:vAlign w:val="center"/>
                </w:tcPr>
                <w:p w14:paraId="23FBDAFA">
                  <w:pPr>
                    <w:jc w:val="center"/>
                  </w:pPr>
                  <w:r>
                    <w:t>泄露、火灾</w:t>
                  </w:r>
                </w:p>
              </w:tc>
              <w:tc>
                <w:tcPr>
                  <w:tcW w:w="598" w:type="pct"/>
                  <w:vAlign w:val="center"/>
                </w:tcPr>
                <w:p w14:paraId="64012EC0">
                  <w:pPr>
                    <w:jc w:val="center"/>
                  </w:pPr>
                  <w:r>
                    <w:t>/</w:t>
                  </w:r>
                </w:p>
              </w:tc>
              <w:tc>
                <w:tcPr>
                  <w:tcW w:w="1010" w:type="pct"/>
                  <w:vAlign w:val="center"/>
                </w:tcPr>
                <w:p w14:paraId="593BDD50">
                  <w:pPr>
                    <w:jc w:val="center"/>
                    <w:rPr>
                      <w:rFonts w:hint="default"/>
                      <w:lang w:val="en-US"/>
                    </w:rPr>
                  </w:pPr>
                  <w:r>
                    <w:rPr>
                      <w:rFonts w:hint="eastAsia"/>
                      <w:lang w:val="en-US" w:eastAsia="zh-CN"/>
                    </w:rPr>
                    <w:t>60.75</w:t>
                  </w:r>
                </w:p>
              </w:tc>
              <w:tc>
                <w:tcPr>
                  <w:tcW w:w="809" w:type="pct"/>
                  <w:vAlign w:val="center"/>
                </w:tcPr>
                <w:p w14:paraId="34B41502">
                  <w:pPr>
                    <w:jc w:val="center"/>
                  </w:pPr>
                  <w:r>
                    <w:t>储罐区</w:t>
                  </w:r>
                </w:p>
              </w:tc>
              <w:tc>
                <w:tcPr>
                  <w:tcW w:w="621" w:type="pct"/>
                  <w:vAlign w:val="center"/>
                </w:tcPr>
                <w:p w14:paraId="628EC7EF">
                  <w:pPr>
                    <w:jc w:val="center"/>
                  </w:pPr>
                  <w:r>
                    <w:t>2500</w:t>
                  </w:r>
                </w:p>
              </w:tc>
              <w:tc>
                <w:tcPr>
                  <w:tcW w:w="1072" w:type="dxa"/>
                  <w:vAlign w:val="center"/>
                </w:tcPr>
                <w:p w14:paraId="67CFE85F">
                  <w:pPr>
                    <w:keepNext w:val="0"/>
                    <w:keepLines w:val="0"/>
                    <w:widowControl/>
                    <w:suppressLineNumbers w:val="0"/>
                    <w:jc w:val="center"/>
                    <w:textAlignment w:val="center"/>
                    <w:rPr>
                      <w:rFonts w:hint="default"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0.0243</w:t>
                  </w:r>
                </w:p>
              </w:tc>
            </w:tr>
            <w:tr w14:paraId="25A798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455" w:type="pct"/>
                  <w:vAlign w:val="center"/>
                </w:tcPr>
                <w:p w14:paraId="71F87227">
                  <w:pPr>
                    <w:jc w:val="center"/>
                  </w:pPr>
                  <w:r>
                    <w:t>柴油</w:t>
                  </w:r>
                </w:p>
              </w:tc>
              <w:tc>
                <w:tcPr>
                  <w:tcW w:w="875" w:type="pct"/>
                  <w:vAlign w:val="center"/>
                </w:tcPr>
                <w:p w14:paraId="7C1C11DC">
                  <w:pPr>
                    <w:jc w:val="center"/>
                  </w:pPr>
                  <w:r>
                    <w:t>泄露、火灾</w:t>
                  </w:r>
                </w:p>
              </w:tc>
              <w:tc>
                <w:tcPr>
                  <w:tcW w:w="598" w:type="pct"/>
                  <w:vAlign w:val="center"/>
                </w:tcPr>
                <w:p w14:paraId="185FB022">
                  <w:pPr>
                    <w:jc w:val="center"/>
                  </w:pPr>
                  <w:r>
                    <w:t>/</w:t>
                  </w:r>
                </w:p>
              </w:tc>
              <w:tc>
                <w:tcPr>
                  <w:tcW w:w="1010" w:type="pct"/>
                  <w:vAlign w:val="center"/>
                </w:tcPr>
                <w:p w14:paraId="7973C18D">
                  <w:pPr>
                    <w:jc w:val="center"/>
                    <w:rPr>
                      <w:rFonts w:hint="default" w:eastAsia="宋体"/>
                      <w:lang w:val="en-US" w:eastAsia="zh-CN"/>
                    </w:rPr>
                  </w:pPr>
                  <w:r>
                    <w:rPr>
                      <w:rFonts w:hint="eastAsia"/>
                      <w:lang w:val="en-US" w:eastAsia="zh-CN"/>
                    </w:rPr>
                    <w:t>38.7</w:t>
                  </w:r>
                </w:p>
              </w:tc>
              <w:tc>
                <w:tcPr>
                  <w:tcW w:w="809" w:type="pct"/>
                  <w:vAlign w:val="center"/>
                </w:tcPr>
                <w:p w14:paraId="4FCC62CA">
                  <w:pPr>
                    <w:jc w:val="center"/>
                  </w:pPr>
                  <w:r>
                    <w:t>储罐区</w:t>
                  </w:r>
                </w:p>
              </w:tc>
              <w:tc>
                <w:tcPr>
                  <w:tcW w:w="621" w:type="pct"/>
                  <w:vAlign w:val="center"/>
                </w:tcPr>
                <w:p w14:paraId="1870F959">
                  <w:pPr>
                    <w:jc w:val="center"/>
                  </w:pPr>
                  <w:r>
                    <w:t>2500</w:t>
                  </w:r>
                </w:p>
              </w:tc>
              <w:tc>
                <w:tcPr>
                  <w:tcW w:w="1072" w:type="dxa"/>
                  <w:vAlign w:val="center"/>
                </w:tcPr>
                <w:p w14:paraId="47C01277">
                  <w:pPr>
                    <w:keepNext w:val="0"/>
                    <w:keepLines w:val="0"/>
                    <w:widowControl/>
                    <w:suppressLineNumbers w:val="0"/>
                    <w:jc w:val="center"/>
                    <w:textAlignment w:val="center"/>
                    <w:rPr>
                      <w:rFonts w:hint="default"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0.01548</w:t>
                  </w:r>
                </w:p>
              </w:tc>
            </w:tr>
            <w:tr w14:paraId="68C6FF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455" w:type="pct"/>
                  <w:vAlign w:val="center"/>
                </w:tcPr>
                <w:p w14:paraId="042F61E3">
                  <w:pPr>
                    <w:jc w:val="center"/>
                  </w:pPr>
                  <w:r>
                    <w:t>危险废物</w:t>
                  </w:r>
                </w:p>
              </w:tc>
              <w:tc>
                <w:tcPr>
                  <w:tcW w:w="875" w:type="pct"/>
                  <w:vAlign w:val="center"/>
                </w:tcPr>
                <w:p w14:paraId="40A522BB">
                  <w:pPr>
                    <w:jc w:val="center"/>
                  </w:pPr>
                  <w:r>
                    <w:t>泄露</w:t>
                  </w:r>
                </w:p>
              </w:tc>
              <w:tc>
                <w:tcPr>
                  <w:tcW w:w="598" w:type="pct"/>
                  <w:vAlign w:val="center"/>
                </w:tcPr>
                <w:p w14:paraId="7C720B72">
                  <w:pPr>
                    <w:jc w:val="center"/>
                  </w:pPr>
                  <w:r>
                    <w:t>/</w:t>
                  </w:r>
                </w:p>
              </w:tc>
              <w:tc>
                <w:tcPr>
                  <w:tcW w:w="1010" w:type="pct"/>
                  <w:vAlign w:val="center"/>
                </w:tcPr>
                <w:p w14:paraId="4F532C5D">
                  <w:pPr>
                    <w:jc w:val="center"/>
                    <w:rPr>
                      <w:rFonts w:hint="default" w:eastAsia="宋体"/>
                      <w:lang w:val="en-US" w:eastAsia="zh-CN"/>
                    </w:rPr>
                  </w:pPr>
                  <w:r>
                    <w:t>1.0</w:t>
                  </w:r>
                  <w:r>
                    <w:rPr>
                      <w:rFonts w:hint="eastAsia"/>
                      <w:lang w:val="en-US" w:eastAsia="zh-CN"/>
                    </w:rPr>
                    <w:t>648</w:t>
                  </w:r>
                </w:p>
              </w:tc>
              <w:tc>
                <w:tcPr>
                  <w:tcW w:w="809" w:type="pct"/>
                  <w:vAlign w:val="center"/>
                </w:tcPr>
                <w:p w14:paraId="378837FF">
                  <w:pPr>
                    <w:jc w:val="center"/>
                  </w:pPr>
                  <w:r>
                    <w:t>危废间</w:t>
                  </w:r>
                </w:p>
              </w:tc>
              <w:tc>
                <w:tcPr>
                  <w:tcW w:w="621" w:type="pct"/>
                  <w:vAlign w:val="center"/>
                </w:tcPr>
                <w:p w14:paraId="047E0C4D">
                  <w:pPr>
                    <w:jc w:val="center"/>
                  </w:pPr>
                  <w:r>
                    <w:t>50</w:t>
                  </w:r>
                </w:p>
              </w:tc>
              <w:tc>
                <w:tcPr>
                  <w:tcW w:w="1072" w:type="dxa"/>
                  <w:vAlign w:val="center"/>
                </w:tcPr>
                <w:p w14:paraId="52E60F69">
                  <w:pPr>
                    <w:keepNext w:val="0"/>
                    <w:keepLines w:val="0"/>
                    <w:widowControl/>
                    <w:suppressLineNumbers w:val="0"/>
                    <w:jc w:val="center"/>
                    <w:textAlignment w:val="center"/>
                    <w:rPr>
                      <w:rFonts w:hint="default"/>
                      <w:lang w:val="en-US"/>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1296</w:t>
                  </w:r>
                </w:p>
              </w:tc>
            </w:tr>
            <w:tr w14:paraId="3165FB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4368" w:type="pct"/>
                  <w:gridSpan w:val="6"/>
                  <w:vAlign w:val="center"/>
                </w:tcPr>
                <w:p w14:paraId="20515F09">
                  <w:pPr>
                    <w:jc w:val="center"/>
                  </w:pPr>
                  <w:r>
                    <w:t>合计</w:t>
                  </w:r>
                </w:p>
              </w:tc>
              <w:tc>
                <w:tcPr>
                  <w:tcW w:w="1072" w:type="dxa"/>
                  <w:vAlign w:val="center"/>
                </w:tcPr>
                <w:p w14:paraId="6D70AAA8">
                  <w:pPr>
                    <w:keepNext w:val="0"/>
                    <w:keepLines w:val="0"/>
                    <w:widowControl/>
                    <w:suppressLineNumbers w:val="0"/>
                    <w:jc w:val="center"/>
                    <w:textAlignment w:val="center"/>
                    <w:rPr>
                      <w:rFonts w:hint="default" w:eastAsia="宋体"/>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r>
                    <w:rPr>
                      <w:rFonts w:hint="eastAsia" w:cs="Times New Roman"/>
                      <w:i w:val="0"/>
                      <w:iCs w:val="0"/>
                      <w:color w:val="000000"/>
                      <w:kern w:val="0"/>
                      <w:sz w:val="21"/>
                      <w:szCs w:val="21"/>
                      <w:u w:val="none"/>
                      <w:lang w:val="en-US" w:eastAsia="zh-CN" w:bidi="ar"/>
                    </w:rPr>
                    <w:t>1076</w:t>
                  </w:r>
                </w:p>
              </w:tc>
            </w:tr>
          </w:tbl>
          <w:p w14:paraId="0F71F1C4">
            <w:pPr>
              <w:spacing w:line="360" w:lineRule="auto"/>
              <w:rPr>
                <w:rFonts w:hint="default" w:eastAsia="宋体"/>
                <w:b w:val="0"/>
                <w:bCs w:val="0"/>
                <w:lang w:val="en-US" w:eastAsia="zh-CN"/>
              </w:rPr>
            </w:pPr>
            <w:r>
              <w:rPr>
                <w:b w:val="0"/>
                <w:bCs w:val="0"/>
              </w:rPr>
              <w:t>注：汽油的密度按0.75g/mL、柴油密度按0.86g/mL计</w:t>
            </w:r>
            <w:r>
              <w:rPr>
                <w:rFonts w:hint="eastAsia"/>
                <w:b w:val="0"/>
                <w:bCs w:val="0"/>
                <w:lang w:eastAsia="zh-CN"/>
              </w:rPr>
              <w:t>，</w:t>
            </w:r>
            <w:r>
              <w:rPr>
                <w:rFonts w:hint="eastAsia"/>
                <w:b w:val="0"/>
                <w:bCs w:val="0"/>
                <w:lang w:val="en-US" w:eastAsia="zh-CN"/>
              </w:rPr>
              <w:t>油罐储存容积按90%计。</w:t>
            </w:r>
          </w:p>
          <w:p w14:paraId="7B09E6CD">
            <w:pPr>
              <w:adjustRightInd w:val="0"/>
              <w:snapToGrid w:val="0"/>
              <w:spacing w:beforeLines="0" w:afterLines="0" w:line="360" w:lineRule="auto"/>
              <w:ind w:firstLine="480" w:firstLineChars="200"/>
              <w:rPr>
                <w:sz w:val="24"/>
              </w:rPr>
            </w:pPr>
            <w:r>
              <w:rPr>
                <w:sz w:val="24"/>
              </w:rPr>
              <w:t>单元内存在的危险物质为多品种时，则按下式计算Q值。</w:t>
            </w:r>
          </w:p>
          <w:p w14:paraId="045BF294">
            <w:pPr>
              <w:adjustRightInd w:val="0"/>
              <w:snapToGrid w:val="0"/>
              <w:spacing w:beforeLines="0" w:afterLines="0" w:line="360" w:lineRule="auto"/>
              <w:ind w:firstLine="480" w:firstLineChars="200"/>
              <w:rPr>
                <w:sz w:val="24"/>
              </w:rPr>
            </w:pPr>
            <w:r>
              <w:rPr>
                <w:sz w:val="24"/>
              </w:rPr>
              <w:t>q1/Q1+q2/Q2+······+qn/Qn≥1</w:t>
            </w:r>
          </w:p>
          <w:p w14:paraId="40DDF874">
            <w:pPr>
              <w:adjustRightInd w:val="0"/>
              <w:snapToGrid w:val="0"/>
              <w:spacing w:beforeLines="0" w:afterLines="0" w:line="360" w:lineRule="auto"/>
              <w:ind w:firstLine="480" w:firstLineChars="200"/>
              <w:rPr>
                <w:sz w:val="24"/>
              </w:rPr>
            </w:pPr>
            <w:r>
              <w:rPr>
                <w:sz w:val="24"/>
              </w:rPr>
              <w:t>式中：q1、q2、qn为每种危险物质实际存在量，t；</w:t>
            </w:r>
          </w:p>
          <w:p w14:paraId="6CD37EB7">
            <w:pPr>
              <w:adjustRightInd w:val="0"/>
              <w:snapToGrid w:val="0"/>
              <w:spacing w:beforeLines="0" w:afterLines="0" w:line="360" w:lineRule="auto"/>
              <w:ind w:firstLine="480" w:firstLineChars="200"/>
              <w:rPr>
                <w:sz w:val="24"/>
              </w:rPr>
            </w:pPr>
            <w:r>
              <w:rPr>
                <w:sz w:val="24"/>
              </w:rPr>
              <w:t>Q1、Q2、Qn为与各种危险物质相对应的生产场所或贮存区的临界量，t。</w:t>
            </w:r>
          </w:p>
          <w:p w14:paraId="38ADABC5">
            <w:pPr>
              <w:pStyle w:val="104"/>
              <w:spacing w:before="0" w:beforeLines="0" w:after="0" w:afterLines="0" w:line="360" w:lineRule="auto"/>
              <w:ind w:firstLine="480" w:firstLineChars="200"/>
              <w:jc w:val="both"/>
              <w:rPr>
                <w:rFonts w:ascii="Times New Roman" w:hAnsi="Times New Roman" w:cs="Times New Roman"/>
                <w:sz w:val="24"/>
                <w:szCs w:val="24"/>
              </w:rPr>
            </w:pPr>
            <w:r>
              <w:rPr>
                <w:rFonts w:ascii="Times New Roman" w:hAnsi="Times New Roman" w:cs="Times New Roman"/>
                <w:sz w:val="24"/>
              </w:rPr>
              <w:t>由上表可知，Q=</w:t>
            </w:r>
            <w:r>
              <w:rPr>
                <w:rFonts w:hint="eastAsia" w:ascii="Times New Roman" w:hAnsi="Times New Roman" w:cs="Times New Roman"/>
                <w:sz w:val="24"/>
              </w:rPr>
              <w:t>0.061076</w:t>
            </w:r>
            <w:r>
              <w:rPr>
                <w:rFonts w:ascii="Times New Roman" w:hAnsi="Times New Roman" w:cs="Times New Roman"/>
                <w:sz w:val="24"/>
                <w:szCs w:val="24"/>
              </w:rPr>
              <w:t>，Q＜1，有毒有害和易燃易爆危险物质存储量未超过临界量无需进行环境风险专项评价</w:t>
            </w:r>
            <w:r>
              <w:rPr>
                <w:rFonts w:ascii="Times New Roman" w:hAnsi="Times New Roman" w:cs="Times New Roman"/>
                <w:sz w:val="24"/>
              </w:rPr>
              <w:t>。</w:t>
            </w:r>
          </w:p>
          <w:p w14:paraId="3C5995DC">
            <w:pPr>
              <w:keepNext w:val="0"/>
              <w:keepLines w:val="0"/>
              <w:pageBreakBefore w:val="0"/>
              <w:widowControl w:val="0"/>
              <w:kinsoku/>
              <w:wordWrap w:val="0"/>
              <w:overflowPunct/>
              <w:topLinePunct/>
              <w:autoSpaceDE/>
              <w:autoSpaceDN/>
              <w:bidi w:val="0"/>
              <w:adjustRightInd w:val="0"/>
              <w:snapToGrid w:val="0"/>
              <w:spacing w:line="360" w:lineRule="auto"/>
              <w:textAlignment w:val="auto"/>
              <w:rPr>
                <w:snapToGrid w:val="0"/>
                <w:kern w:val="0"/>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10</w:t>
            </w:r>
            <w:r>
              <w:rPr>
                <w:rFonts w:hint="eastAsia"/>
                <w:b/>
                <w:bCs/>
                <w:sz w:val="24"/>
                <w:lang w:val="en-US" w:eastAsia="zh-CN"/>
              </w:rPr>
              <w:t xml:space="preserve">.2 </w:t>
            </w:r>
            <w:r>
              <w:rPr>
                <w:b/>
                <w:bCs/>
                <w:sz w:val="24"/>
              </w:rPr>
              <w:t>环境风险识别</w:t>
            </w:r>
          </w:p>
          <w:p w14:paraId="1EEB6860">
            <w:pPr>
              <w:spacing w:line="360" w:lineRule="auto"/>
              <w:ind w:firstLine="480" w:firstLineChars="200"/>
              <w:rPr>
                <w:sz w:val="24"/>
                <w:u w:val="single"/>
              </w:rPr>
            </w:pPr>
            <w:r>
              <w:rPr>
                <w:sz w:val="24"/>
                <w:u w:val="single"/>
              </w:rPr>
              <w:t>本项目主要为汽油、柴油销售，汽油属易燃易爆物质，其蒸汽与空气形成爆炸性混合物，遇明火或高热容易引起火灾爆炸，对附近的人群健康和动植物正常生长造成危害，造成环境污染事故。柴油属可燃液体，闪点较高，一般情况下不容易引起火灾爆炸等危害。因此本项目主要危险因素为汽油、柴油的泄露和汽油的火灾、爆炸。</w:t>
            </w:r>
          </w:p>
          <w:p w14:paraId="6C5D1DEE">
            <w:pPr>
              <w:spacing w:line="360" w:lineRule="auto"/>
              <w:ind w:firstLine="480" w:firstLineChars="200"/>
              <w:rPr>
                <w:sz w:val="24"/>
                <w:u w:val="single"/>
              </w:rPr>
            </w:pPr>
            <w:r>
              <w:rPr>
                <w:sz w:val="24"/>
                <w:u w:val="single"/>
              </w:rPr>
              <w:t>风险场所识别：项目风险场所主要为储罐区、加油棚、卸油点。</w:t>
            </w:r>
          </w:p>
          <w:p w14:paraId="6E646EAD">
            <w:pPr>
              <w:spacing w:line="360" w:lineRule="auto"/>
              <w:ind w:firstLine="480" w:firstLineChars="200"/>
              <w:rPr>
                <w:sz w:val="24"/>
                <w:u w:val="single"/>
              </w:rPr>
            </w:pPr>
            <w:r>
              <w:rPr>
                <w:sz w:val="24"/>
                <w:u w:val="single"/>
              </w:rPr>
              <w:t>①储罐区：储罐是加油站最容易发生事故的场所，如油罐泄漏遇雷击或静电闪火引燃引起爆炸。</w:t>
            </w:r>
          </w:p>
          <w:p w14:paraId="0633D04E">
            <w:pPr>
              <w:spacing w:line="360" w:lineRule="auto"/>
              <w:ind w:firstLine="480" w:firstLineChars="200"/>
              <w:rPr>
                <w:sz w:val="24"/>
                <w:u w:val="single"/>
              </w:rPr>
            </w:pPr>
            <w:r>
              <w:rPr>
                <w:sz w:val="24"/>
                <w:u w:val="single"/>
              </w:rPr>
              <w:t>②加油棚：加油棚为各种机动车辆加油的场所。由于汽车尾气带火星、加油过满溢出、加油机漏油、加油机防爆电气故障等原因，容易引发火灾爆炸事故。</w:t>
            </w:r>
          </w:p>
          <w:p w14:paraId="377D1A82">
            <w:pPr>
              <w:pStyle w:val="118"/>
              <w:adjustRightInd/>
              <w:snapToGrid/>
              <w:spacing w:line="360" w:lineRule="auto"/>
              <w:ind w:firstLine="480" w:firstLineChars="200"/>
              <w:jc w:val="both"/>
              <w:rPr>
                <w:u w:val="single"/>
              </w:rPr>
            </w:pPr>
            <w:r>
              <w:rPr>
                <w:u w:val="single"/>
              </w:rPr>
              <w:t>③卸油作业点：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p w14:paraId="7C75ACA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single"/>
                <w:lang w:val="en-US" w:eastAsia="zh-CN"/>
              </w:rPr>
            </w:pPr>
            <w:r>
              <w:rPr>
                <w:rFonts w:hint="eastAsia" w:cs="Times New Roman"/>
                <w:color w:val="auto"/>
                <w:sz w:val="24"/>
                <w:szCs w:val="24"/>
                <w:highlight w:val="none"/>
                <w:u w:val="single"/>
                <w:lang w:val="en-US" w:eastAsia="zh-CN"/>
              </w:rPr>
              <w:t>④</w:t>
            </w:r>
            <w:r>
              <w:rPr>
                <w:rFonts w:ascii="Times New Roman" w:hAnsi="Times New Roman"/>
                <w:sz w:val="24"/>
                <w:szCs w:val="24"/>
                <w:u w:val="single"/>
              </w:rPr>
              <w:t>食堂</w:t>
            </w:r>
          </w:p>
          <w:p w14:paraId="5E42082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single"/>
                <w:lang w:val="en-US" w:eastAsia="zh-CN"/>
              </w:rPr>
            </w:pPr>
            <w:r>
              <w:rPr>
                <w:rFonts w:hint="eastAsia"/>
                <w:kern w:val="0"/>
                <w:sz w:val="24"/>
                <w:u w:val="single"/>
                <w:lang w:val="en-US" w:eastAsia="zh-CN"/>
              </w:rPr>
              <w:t>本项目为加油站，为了安全考虑，</w:t>
            </w:r>
            <w:r>
              <w:rPr>
                <w:kern w:val="0"/>
                <w:sz w:val="24"/>
                <w:u w:val="single"/>
              </w:rPr>
              <w:t>项目餐厅使用电能进行烹饪，设置1个灶头</w:t>
            </w:r>
            <w:r>
              <w:rPr>
                <w:rFonts w:hint="eastAsia"/>
                <w:kern w:val="0"/>
                <w:sz w:val="24"/>
                <w:u w:val="single"/>
                <w:lang w:eastAsia="zh-CN"/>
              </w:rPr>
              <w:t>，</w:t>
            </w:r>
            <w:r>
              <w:rPr>
                <w:rFonts w:hint="eastAsia"/>
                <w:kern w:val="0"/>
                <w:sz w:val="24"/>
                <w:u w:val="single"/>
                <w:lang w:val="en-US" w:eastAsia="zh-CN"/>
              </w:rPr>
              <w:t>且项目每日仅3人在站内进行食宿，在使用电能的情况下，对环境风险较小。</w:t>
            </w:r>
          </w:p>
          <w:p w14:paraId="2F21A65C">
            <w:pPr>
              <w:keepNext w:val="0"/>
              <w:keepLines w:val="0"/>
              <w:pageBreakBefore w:val="0"/>
              <w:widowControl w:val="0"/>
              <w:kinsoku/>
              <w:wordWrap w:val="0"/>
              <w:overflowPunct/>
              <w:topLinePunct/>
              <w:autoSpaceDE/>
              <w:autoSpaceDN/>
              <w:bidi w:val="0"/>
              <w:adjustRightInd w:val="0"/>
              <w:snapToGrid w:val="0"/>
              <w:spacing w:line="360" w:lineRule="auto"/>
              <w:textAlignment w:val="auto"/>
              <w:rPr>
                <w:b/>
                <w:bCs/>
                <w:snapToGrid w:val="0"/>
                <w:kern w:val="0"/>
                <w:u w:val="single"/>
              </w:rPr>
            </w:pPr>
            <w:r>
              <w:rPr>
                <w:rFonts w:hint="eastAsia" w:ascii="Times New Roman" w:hAnsi="Times New Roman" w:eastAsia="宋体" w:cs="Times New Roman"/>
                <w:b/>
                <w:bCs/>
                <w:kern w:val="2"/>
                <w:sz w:val="24"/>
                <w:szCs w:val="24"/>
                <w:u w:val="single"/>
                <w:lang w:val="en-US" w:eastAsia="zh-CN" w:bidi="ar-SA"/>
              </w:rPr>
              <w:t>4.</w:t>
            </w:r>
            <w:r>
              <w:rPr>
                <w:rFonts w:hint="eastAsia" w:cs="Times New Roman"/>
                <w:b/>
                <w:bCs/>
                <w:kern w:val="2"/>
                <w:sz w:val="24"/>
                <w:szCs w:val="24"/>
                <w:u w:val="single"/>
                <w:lang w:val="en-US" w:eastAsia="zh-CN" w:bidi="ar-SA"/>
              </w:rPr>
              <w:t>10.3 环境风险分析</w:t>
            </w:r>
          </w:p>
          <w:p w14:paraId="569735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根据环境风险识别，本项目发生环境风险类型主要为</w:t>
            </w:r>
            <w:r>
              <w:rPr>
                <w:sz w:val="24"/>
                <w:u w:val="single"/>
              </w:rPr>
              <w:t>火灾、爆炸引发的次生环境事件</w:t>
            </w:r>
            <w:r>
              <w:rPr>
                <w:bCs/>
                <w:kern w:val="0"/>
                <w:sz w:val="24"/>
                <w:u w:val="single"/>
              </w:rPr>
              <w:t>、</w:t>
            </w:r>
            <w:r>
              <w:rPr>
                <w:sz w:val="24"/>
                <w:szCs w:val="22"/>
                <w:u w:val="single"/>
              </w:rPr>
              <w:t>汽油、柴油泄露</w:t>
            </w:r>
            <w:r>
              <w:rPr>
                <w:sz w:val="24"/>
                <w:u w:val="single"/>
              </w:rPr>
              <w:t>造成</w:t>
            </w:r>
            <w:r>
              <w:rPr>
                <w:sz w:val="24"/>
                <w:szCs w:val="22"/>
                <w:u w:val="single"/>
              </w:rPr>
              <w:t>次生环境污染事故。</w:t>
            </w:r>
          </w:p>
          <w:p w14:paraId="2D713A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根据《汽车加油加气加氢站技术标准》（GB50156-2021），采用卧式油罐埋地设置比较安全。卧式油罐的火灾，在打开人孔井盖后，在人孔井井口部燃烧，火势不大，用小型灭火器就可迅速扑灭。只要严格按照GB50156-2021的规定采用密闭卸油方式卸油，油罐发生火灾的可能性很小，即使发生火灾，火灾规模有限。</w:t>
            </w:r>
          </w:p>
          <w:p w14:paraId="16411A3C">
            <w:pPr>
              <w:pStyle w:val="1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pacing w:val="6"/>
                <w:kern w:val="0"/>
                <w:u w:val="single"/>
              </w:rPr>
            </w:pPr>
            <w:r>
              <w:rPr>
                <w:szCs w:val="22"/>
                <w:u w:val="single"/>
              </w:rPr>
              <w:t>加油站油品燃烧产生大量的一氧化碳和烟尘，对周围环境产生较大影响，故建设单位应采取措施减小运营过程中火灾爆炸发生的概率。建设单位应根据安全评价的建议要求控制火灾影响，当发生火灾时立即停止作业，通知工作人员及时采取灭火救援措施，有效控制火灾影响范围，降低火灾影响造成的二次环境污染问题。</w:t>
            </w:r>
          </w:p>
          <w:p w14:paraId="59F6C3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①对地表水的污染</w:t>
            </w:r>
          </w:p>
          <w:p w14:paraId="4DEC5A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2"/>
                <w:u w:val="single"/>
              </w:rPr>
            </w:pPr>
            <w:r>
              <w:rPr>
                <w:color w:val="auto"/>
                <w:sz w:val="24"/>
                <w:szCs w:val="22"/>
                <w:u w:val="single"/>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C4～C9的烃类、芳烃类、醇酮类以及卤代烃类有机物，一旦进入水环境，由于可生化性较差，造成被污染水体长时间得不到净化，完全恢复则需十几年、甚至几十年的时间。</w:t>
            </w:r>
          </w:p>
          <w:p w14:paraId="145B56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2"/>
                <w:u w:val="single"/>
              </w:rPr>
            </w:pPr>
            <w:r>
              <w:rPr>
                <w:color w:val="auto"/>
                <w:sz w:val="24"/>
                <w:szCs w:val="22"/>
                <w:u w:val="single"/>
              </w:rPr>
              <w:t>本项目采用防腐防渗双层钢制油罐，对储油罐内外表面、防油堤的内表面、油罐区地面、输油管线外表面均做了防渗防腐处理。</w:t>
            </w:r>
            <w:r>
              <w:rPr>
                <w:rFonts w:hint="eastAsia"/>
                <w:color w:val="auto"/>
                <w:sz w:val="24"/>
                <w:szCs w:val="22"/>
                <w:u w:val="single"/>
              </w:rPr>
              <w:t>油罐底板采用50cm厚的钢筋混凝土硬化，再将油罐固定于底板上，并在油罐与油罐之间填充干净的细砂；出油管道进行防腐处理；并装设高液位自动监控系统，具有油罐渗漏的监测功能和高液位的警报功能，故本加油站的油品一旦泄漏，只要该加油站的员工能够严格遵照国家有关规定操作，通过及时处理积累在储油区的油品，泄漏事故的危害是可以控制的，同时本项目距离周边地表水较远，对周边地表水（</w:t>
            </w:r>
            <w:r>
              <w:rPr>
                <w:rFonts w:hint="eastAsia"/>
                <w:color w:val="auto"/>
                <w:sz w:val="24"/>
                <w:szCs w:val="22"/>
                <w:u w:val="single"/>
                <w:lang w:eastAsia="zh-CN"/>
              </w:rPr>
              <w:t>祁水</w:t>
            </w:r>
            <w:r>
              <w:rPr>
                <w:rFonts w:hint="eastAsia"/>
                <w:color w:val="auto"/>
                <w:sz w:val="24"/>
                <w:szCs w:val="22"/>
                <w:u w:val="single"/>
              </w:rPr>
              <w:t>）的影响较小，风险可控</w:t>
            </w:r>
            <w:r>
              <w:rPr>
                <w:color w:val="auto"/>
                <w:sz w:val="24"/>
                <w:szCs w:val="22"/>
                <w:u w:val="single"/>
              </w:rPr>
              <w:t>。</w:t>
            </w:r>
          </w:p>
          <w:p w14:paraId="54E30F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②对地下水的污染</w:t>
            </w:r>
          </w:p>
          <w:p w14:paraId="06E4A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储油罐和输油管线的泄漏或渗漏将对地下水造成污染较为严重，地下水一旦遭到成品油的污染，会产生严重异味，并具有较强的致畸致癌性。由于这种渗漏必然穿过较厚的土壤层，使土壤层中吸附了大量的燃料油。土壤层吸附的燃料油不仅会造成植物生物的死亡，而且土壤层吸附的燃料油还会随着地表水下渗对土壤层的冲刷作用补充到地下水，即便污染源得到及时控制，地下水要完全恢复也需几十年甚至上百年的时间。本项目须采取防渗防漏措施，避免对地下水造成污染。</w:t>
            </w:r>
          </w:p>
          <w:p w14:paraId="682297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本项目采用防腐防渗双层钢制油罐，对储油罐内外表面、防油堤的内表面、油罐区地面、输油管线外表面均做了防渗防腐处理，</w:t>
            </w:r>
            <w:r>
              <w:rPr>
                <w:rFonts w:hint="eastAsia"/>
                <w:sz w:val="24"/>
                <w:szCs w:val="22"/>
                <w:u w:val="single"/>
              </w:rPr>
              <w:t>并装设高液位自动监控系统，具有油罐渗漏的监测功能和高液位的警报功能</w:t>
            </w:r>
            <w:r>
              <w:rPr>
                <w:sz w:val="24"/>
                <w:szCs w:val="22"/>
                <w:u w:val="single"/>
              </w:rPr>
              <w:t>。加油站一旦发生溢出与渗漏事故，会触发泄漏报警装置，</w:t>
            </w:r>
            <w:r>
              <w:rPr>
                <w:rFonts w:hint="eastAsia"/>
                <w:sz w:val="24"/>
                <w:szCs w:val="22"/>
                <w:u w:val="single"/>
              </w:rPr>
              <w:t>通过及时处理积累在储油区的油品，泄漏事故的危害是可以控制的，</w:t>
            </w:r>
            <w:r>
              <w:rPr>
                <w:sz w:val="24"/>
                <w:szCs w:val="22"/>
                <w:u w:val="single"/>
              </w:rPr>
              <w:t>对地下水</w:t>
            </w:r>
            <w:r>
              <w:rPr>
                <w:rFonts w:hint="eastAsia"/>
                <w:sz w:val="24"/>
                <w:szCs w:val="22"/>
                <w:u w:val="single"/>
              </w:rPr>
              <w:t>的</w:t>
            </w:r>
            <w:r>
              <w:rPr>
                <w:sz w:val="24"/>
                <w:szCs w:val="22"/>
                <w:u w:val="single"/>
              </w:rPr>
              <w:t>影响较小。</w:t>
            </w:r>
          </w:p>
          <w:p w14:paraId="1E4A83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③对大气环境的污染</w:t>
            </w:r>
          </w:p>
          <w:p w14:paraId="6AC0D7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a.泄漏废气</w:t>
            </w:r>
          </w:p>
          <w:p w14:paraId="66A6AE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根据国内外的研究，对于突发性的事故溢油，油品溢出后在地面呈不规则的面源分布，油品的挥发速度重要影响因素为油品蒸汽压、现场风速、油品溢出面积、油品蒸汽分子平均重度。</w:t>
            </w:r>
          </w:p>
          <w:p w14:paraId="6B3D48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本项目采用地埋式储油罐工艺，加油站一旦发生渗漏与溢出事故时，由于采取了防渗漏检查孔等渗漏溢出检测设施，因此可及时发现储油罐渗漏，油品渗漏量较小，再由于受储油罐罐基及防渗层的保护，渗漏出的成品油将积聚在储油区。储油区表面采用了混凝土硬化，较为密闭，油品将主要通过储油区通气管及人孔井非密封处挥发，不会造成大面积的扩散，对大气环境影响较小。</w:t>
            </w:r>
          </w:p>
          <w:p w14:paraId="559589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2"/>
                <w:u w:val="single"/>
              </w:rPr>
            </w:pPr>
            <w:r>
              <w:rPr>
                <w:rFonts w:hint="eastAsia"/>
                <w:color w:val="auto"/>
                <w:sz w:val="24"/>
                <w:szCs w:val="22"/>
                <w:u w:val="single"/>
              </w:rPr>
              <w:t>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p w14:paraId="1291E7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2"/>
                <w:u w:val="single"/>
              </w:rPr>
            </w:pPr>
            <w:r>
              <w:rPr>
                <w:sz w:val="24"/>
                <w:szCs w:val="22"/>
                <w:u w:val="single"/>
              </w:rPr>
              <w:t>b.消防废气</w:t>
            </w:r>
          </w:p>
          <w:p w14:paraId="1F687466">
            <w:pPr>
              <w:pStyle w:val="1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u w:val="single"/>
              </w:rPr>
            </w:pPr>
            <w:r>
              <w:rPr>
                <w:szCs w:val="22"/>
                <w:u w:val="single"/>
              </w:rPr>
              <w:t>油品为易燃物质，发生火灾、爆炸事故时燃烧产物主要为二氧化碳和烟尘，发生火灾、爆炸事故时及时报警进行灭火，废气为短时间排放，不会对周边居民和大气环境产生长时间的影响。</w:t>
            </w:r>
          </w:p>
          <w:p w14:paraId="7204523A">
            <w:pPr>
              <w:keepNext w:val="0"/>
              <w:keepLines w:val="0"/>
              <w:pageBreakBefore w:val="0"/>
              <w:widowControl w:val="0"/>
              <w:kinsoku/>
              <w:wordWrap w:val="0"/>
              <w:overflowPunct/>
              <w:topLinePunct/>
              <w:autoSpaceDE/>
              <w:autoSpaceDN/>
              <w:bidi w:val="0"/>
              <w:adjustRightInd w:val="0"/>
              <w:snapToGrid w:val="0"/>
              <w:spacing w:line="360" w:lineRule="auto"/>
              <w:textAlignment w:val="auto"/>
              <w:rPr>
                <w:rStyle w:val="59"/>
                <w:color w:val="auto"/>
                <w:kern w:val="0"/>
                <w:szCs w:val="20"/>
                <w:u w:val="single"/>
              </w:rPr>
            </w:pPr>
            <w:r>
              <w:rPr>
                <w:rFonts w:hint="eastAsia" w:ascii="Times New Roman" w:hAnsi="Times New Roman" w:eastAsia="宋体" w:cs="Times New Roman"/>
                <w:b/>
                <w:bCs/>
                <w:kern w:val="2"/>
                <w:sz w:val="24"/>
                <w:szCs w:val="24"/>
                <w:u w:val="single"/>
                <w:lang w:val="en-US" w:eastAsia="zh-CN" w:bidi="ar-SA"/>
              </w:rPr>
              <w:t>4.</w:t>
            </w:r>
            <w:r>
              <w:rPr>
                <w:rFonts w:hint="eastAsia" w:cs="Times New Roman"/>
                <w:b/>
                <w:bCs/>
                <w:kern w:val="2"/>
                <w:sz w:val="24"/>
                <w:szCs w:val="24"/>
                <w:u w:val="single"/>
                <w:lang w:val="en-US" w:eastAsia="zh-CN" w:bidi="ar-SA"/>
              </w:rPr>
              <w:t>10.4 风险防范措施</w:t>
            </w:r>
          </w:p>
          <w:p w14:paraId="71F7587F">
            <w:pPr>
              <w:pStyle w:val="202"/>
              <w:rPr>
                <w:rFonts w:ascii="Times New Roman" w:hAnsi="Times New Roman"/>
                <w:bCs w:val="0"/>
                <w:color w:val="auto"/>
                <w:sz w:val="24"/>
                <w:szCs w:val="22"/>
                <w:u w:val="single"/>
              </w:rPr>
            </w:pPr>
            <w:r>
              <w:rPr>
                <w:rFonts w:ascii="Times New Roman" w:hAnsi="Times New Roman"/>
                <w:bCs w:val="0"/>
                <w:color w:val="auto"/>
                <w:sz w:val="24"/>
                <w:szCs w:val="22"/>
                <w:u w:val="single"/>
              </w:rPr>
              <w:t>汽/柴油属于易/可燃液体，建设单位须切实做好防泄漏、防火安全与火灾防范工作。为了防止泄漏、火灾、爆炸事故的发生，建设单位应按以下方面不断加强安全管理：</w:t>
            </w:r>
          </w:p>
          <w:p w14:paraId="4112FBFC">
            <w:pPr>
              <w:numPr>
                <w:ilvl w:val="0"/>
                <w:numId w:val="5"/>
              </w:numPr>
              <w:tabs>
                <w:tab w:val="left" w:pos="885"/>
              </w:tabs>
              <w:wordWrap w:val="0"/>
              <w:topLinePunct/>
              <w:adjustRightInd w:val="0"/>
              <w:snapToGrid w:val="0"/>
              <w:spacing w:line="360" w:lineRule="auto"/>
              <w:ind w:left="0" w:firstLine="480" w:firstLineChars="200"/>
              <w:rPr>
                <w:color w:val="auto"/>
                <w:sz w:val="24"/>
                <w:u w:val="single"/>
              </w:rPr>
            </w:pPr>
            <w:r>
              <w:rPr>
                <w:rFonts w:hint="eastAsia"/>
                <w:color w:val="auto"/>
                <w:sz w:val="24"/>
                <w:u w:val="single"/>
              </w:rPr>
              <w:t>本项目为防止事故的发生，建设单位严格按照《汽车机油加气站设计与施工规范》（GB50156-2012）进行了设计与施工，采取了防治措施，其中主要包括：总图布置严格按照规范的要求进行设计，严格控制各建、构筑物安全防护距离；按有关规范设计设置了有效的消防系统，做到以防为主，安全可靠。</w:t>
            </w:r>
          </w:p>
          <w:p w14:paraId="1C7F4CCE">
            <w:pPr>
              <w:numPr>
                <w:ilvl w:val="0"/>
                <w:numId w:val="5"/>
              </w:numPr>
              <w:tabs>
                <w:tab w:val="left" w:pos="885"/>
              </w:tabs>
              <w:wordWrap w:val="0"/>
              <w:topLinePunct/>
              <w:adjustRightInd w:val="0"/>
              <w:snapToGrid w:val="0"/>
              <w:spacing w:line="360" w:lineRule="auto"/>
              <w:ind w:left="0" w:firstLine="480" w:firstLineChars="200"/>
              <w:rPr>
                <w:color w:val="auto"/>
                <w:sz w:val="24"/>
                <w:u w:val="single"/>
              </w:rPr>
            </w:pPr>
            <w:r>
              <w:rPr>
                <w:color w:val="auto"/>
                <w:sz w:val="24"/>
                <w:u w:val="single"/>
              </w:rPr>
              <w:t>双层油罐夹层设置渗漏检测系统，含检测仪、报警系统等，发现泄漏及时采取措施。油罐的各接合管设在油罐的顶部，便于平时的检修与管理，避免现场安装开孔可能出现焊接不良和接管受力大、容易发生断裂而造成的跑油、渗油等不安全事故。</w:t>
            </w:r>
          </w:p>
          <w:p w14:paraId="7554573F">
            <w:pPr>
              <w:numPr>
                <w:ilvl w:val="0"/>
                <w:numId w:val="5"/>
              </w:numPr>
              <w:tabs>
                <w:tab w:val="left" w:pos="885"/>
              </w:tabs>
              <w:wordWrap w:val="0"/>
              <w:topLinePunct/>
              <w:adjustRightInd w:val="0"/>
              <w:snapToGrid w:val="0"/>
              <w:spacing w:line="360" w:lineRule="auto"/>
              <w:ind w:left="0" w:firstLine="480" w:firstLineChars="200"/>
              <w:rPr>
                <w:color w:val="auto"/>
                <w:sz w:val="24"/>
                <w:u w:val="single"/>
              </w:rPr>
            </w:pPr>
            <w:r>
              <w:rPr>
                <w:rFonts w:hint="eastAsia"/>
                <w:color w:val="auto"/>
                <w:sz w:val="24"/>
                <w:u w:val="single"/>
              </w:rPr>
              <w:t>油罐底板采用50cm厚的钢筋混凝土硬化，再将油罐固定于底板上，并在油罐与油罐之间填充干净的细砂。</w:t>
            </w:r>
            <w:r>
              <w:rPr>
                <w:color w:val="auto"/>
                <w:sz w:val="24"/>
                <w:u w:val="single"/>
              </w:rPr>
              <w:t>放置油罐的罐池内回填厚度大于0.3m的干净砂土，同时也防止回填土含酸碱的废渣，对油罐加剧腐蚀；埋地钢管的连接采用焊接方式。</w:t>
            </w:r>
          </w:p>
          <w:p w14:paraId="0120010D">
            <w:pPr>
              <w:numPr>
                <w:ilvl w:val="0"/>
                <w:numId w:val="5"/>
              </w:numPr>
              <w:tabs>
                <w:tab w:val="left" w:pos="885"/>
              </w:tabs>
              <w:wordWrap w:val="0"/>
              <w:topLinePunct/>
              <w:adjustRightInd w:val="0"/>
              <w:snapToGrid w:val="0"/>
              <w:spacing w:line="360" w:lineRule="auto"/>
              <w:ind w:left="0" w:firstLine="480" w:firstLineChars="200"/>
              <w:rPr>
                <w:color w:val="auto"/>
                <w:sz w:val="24"/>
                <w:szCs w:val="22"/>
                <w:u w:val="single"/>
              </w:rPr>
            </w:pPr>
            <w:r>
              <w:rPr>
                <w:color w:val="auto"/>
                <w:sz w:val="24"/>
                <w:szCs w:val="22"/>
                <w:u w:val="single"/>
              </w:rPr>
              <w:t>装设高液位自动监测系统，具有油罐渗漏的监测功能和高液位的警报功能，及时掌握油罐情况，如果发生泄漏能够及时发现，及时采取措施。</w:t>
            </w:r>
          </w:p>
          <w:p w14:paraId="780E4CBA">
            <w:pPr>
              <w:numPr>
                <w:ilvl w:val="0"/>
                <w:numId w:val="5"/>
              </w:numPr>
              <w:tabs>
                <w:tab w:val="left" w:pos="885"/>
              </w:tabs>
              <w:wordWrap w:val="0"/>
              <w:topLinePunct/>
              <w:adjustRightInd w:val="0"/>
              <w:snapToGrid w:val="0"/>
              <w:spacing w:line="360" w:lineRule="auto"/>
              <w:ind w:left="0" w:firstLine="480" w:firstLineChars="200"/>
              <w:rPr>
                <w:color w:val="auto"/>
                <w:sz w:val="24"/>
                <w:szCs w:val="22"/>
                <w:u w:val="single"/>
              </w:rPr>
            </w:pPr>
            <w:r>
              <w:rPr>
                <w:color w:val="auto"/>
                <w:sz w:val="24"/>
                <w:szCs w:val="22"/>
                <w:u w:val="single"/>
              </w:rPr>
              <w:t>加强对项目周围大气和水环境的监测，对油品有无泄漏的情况要及时掌握，防止油品的泄漏对周围大气、土壤、水环境造成危害。按有关规范要求，本项目拟在站内油罐与站房之间设置1座地下水监测井。</w:t>
            </w:r>
          </w:p>
          <w:p w14:paraId="36A94AA6">
            <w:pPr>
              <w:numPr>
                <w:ilvl w:val="0"/>
                <w:numId w:val="5"/>
              </w:numPr>
              <w:tabs>
                <w:tab w:val="left" w:pos="885"/>
              </w:tabs>
              <w:wordWrap w:val="0"/>
              <w:topLinePunct/>
              <w:adjustRightInd w:val="0"/>
              <w:snapToGrid w:val="0"/>
              <w:spacing w:line="360" w:lineRule="auto"/>
              <w:ind w:left="0" w:firstLine="480" w:firstLineChars="200"/>
              <w:rPr>
                <w:color w:val="auto"/>
                <w:sz w:val="24"/>
                <w:szCs w:val="22"/>
                <w:u w:val="single"/>
              </w:rPr>
            </w:pPr>
            <w:r>
              <w:rPr>
                <w:color w:val="auto"/>
                <w:sz w:val="24"/>
                <w:szCs w:val="22"/>
                <w:u w:val="single"/>
              </w:rPr>
              <w:t>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w:t>
            </w:r>
          </w:p>
          <w:p w14:paraId="436AF41C">
            <w:pPr>
              <w:numPr>
                <w:ilvl w:val="0"/>
                <w:numId w:val="5"/>
              </w:numPr>
              <w:tabs>
                <w:tab w:val="left" w:pos="885"/>
              </w:tabs>
              <w:wordWrap w:val="0"/>
              <w:topLinePunct/>
              <w:adjustRightInd w:val="0"/>
              <w:snapToGrid w:val="0"/>
              <w:spacing w:line="360" w:lineRule="auto"/>
              <w:ind w:left="0" w:firstLine="480" w:firstLineChars="200"/>
              <w:rPr>
                <w:color w:val="auto"/>
                <w:sz w:val="24"/>
                <w:szCs w:val="22"/>
                <w:u w:val="single"/>
              </w:rPr>
            </w:pPr>
            <w:r>
              <w:rPr>
                <w:color w:val="auto"/>
                <w:sz w:val="24"/>
                <w:szCs w:val="22"/>
                <w:u w:val="single"/>
              </w:rPr>
              <w:t>做到灭火装置完整有效，一旦发生加油机火灾、爆炸事故时能及时启动，进行灭火，按《汽车加油加气加氢站技术标准》（GB50156-2021）和《建筑设计防火规范》（GB 50016-2014）要求配备必要的消防器材。</w:t>
            </w:r>
          </w:p>
          <w:p w14:paraId="4335D158">
            <w:pPr>
              <w:numPr>
                <w:ilvl w:val="0"/>
                <w:numId w:val="5"/>
              </w:numPr>
              <w:tabs>
                <w:tab w:val="left" w:pos="885"/>
              </w:tabs>
              <w:wordWrap w:val="0"/>
              <w:topLinePunct/>
              <w:adjustRightInd w:val="0"/>
              <w:snapToGrid w:val="0"/>
              <w:spacing w:line="360" w:lineRule="auto"/>
              <w:ind w:left="0" w:firstLine="480" w:firstLineChars="200"/>
              <w:rPr>
                <w:color w:val="auto"/>
                <w:sz w:val="24"/>
                <w:szCs w:val="22"/>
                <w:u w:val="single"/>
              </w:rPr>
            </w:pPr>
            <w:r>
              <w:rPr>
                <w:color w:val="auto"/>
                <w:sz w:val="24"/>
                <w:szCs w:val="22"/>
                <w:u w:val="single"/>
              </w:rPr>
              <w:t>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p w14:paraId="104DA9E5">
            <w:pPr>
              <w:numPr>
                <w:ilvl w:val="0"/>
                <w:numId w:val="5"/>
              </w:numPr>
              <w:tabs>
                <w:tab w:val="left" w:pos="885"/>
              </w:tabs>
              <w:wordWrap w:val="0"/>
              <w:topLinePunct/>
              <w:adjustRightInd w:val="0"/>
              <w:snapToGrid w:val="0"/>
              <w:spacing w:line="360" w:lineRule="auto"/>
              <w:ind w:left="0" w:firstLine="480" w:firstLineChars="200"/>
              <w:rPr>
                <w:sz w:val="24"/>
                <w:szCs w:val="22"/>
                <w:u w:val="single"/>
              </w:rPr>
            </w:pPr>
            <w:r>
              <w:rPr>
                <w:sz w:val="24"/>
                <w:szCs w:val="22"/>
                <w:u w:val="single"/>
              </w:rPr>
              <w:t>加油站应设置醒目的防火、禁止吸烟及明火标志。从业人员应委托专业部门或本部门内培训，经考核合格后上岗，在今后经营过程中根据《加油站作业安全规范》（AQ3010-2007）对本站安全管理要求进行完善。本项目运行过程中存在着火灾、爆炸、油罐溢出、泄漏等风险，建设单位必须严格按照有关规范标准的要求对储罐进行监控和管理，同时做好油品的仓储、运输管理。在严格落实本评价所提出的风险防范措施后，可将项目风险事故发生概率及事故对周围环境影响降至最低。</w:t>
            </w:r>
          </w:p>
          <w:p w14:paraId="6724C105">
            <w:pPr>
              <w:keepNext w:val="0"/>
              <w:keepLines w:val="0"/>
              <w:pageBreakBefore w:val="0"/>
              <w:widowControl w:val="0"/>
              <w:kinsoku/>
              <w:wordWrap w:val="0"/>
              <w:overflowPunct/>
              <w:topLinePunct/>
              <w:autoSpaceDE/>
              <w:autoSpaceDN/>
              <w:bidi w:val="0"/>
              <w:adjustRightInd w:val="0"/>
              <w:snapToGrid w:val="0"/>
              <w:spacing w:line="360" w:lineRule="auto"/>
              <w:textAlignment w:val="auto"/>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10</w:t>
            </w:r>
            <w:r>
              <w:rPr>
                <w:rFonts w:hint="eastAsia" w:ascii="Times New Roman" w:hAnsi="Times New Roman" w:eastAsia="宋体" w:cs="Times New Roman"/>
                <w:b/>
                <w:bCs/>
                <w:kern w:val="2"/>
                <w:sz w:val="24"/>
                <w:szCs w:val="24"/>
                <w:lang w:val="en-US" w:eastAsia="zh-CN" w:bidi="ar-SA"/>
              </w:rPr>
              <w:t xml:space="preserve">.5 </w:t>
            </w:r>
            <w:r>
              <w:rPr>
                <w:rFonts w:ascii="Times New Roman" w:hAnsi="Times New Roman" w:eastAsia="宋体" w:cs="Times New Roman"/>
                <w:b/>
                <w:bCs/>
                <w:kern w:val="2"/>
                <w:sz w:val="24"/>
                <w:szCs w:val="24"/>
                <w:lang w:val="en-US" w:eastAsia="zh-CN" w:bidi="ar-SA"/>
              </w:rPr>
              <w:t>分析结论</w:t>
            </w:r>
          </w:p>
          <w:p w14:paraId="00342304">
            <w:pPr>
              <w:pStyle w:val="29"/>
              <w:spacing w:line="360" w:lineRule="auto"/>
              <w:ind w:firstLine="480" w:firstLineChars="200"/>
              <w:rPr>
                <w:rFonts w:ascii="Times New Roman" w:hAnsi="Times New Roman"/>
                <w:b/>
                <w:bCs/>
                <w:sz w:val="24"/>
              </w:rPr>
            </w:pPr>
            <w:r>
              <w:rPr>
                <w:rFonts w:ascii="Times New Roman" w:hAnsi="Times New Roman"/>
                <w:sz w:val="24"/>
                <w:szCs w:val="22"/>
              </w:rPr>
              <w:t>项目运营过程中必须严格执行国家的技术规范和操作规程要求，落实各项预防措施。在认真落实工程拟采取的事故对策后，本项目环境风险可控，工程的事故对周围影响处于可接受水平。</w:t>
            </w:r>
          </w:p>
          <w:p w14:paraId="5A4A66A0">
            <w:pPr>
              <w:adjustRightInd w:val="0"/>
              <w:snapToGrid w:val="0"/>
              <w:jc w:val="center"/>
              <w:rPr>
                <w:rFonts w:hint="eastAsia"/>
                <w:b/>
                <w:bCs/>
                <w:color w:val="000000"/>
                <w:sz w:val="24"/>
                <w:lang w:bidi="ar"/>
              </w:rPr>
            </w:pPr>
            <w:r>
              <w:rPr>
                <w:rFonts w:hint="eastAsia"/>
                <w:b/>
                <w:bCs/>
                <w:color w:val="000000"/>
                <w:sz w:val="24"/>
                <w:lang w:bidi="ar"/>
              </w:rPr>
              <w:t>表4-2</w:t>
            </w:r>
            <w:r>
              <w:rPr>
                <w:rFonts w:hint="eastAsia"/>
                <w:b/>
                <w:bCs/>
                <w:color w:val="000000"/>
                <w:sz w:val="24"/>
                <w:lang w:val="en-US" w:eastAsia="zh-CN" w:bidi="ar"/>
              </w:rPr>
              <w:t>4</w:t>
            </w:r>
            <w:r>
              <w:rPr>
                <w:rFonts w:hint="eastAsia"/>
                <w:b/>
                <w:bCs/>
                <w:color w:val="000000"/>
                <w:sz w:val="24"/>
                <w:lang w:bidi="ar"/>
              </w:rPr>
              <w:t xml:space="preserve"> 建设项目环境风险简单分析内容表</w:t>
            </w:r>
          </w:p>
          <w:tbl>
            <w:tblPr>
              <w:tblStyle w:val="51"/>
              <w:tblW w:w="4997"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0"/>
              <w:gridCol w:w="1066"/>
              <w:gridCol w:w="2642"/>
              <w:gridCol w:w="2812"/>
            </w:tblGrid>
            <w:tr w14:paraId="525EC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noWrap w:val="0"/>
                  <w:vAlign w:val="center"/>
                </w:tcPr>
                <w:p w14:paraId="36642C29">
                  <w:pPr>
                    <w:adjustRightInd w:val="0"/>
                    <w:snapToGrid w:val="0"/>
                    <w:jc w:val="center"/>
                    <w:rPr>
                      <w:szCs w:val="21"/>
                    </w:rPr>
                  </w:pPr>
                  <w:r>
                    <w:rPr>
                      <w:szCs w:val="21"/>
                    </w:rPr>
                    <w:t>建设项目名称</w:t>
                  </w:r>
                </w:p>
              </w:tc>
              <w:tc>
                <w:tcPr>
                  <w:tcW w:w="3839" w:type="pct"/>
                  <w:gridSpan w:val="3"/>
                  <w:noWrap w:val="0"/>
                  <w:vAlign w:val="center"/>
                </w:tcPr>
                <w:p w14:paraId="56AD3886">
                  <w:pPr>
                    <w:adjustRightInd w:val="0"/>
                    <w:snapToGrid w:val="0"/>
                    <w:jc w:val="center"/>
                    <w:rPr>
                      <w:rFonts w:hint="eastAsia"/>
                      <w:szCs w:val="21"/>
                    </w:rPr>
                  </w:pPr>
                  <w:r>
                    <w:rPr>
                      <w:rFonts w:hint="eastAsia"/>
                      <w:szCs w:val="21"/>
                    </w:rPr>
                    <w:t>祁阳市绕城公路加油站项目</w:t>
                  </w:r>
                </w:p>
              </w:tc>
            </w:tr>
            <w:tr w14:paraId="585FA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noWrap w:val="0"/>
                  <w:vAlign w:val="center"/>
                </w:tcPr>
                <w:p w14:paraId="6DFB2EFD">
                  <w:pPr>
                    <w:adjustRightInd w:val="0"/>
                    <w:snapToGrid w:val="0"/>
                    <w:jc w:val="center"/>
                    <w:rPr>
                      <w:szCs w:val="21"/>
                    </w:rPr>
                  </w:pPr>
                  <w:r>
                    <w:rPr>
                      <w:szCs w:val="21"/>
                    </w:rPr>
                    <w:t>建设地点</w:t>
                  </w:r>
                </w:p>
              </w:tc>
              <w:tc>
                <w:tcPr>
                  <w:tcW w:w="3839" w:type="pct"/>
                  <w:gridSpan w:val="3"/>
                  <w:noWrap w:val="0"/>
                  <w:vAlign w:val="center"/>
                </w:tcPr>
                <w:p w14:paraId="3AC01706">
                  <w:pPr>
                    <w:adjustRightInd w:val="0"/>
                    <w:snapToGrid w:val="0"/>
                    <w:jc w:val="center"/>
                    <w:rPr>
                      <w:rFonts w:hint="eastAsia"/>
                      <w:szCs w:val="21"/>
                    </w:rPr>
                  </w:pPr>
                  <w:r>
                    <w:rPr>
                      <w:rFonts w:hint="eastAsia"/>
                      <w:szCs w:val="21"/>
                    </w:rPr>
                    <w:t>永州市祁阳市祁阳大道铁路涵桥以北东侧</w:t>
                  </w:r>
                </w:p>
              </w:tc>
            </w:tr>
            <w:tr w14:paraId="4E82C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noWrap w:val="0"/>
                  <w:vAlign w:val="center"/>
                </w:tcPr>
                <w:p w14:paraId="4CEB9310">
                  <w:pPr>
                    <w:adjustRightInd w:val="0"/>
                    <w:snapToGrid w:val="0"/>
                    <w:jc w:val="center"/>
                    <w:rPr>
                      <w:szCs w:val="21"/>
                    </w:rPr>
                  </w:pPr>
                  <w:r>
                    <w:rPr>
                      <w:szCs w:val="21"/>
                    </w:rPr>
                    <w:t>地理坐标</w:t>
                  </w:r>
                </w:p>
              </w:tc>
              <w:tc>
                <w:tcPr>
                  <w:tcW w:w="3839" w:type="pct"/>
                  <w:gridSpan w:val="3"/>
                  <w:noWrap w:val="0"/>
                  <w:vAlign w:val="center"/>
                </w:tcPr>
                <w:p w14:paraId="11AFD3CA">
                  <w:pPr>
                    <w:adjustRightInd w:val="0"/>
                    <w:snapToGrid w:val="0"/>
                    <w:jc w:val="center"/>
                    <w:rPr>
                      <w:szCs w:val="21"/>
                    </w:rPr>
                  </w:pPr>
                  <w:r>
                    <w:rPr>
                      <w:rFonts w:hint="eastAsia"/>
                      <w:szCs w:val="21"/>
                    </w:rPr>
                    <w:t>东经110°3′45.606″，北纬27°35′12.373″</w:t>
                  </w:r>
                </w:p>
              </w:tc>
            </w:tr>
            <w:tr w14:paraId="6517E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vMerge w:val="restart"/>
                  <w:noWrap w:val="0"/>
                  <w:vAlign w:val="center"/>
                </w:tcPr>
                <w:p w14:paraId="5C6F2B91">
                  <w:pPr>
                    <w:adjustRightInd w:val="0"/>
                    <w:snapToGrid w:val="0"/>
                    <w:jc w:val="center"/>
                    <w:rPr>
                      <w:szCs w:val="21"/>
                    </w:rPr>
                  </w:pPr>
                  <w:r>
                    <w:rPr>
                      <w:szCs w:val="21"/>
                    </w:rPr>
                    <w:t>主要危险物质及分布</w:t>
                  </w:r>
                </w:p>
              </w:tc>
              <w:tc>
                <w:tcPr>
                  <w:tcW w:w="628" w:type="pct"/>
                  <w:noWrap w:val="0"/>
                  <w:vAlign w:val="center"/>
                </w:tcPr>
                <w:p w14:paraId="2C8B577F">
                  <w:pPr>
                    <w:adjustRightInd w:val="0"/>
                    <w:snapToGrid w:val="0"/>
                    <w:jc w:val="center"/>
                    <w:rPr>
                      <w:szCs w:val="21"/>
                    </w:rPr>
                  </w:pPr>
                  <w:r>
                    <w:rPr>
                      <w:szCs w:val="21"/>
                    </w:rPr>
                    <w:t>序号</w:t>
                  </w:r>
                </w:p>
              </w:tc>
              <w:tc>
                <w:tcPr>
                  <w:tcW w:w="1556" w:type="pct"/>
                  <w:noWrap w:val="0"/>
                  <w:vAlign w:val="center"/>
                </w:tcPr>
                <w:p w14:paraId="493C4F12">
                  <w:pPr>
                    <w:adjustRightInd w:val="0"/>
                    <w:snapToGrid w:val="0"/>
                    <w:jc w:val="center"/>
                    <w:rPr>
                      <w:szCs w:val="21"/>
                    </w:rPr>
                  </w:pPr>
                  <w:r>
                    <w:rPr>
                      <w:bCs/>
                      <w:szCs w:val="21"/>
                    </w:rPr>
                    <w:t>物料名称</w:t>
                  </w:r>
                </w:p>
              </w:tc>
              <w:tc>
                <w:tcPr>
                  <w:tcW w:w="1654" w:type="pct"/>
                  <w:noWrap w:val="0"/>
                  <w:vAlign w:val="center"/>
                </w:tcPr>
                <w:p w14:paraId="04C570B1">
                  <w:pPr>
                    <w:adjustRightInd w:val="0"/>
                    <w:snapToGrid w:val="0"/>
                    <w:jc w:val="center"/>
                    <w:rPr>
                      <w:szCs w:val="21"/>
                    </w:rPr>
                  </w:pPr>
                  <w:r>
                    <w:rPr>
                      <w:bCs/>
                      <w:szCs w:val="21"/>
                    </w:rPr>
                    <w:t>危险物质分布</w:t>
                  </w:r>
                </w:p>
              </w:tc>
            </w:tr>
            <w:tr w14:paraId="4384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vMerge w:val="continue"/>
                  <w:noWrap w:val="0"/>
                  <w:vAlign w:val="center"/>
                </w:tcPr>
                <w:p w14:paraId="2B8EE7E8">
                  <w:pPr>
                    <w:adjustRightInd w:val="0"/>
                    <w:snapToGrid w:val="0"/>
                    <w:jc w:val="center"/>
                    <w:rPr>
                      <w:szCs w:val="21"/>
                    </w:rPr>
                  </w:pPr>
                </w:p>
              </w:tc>
              <w:tc>
                <w:tcPr>
                  <w:tcW w:w="628" w:type="pct"/>
                  <w:noWrap w:val="0"/>
                  <w:vAlign w:val="center"/>
                </w:tcPr>
                <w:p w14:paraId="551A87F7">
                  <w:pPr>
                    <w:adjustRightInd w:val="0"/>
                    <w:snapToGrid w:val="0"/>
                    <w:jc w:val="center"/>
                    <w:rPr>
                      <w:szCs w:val="21"/>
                    </w:rPr>
                  </w:pPr>
                  <w:r>
                    <w:rPr>
                      <w:szCs w:val="21"/>
                    </w:rPr>
                    <w:t>1</w:t>
                  </w:r>
                </w:p>
              </w:tc>
              <w:tc>
                <w:tcPr>
                  <w:tcW w:w="1556" w:type="pct"/>
                  <w:noWrap w:val="0"/>
                  <w:vAlign w:val="center"/>
                </w:tcPr>
                <w:p w14:paraId="6478286C">
                  <w:pPr>
                    <w:jc w:val="center"/>
                    <w:rPr>
                      <w:rFonts w:hint="eastAsia" w:eastAsia="宋体"/>
                      <w:szCs w:val="21"/>
                      <w:lang w:val="en-US" w:eastAsia="zh-CN"/>
                    </w:rPr>
                  </w:pPr>
                  <w:r>
                    <w:rPr>
                      <w:rFonts w:hint="eastAsia"/>
                      <w:szCs w:val="21"/>
                      <w:lang w:val="en-US" w:eastAsia="zh-CN"/>
                    </w:rPr>
                    <w:t>柴油</w:t>
                  </w:r>
                </w:p>
              </w:tc>
              <w:tc>
                <w:tcPr>
                  <w:tcW w:w="1654" w:type="pct"/>
                  <w:noWrap w:val="0"/>
                  <w:vAlign w:val="center"/>
                </w:tcPr>
                <w:p w14:paraId="46F86D22">
                  <w:pPr>
                    <w:pStyle w:val="349"/>
                    <w:rPr>
                      <w:rFonts w:hint="default" w:eastAsia="宋体"/>
                      <w:szCs w:val="21"/>
                      <w:lang w:val="en-US" w:eastAsia="zh-CN"/>
                    </w:rPr>
                  </w:pPr>
                  <w:r>
                    <w:rPr>
                      <w:rFonts w:hint="eastAsia"/>
                      <w:szCs w:val="21"/>
                      <w:lang w:val="en-US" w:eastAsia="zh-CN"/>
                    </w:rPr>
                    <w:t>柴油储罐</w:t>
                  </w:r>
                </w:p>
              </w:tc>
            </w:tr>
            <w:tr w14:paraId="55FFA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vMerge w:val="continue"/>
                  <w:noWrap w:val="0"/>
                  <w:vAlign w:val="center"/>
                </w:tcPr>
                <w:p w14:paraId="568E8E29">
                  <w:pPr>
                    <w:adjustRightInd w:val="0"/>
                    <w:snapToGrid w:val="0"/>
                    <w:jc w:val="center"/>
                    <w:rPr>
                      <w:szCs w:val="21"/>
                    </w:rPr>
                  </w:pPr>
                </w:p>
              </w:tc>
              <w:tc>
                <w:tcPr>
                  <w:tcW w:w="628" w:type="pct"/>
                  <w:noWrap w:val="0"/>
                  <w:vAlign w:val="center"/>
                </w:tcPr>
                <w:p w14:paraId="6EBD986B">
                  <w:pPr>
                    <w:adjustRightInd w:val="0"/>
                    <w:snapToGrid w:val="0"/>
                    <w:jc w:val="center"/>
                    <w:rPr>
                      <w:rFonts w:hint="eastAsia" w:eastAsia="宋体"/>
                      <w:szCs w:val="21"/>
                      <w:lang w:eastAsia="zh-CN"/>
                    </w:rPr>
                  </w:pPr>
                  <w:r>
                    <w:rPr>
                      <w:rFonts w:hint="eastAsia"/>
                      <w:szCs w:val="21"/>
                      <w:lang w:val="en-US" w:eastAsia="zh-CN"/>
                    </w:rPr>
                    <w:t>2</w:t>
                  </w:r>
                </w:p>
              </w:tc>
              <w:tc>
                <w:tcPr>
                  <w:tcW w:w="1556" w:type="pct"/>
                  <w:noWrap w:val="0"/>
                  <w:vAlign w:val="center"/>
                </w:tcPr>
                <w:p w14:paraId="521780C3">
                  <w:pPr>
                    <w:widowControl/>
                    <w:jc w:val="center"/>
                    <w:rPr>
                      <w:rFonts w:hint="default" w:eastAsia="宋体"/>
                      <w:bCs/>
                      <w:szCs w:val="21"/>
                      <w:lang w:val="en-US" w:eastAsia="zh-CN"/>
                    </w:rPr>
                  </w:pPr>
                  <w:r>
                    <w:rPr>
                      <w:rFonts w:hint="eastAsia"/>
                      <w:bCs/>
                      <w:szCs w:val="21"/>
                      <w:lang w:val="en-US" w:eastAsia="zh-CN"/>
                    </w:rPr>
                    <w:t>汽油</w:t>
                  </w:r>
                </w:p>
              </w:tc>
              <w:tc>
                <w:tcPr>
                  <w:tcW w:w="1654" w:type="pct"/>
                  <w:noWrap w:val="0"/>
                  <w:vAlign w:val="center"/>
                </w:tcPr>
                <w:p w14:paraId="27A8F451">
                  <w:pPr>
                    <w:jc w:val="center"/>
                    <w:rPr>
                      <w:rFonts w:hint="default" w:eastAsia="宋体"/>
                      <w:bCs/>
                      <w:szCs w:val="21"/>
                      <w:lang w:val="en-US" w:eastAsia="zh-CN"/>
                    </w:rPr>
                  </w:pPr>
                  <w:r>
                    <w:rPr>
                      <w:rFonts w:hint="eastAsia"/>
                      <w:bCs/>
                      <w:szCs w:val="21"/>
                      <w:lang w:val="en-US" w:eastAsia="zh-CN"/>
                    </w:rPr>
                    <w:t>汽油储罐</w:t>
                  </w:r>
                </w:p>
              </w:tc>
            </w:tr>
            <w:tr w14:paraId="12572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vMerge w:val="continue"/>
                  <w:noWrap w:val="0"/>
                  <w:vAlign w:val="center"/>
                </w:tcPr>
                <w:p w14:paraId="10FA8B6C">
                  <w:pPr>
                    <w:adjustRightInd w:val="0"/>
                    <w:snapToGrid w:val="0"/>
                    <w:jc w:val="center"/>
                    <w:rPr>
                      <w:szCs w:val="21"/>
                    </w:rPr>
                  </w:pPr>
                </w:p>
              </w:tc>
              <w:tc>
                <w:tcPr>
                  <w:tcW w:w="628" w:type="pct"/>
                  <w:noWrap w:val="0"/>
                  <w:vAlign w:val="center"/>
                </w:tcPr>
                <w:p w14:paraId="693DAE9F">
                  <w:pPr>
                    <w:adjustRightInd w:val="0"/>
                    <w:snapToGrid w:val="0"/>
                    <w:jc w:val="center"/>
                    <w:rPr>
                      <w:rFonts w:hint="eastAsia" w:eastAsia="宋体"/>
                      <w:szCs w:val="21"/>
                      <w:lang w:eastAsia="zh-CN"/>
                    </w:rPr>
                  </w:pPr>
                  <w:r>
                    <w:rPr>
                      <w:rFonts w:hint="eastAsia"/>
                      <w:szCs w:val="21"/>
                      <w:lang w:val="en-US" w:eastAsia="zh-CN"/>
                    </w:rPr>
                    <w:t>3</w:t>
                  </w:r>
                </w:p>
              </w:tc>
              <w:tc>
                <w:tcPr>
                  <w:tcW w:w="1556" w:type="pct"/>
                  <w:noWrap w:val="0"/>
                  <w:vAlign w:val="center"/>
                </w:tcPr>
                <w:p w14:paraId="151AD104">
                  <w:pPr>
                    <w:widowControl/>
                    <w:jc w:val="center"/>
                    <w:rPr>
                      <w:rFonts w:hint="eastAsia"/>
                      <w:bCs/>
                      <w:szCs w:val="21"/>
                    </w:rPr>
                  </w:pPr>
                  <w:r>
                    <w:rPr>
                      <w:rFonts w:hint="eastAsia"/>
                      <w:bCs/>
                      <w:szCs w:val="21"/>
                    </w:rPr>
                    <w:t>危险废物</w:t>
                  </w:r>
                </w:p>
              </w:tc>
              <w:tc>
                <w:tcPr>
                  <w:tcW w:w="1654" w:type="pct"/>
                  <w:noWrap w:val="0"/>
                  <w:vAlign w:val="center"/>
                </w:tcPr>
                <w:p w14:paraId="5C2ABBD2">
                  <w:pPr>
                    <w:pStyle w:val="349"/>
                    <w:rPr>
                      <w:rFonts w:hint="eastAsia"/>
                      <w:szCs w:val="21"/>
                    </w:rPr>
                  </w:pPr>
                  <w:r>
                    <w:rPr>
                      <w:rFonts w:hint="eastAsia"/>
                      <w:szCs w:val="21"/>
                    </w:rPr>
                    <w:t>危废暂存间</w:t>
                  </w:r>
                </w:p>
              </w:tc>
            </w:tr>
            <w:tr w14:paraId="43427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1160" w:type="pct"/>
                  <w:noWrap w:val="0"/>
                  <w:vAlign w:val="center"/>
                </w:tcPr>
                <w:p w14:paraId="3CF39EF2">
                  <w:pPr>
                    <w:adjustRightInd w:val="0"/>
                    <w:snapToGrid w:val="0"/>
                    <w:jc w:val="center"/>
                    <w:rPr>
                      <w:szCs w:val="21"/>
                    </w:rPr>
                  </w:pPr>
                  <w:r>
                    <w:rPr>
                      <w:szCs w:val="21"/>
                    </w:rPr>
                    <w:t>环境影响途径及危害后果（大气、地表水、地下水等）</w:t>
                  </w:r>
                </w:p>
              </w:tc>
              <w:tc>
                <w:tcPr>
                  <w:tcW w:w="3839" w:type="pct"/>
                  <w:gridSpan w:val="3"/>
                  <w:noWrap w:val="0"/>
                  <w:vAlign w:val="center"/>
                </w:tcPr>
                <w:p w14:paraId="08F21B47">
                  <w:pPr>
                    <w:adjustRightInd w:val="0"/>
                    <w:snapToGrid w:val="0"/>
                    <w:rPr>
                      <w:rFonts w:hint="eastAsia"/>
                      <w:szCs w:val="21"/>
                      <w:lang w:val="en-US" w:eastAsia="zh-CN"/>
                    </w:rPr>
                  </w:pPr>
                  <w:r>
                    <w:rPr>
                      <w:rFonts w:hint="eastAsia"/>
                      <w:szCs w:val="21"/>
                      <w:lang w:val="en-US" w:eastAsia="zh-CN"/>
                    </w:rPr>
                    <w:t>①储罐区：储罐是加油站最容易发生事故的场所，如油罐泄漏遇雷击或静电闪火引燃引起爆炸；②加油棚：加油棚为各种机动车辆加油的场所。由于汽车尾气带火星、加油过满溢出、加油机漏油、加油机防爆电气故障等原因，容易引发火灾爆炸事故；③卸油作业点：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tc>
            </w:tr>
            <w:tr w14:paraId="6F44F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60" w:type="pct"/>
                  <w:noWrap w:val="0"/>
                  <w:vAlign w:val="center"/>
                </w:tcPr>
                <w:p w14:paraId="2B8DADD3">
                  <w:pPr>
                    <w:adjustRightInd w:val="0"/>
                    <w:snapToGrid w:val="0"/>
                    <w:jc w:val="center"/>
                    <w:rPr>
                      <w:szCs w:val="21"/>
                    </w:rPr>
                  </w:pPr>
                  <w:r>
                    <w:rPr>
                      <w:szCs w:val="21"/>
                    </w:rPr>
                    <w:t>风险防范措施</w:t>
                  </w:r>
                </w:p>
                <w:p w14:paraId="657FCEA2">
                  <w:pPr>
                    <w:adjustRightInd w:val="0"/>
                    <w:snapToGrid w:val="0"/>
                    <w:jc w:val="center"/>
                    <w:rPr>
                      <w:szCs w:val="21"/>
                    </w:rPr>
                  </w:pPr>
                  <w:r>
                    <w:rPr>
                      <w:szCs w:val="21"/>
                    </w:rPr>
                    <w:t>要求</w:t>
                  </w:r>
                </w:p>
              </w:tc>
              <w:tc>
                <w:tcPr>
                  <w:tcW w:w="3839" w:type="pct"/>
                  <w:gridSpan w:val="3"/>
                  <w:noWrap w:val="0"/>
                  <w:vAlign w:val="center"/>
                </w:tcPr>
                <w:p w14:paraId="0651512A">
                  <w:pPr>
                    <w:adjustRightInd w:val="0"/>
                    <w:snapToGrid w:val="0"/>
                    <w:rPr>
                      <w:rFonts w:hint="default"/>
                      <w:szCs w:val="21"/>
                      <w:lang w:val="en-US" w:eastAsia="zh-CN"/>
                    </w:rPr>
                  </w:pPr>
                  <w:r>
                    <w:rPr>
                      <w:rFonts w:hint="eastAsia"/>
                      <w:szCs w:val="21"/>
                    </w:rPr>
                    <w:t>①严格按照《汽车机油加气站设计与施工规范》（GB50156-2012）进行了设计与施工②双层油罐夹层设置渗漏检测系统，含检测仪、报警系统等，发现泄漏及时采取措施。③油罐底板采用50cm厚的钢筋混凝土硬化，再将油罐固定于底板上，并在油罐与油罐之间填充干净的细砂</w:t>
                  </w:r>
                  <w:r>
                    <w:rPr>
                      <w:rFonts w:hint="eastAsia"/>
                      <w:szCs w:val="21"/>
                      <w:lang w:eastAsia="zh-CN"/>
                    </w:rPr>
                    <w:t>。</w:t>
                  </w:r>
                  <w:r>
                    <w:rPr>
                      <w:rFonts w:hint="eastAsia"/>
                      <w:szCs w:val="21"/>
                      <w:lang w:val="en-US" w:eastAsia="zh-CN"/>
                    </w:rPr>
                    <w:t>④4、装设高液位自动监测系统，具有油罐渗漏的监测功能和高液位的警报功能，及时掌握油罐情况，如果发生泄漏能够及时发现，及时采取措施。</w:t>
                  </w:r>
                  <w:r>
                    <w:rPr>
                      <w:rFonts w:hint="eastAsia"/>
                      <w:szCs w:val="21"/>
                    </w:rPr>
                    <w:t>⑤加强对项目周围大气和水环境的监测，对油品有无泄漏的情况要及时掌握，防止油品的泄漏对周围大气、土壤、水环境造成危害。按有关规范要求，本项目拟在站内油罐与站房之间设置1座地下水监测井⑥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⑦按《汽车加油加气加氢站技术标准》（GB50156-2021）和《建筑设计防火规范》（GB 50016-2014）要求配备必要的消防器材⑧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tc>
            </w:tr>
            <w:tr w14:paraId="409E0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000" w:type="pct"/>
                  <w:gridSpan w:val="4"/>
                  <w:noWrap w:val="0"/>
                  <w:vAlign w:val="center"/>
                </w:tcPr>
                <w:p w14:paraId="4E6416DD">
                  <w:pPr>
                    <w:adjustRightInd w:val="0"/>
                    <w:snapToGrid w:val="0"/>
                    <w:rPr>
                      <w:szCs w:val="21"/>
                    </w:rPr>
                  </w:pPr>
                  <w:r>
                    <w:rPr>
                      <w:szCs w:val="21"/>
                    </w:rPr>
                    <w:t>填表说明（列出项目相关信息及评价说明）：</w:t>
                  </w:r>
                </w:p>
                <w:p w14:paraId="32FEA713">
                  <w:pPr>
                    <w:adjustRightInd w:val="0"/>
                    <w:snapToGrid w:val="0"/>
                    <w:rPr>
                      <w:szCs w:val="21"/>
                    </w:rPr>
                  </w:pPr>
                  <w:r>
                    <w:rPr>
                      <w:szCs w:val="21"/>
                    </w:rPr>
                    <w:t>危险物质数量与临界量比值Q＜1，该项目环境风险潜势为Ⅰ。</w:t>
                  </w:r>
                </w:p>
              </w:tc>
            </w:tr>
          </w:tbl>
          <w:p w14:paraId="1A58A5AF">
            <w:pPr>
              <w:keepNext w:val="0"/>
              <w:keepLines w:val="0"/>
              <w:pageBreakBefore w:val="0"/>
              <w:widowControl w:val="0"/>
              <w:kinsoku/>
              <w:wordWrap w:val="0"/>
              <w:overflowPunct/>
              <w:topLinePunct/>
              <w:autoSpaceDE/>
              <w:autoSpaceDN/>
              <w:bidi w:val="0"/>
              <w:adjustRightInd w:val="0"/>
              <w:snapToGrid w:val="0"/>
              <w:spacing w:line="360" w:lineRule="auto"/>
              <w:textAlignment w:val="auto"/>
              <w:rPr>
                <w:rFonts w:ascii="Times New Roman" w:hAnsi="Times New Roman"/>
                <w:b/>
                <w:bCs/>
                <w:sz w:val="24"/>
              </w:rPr>
            </w:pPr>
            <w:r>
              <w:rPr>
                <w:rFonts w:hint="eastAsia" w:ascii="Times New Roman" w:hAnsi="Times New Roman" w:eastAsia="宋体" w:cs="Times New Roman"/>
                <w:b/>
                <w:bCs/>
                <w:kern w:val="2"/>
                <w:sz w:val="24"/>
                <w:szCs w:val="24"/>
                <w:lang w:val="en-US" w:eastAsia="zh-CN" w:bidi="ar-SA"/>
              </w:rPr>
              <w:t>4.</w:t>
            </w:r>
            <w:r>
              <w:rPr>
                <w:rFonts w:hint="eastAsia" w:cs="Times New Roman"/>
                <w:b/>
                <w:bCs/>
                <w:kern w:val="2"/>
                <w:sz w:val="24"/>
                <w:szCs w:val="24"/>
                <w:lang w:val="en-US" w:eastAsia="zh-CN" w:bidi="ar-SA"/>
              </w:rPr>
              <w:t xml:space="preserve">11 </w:t>
            </w:r>
            <w:r>
              <w:rPr>
                <w:rFonts w:ascii="Times New Roman" w:hAnsi="Times New Roman"/>
                <w:b/>
                <w:bCs/>
                <w:sz w:val="24"/>
              </w:rPr>
              <w:t>项目环境保护投资估算</w:t>
            </w:r>
          </w:p>
          <w:p w14:paraId="2CF4E6EB">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Cs/>
                <w:color w:val="auto"/>
                <w:sz w:val="24"/>
                <w:u w:val="single"/>
                <w:lang w:val="en-US" w:eastAsia="zh-CN"/>
              </w:rPr>
            </w:pPr>
            <w:r>
              <w:rPr>
                <w:rFonts w:ascii="Times New Roman" w:hAnsi="Times New Roman"/>
                <w:bCs/>
                <w:color w:val="auto"/>
                <w:sz w:val="24"/>
                <w:u w:val="single"/>
              </w:rPr>
              <w:t>本项目总投资</w:t>
            </w:r>
            <w:r>
              <w:rPr>
                <w:rFonts w:hint="eastAsia" w:ascii="Times New Roman" w:hAnsi="Times New Roman"/>
                <w:bCs/>
                <w:color w:val="auto"/>
                <w:sz w:val="24"/>
                <w:u w:val="single"/>
                <w:lang w:val="en-US" w:eastAsia="zh-CN"/>
              </w:rPr>
              <w:t>4000</w:t>
            </w:r>
            <w:r>
              <w:rPr>
                <w:rFonts w:ascii="Times New Roman" w:hAnsi="Times New Roman"/>
                <w:bCs/>
                <w:color w:val="auto"/>
                <w:sz w:val="24"/>
                <w:u w:val="single"/>
              </w:rPr>
              <w:t>万元，其中环保投资</w:t>
            </w:r>
            <w:r>
              <w:rPr>
                <w:rFonts w:hint="eastAsia" w:ascii="Times New Roman" w:hAnsi="Times New Roman"/>
                <w:bCs/>
                <w:color w:val="auto"/>
                <w:sz w:val="24"/>
                <w:u w:val="single"/>
                <w:lang w:val="en-US" w:eastAsia="zh-CN"/>
              </w:rPr>
              <w:t>154</w:t>
            </w:r>
            <w:r>
              <w:rPr>
                <w:rFonts w:ascii="Times New Roman" w:hAnsi="Times New Roman"/>
                <w:bCs/>
                <w:color w:val="auto"/>
                <w:sz w:val="24"/>
                <w:u w:val="single"/>
              </w:rPr>
              <w:t>万元，环保投资占总投资比例</w:t>
            </w:r>
            <w:r>
              <w:rPr>
                <w:rFonts w:hint="eastAsia" w:ascii="Times New Roman" w:hAnsi="Times New Roman"/>
                <w:bCs/>
                <w:color w:val="auto"/>
                <w:sz w:val="24"/>
                <w:u w:val="single"/>
                <w:lang w:val="en-US" w:eastAsia="zh-CN"/>
              </w:rPr>
              <w:t>3.85</w:t>
            </w:r>
            <w:r>
              <w:rPr>
                <w:rFonts w:ascii="Times New Roman" w:hAnsi="Times New Roman"/>
                <w:bCs/>
                <w:color w:val="auto"/>
                <w:sz w:val="24"/>
                <w:u w:val="single"/>
              </w:rPr>
              <w:t>%</w:t>
            </w:r>
            <w:r>
              <w:rPr>
                <w:rFonts w:hint="eastAsia" w:ascii="Times New Roman" w:hAnsi="Times New Roman"/>
                <w:bCs/>
                <w:color w:val="auto"/>
                <w:sz w:val="24"/>
                <w:u w:val="single"/>
                <w:lang w:eastAsia="zh-CN"/>
              </w:rPr>
              <w:t>，</w:t>
            </w:r>
            <w:r>
              <w:rPr>
                <w:rFonts w:ascii="Times New Roman" w:hAnsi="Times New Roman"/>
                <w:bCs/>
                <w:color w:val="auto"/>
                <w:sz w:val="24"/>
                <w:u w:val="single"/>
              </w:rPr>
              <w:t>项目环保设施及投资估算详见下表</w:t>
            </w:r>
            <w:r>
              <w:rPr>
                <w:rFonts w:hint="eastAsia" w:ascii="Times New Roman" w:hAnsi="Times New Roman"/>
                <w:bCs/>
                <w:color w:val="auto"/>
                <w:sz w:val="24"/>
                <w:u w:val="single"/>
                <w:lang w:eastAsia="zh-CN"/>
              </w:rPr>
              <w:t>：</w:t>
            </w:r>
          </w:p>
          <w:p w14:paraId="3C4DE274">
            <w:pPr>
              <w:pStyle w:val="29"/>
              <w:adjustRightInd w:val="0"/>
              <w:snapToGrid w:val="0"/>
              <w:ind w:firstLine="482" w:firstLineChars="200"/>
              <w:jc w:val="center"/>
              <w:rPr>
                <w:rFonts w:ascii="Times New Roman" w:hAnsi="Times New Roman"/>
                <w:b/>
                <w:bCs/>
                <w:color w:val="auto"/>
                <w:sz w:val="24"/>
                <w:szCs w:val="24"/>
                <w:u w:val="single"/>
              </w:rPr>
            </w:pPr>
            <w:r>
              <w:rPr>
                <w:rFonts w:ascii="Times New Roman" w:hAnsi="Times New Roman"/>
                <w:b/>
                <w:bCs/>
                <w:color w:val="auto"/>
                <w:sz w:val="24"/>
                <w:szCs w:val="24"/>
                <w:u w:val="single"/>
              </w:rPr>
              <w:t>表4-2</w:t>
            </w:r>
            <w:r>
              <w:rPr>
                <w:rFonts w:hint="eastAsia" w:ascii="Times New Roman" w:hAnsi="Times New Roman"/>
                <w:b/>
                <w:bCs/>
                <w:color w:val="auto"/>
                <w:sz w:val="24"/>
                <w:szCs w:val="24"/>
                <w:u w:val="single"/>
                <w:lang w:val="en-US" w:eastAsia="zh-CN"/>
              </w:rPr>
              <w:t>5</w:t>
            </w:r>
            <w:r>
              <w:rPr>
                <w:rFonts w:ascii="Times New Roman" w:hAnsi="Times New Roman"/>
                <w:b/>
                <w:bCs/>
                <w:color w:val="auto"/>
                <w:sz w:val="24"/>
                <w:szCs w:val="24"/>
                <w:u w:val="single"/>
              </w:rPr>
              <w:t xml:space="preserve"> 环保投资估算表 单位：</w:t>
            </w:r>
            <w:r>
              <w:rPr>
                <w:rFonts w:ascii="Times New Roman" w:hAnsi="Times New Roman"/>
                <w:b/>
                <w:color w:val="auto"/>
                <w:sz w:val="24"/>
                <w:szCs w:val="24"/>
                <w:u w:val="single"/>
              </w:rPr>
              <w:t>万元</w:t>
            </w:r>
          </w:p>
          <w:tbl>
            <w:tblPr>
              <w:tblStyle w:val="5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0"/>
              <w:gridCol w:w="651"/>
              <w:gridCol w:w="1043"/>
              <w:gridCol w:w="2351"/>
              <w:gridCol w:w="2314"/>
              <w:gridCol w:w="664"/>
              <w:gridCol w:w="829"/>
            </w:tblGrid>
            <w:tr w14:paraId="6595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Align w:val="center"/>
                </w:tcPr>
                <w:p w14:paraId="7DF86CA6">
                  <w:pPr>
                    <w:wordWrap w:val="0"/>
                    <w:topLinePunct/>
                    <w:adjustRightInd w:val="0"/>
                    <w:snapToGrid w:val="0"/>
                    <w:jc w:val="center"/>
                    <w:rPr>
                      <w:b/>
                      <w:bCs/>
                      <w:color w:val="auto"/>
                      <w:szCs w:val="21"/>
                      <w:u w:val="single"/>
                    </w:rPr>
                  </w:pPr>
                  <w:r>
                    <w:rPr>
                      <w:b/>
                      <w:bCs/>
                      <w:color w:val="auto"/>
                      <w:szCs w:val="21"/>
                      <w:u w:val="single"/>
                    </w:rPr>
                    <w:t>阶段</w:t>
                  </w:r>
                </w:p>
              </w:tc>
              <w:tc>
                <w:tcPr>
                  <w:tcW w:w="383" w:type="pct"/>
                  <w:vAlign w:val="center"/>
                </w:tcPr>
                <w:p w14:paraId="32B32EB5">
                  <w:pPr>
                    <w:wordWrap w:val="0"/>
                    <w:topLinePunct/>
                    <w:adjustRightInd w:val="0"/>
                    <w:snapToGrid w:val="0"/>
                    <w:jc w:val="center"/>
                    <w:rPr>
                      <w:b/>
                      <w:bCs/>
                      <w:color w:val="auto"/>
                      <w:szCs w:val="21"/>
                      <w:u w:val="single"/>
                    </w:rPr>
                  </w:pPr>
                  <w:r>
                    <w:rPr>
                      <w:b/>
                      <w:bCs/>
                      <w:color w:val="auto"/>
                      <w:szCs w:val="21"/>
                      <w:u w:val="single"/>
                    </w:rPr>
                    <w:t>类别</w:t>
                  </w:r>
                </w:p>
              </w:tc>
              <w:tc>
                <w:tcPr>
                  <w:tcW w:w="614" w:type="pct"/>
                  <w:vAlign w:val="center"/>
                </w:tcPr>
                <w:p w14:paraId="0ADC01B9">
                  <w:pPr>
                    <w:wordWrap w:val="0"/>
                    <w:topLinePunct/>
                    <w:adjustRightInd w:val="0"/>
                    <w:snapToGrid w:val="0"/>
                    <w:jc w:val="center"/>
                    <w:rPr>
                      <w:b/>
                      <w:bCs/>
                      <w:color w:val="auto"/>
                      <w:szCs w:val="21"/>
                      <w:u w:val="single"/>
                    </w:rPr>
                  </w:pPr>
                  <w:r>
                    <w:rPr>
                      <w:b/>
                      <w:bCs/>
                      <w:color w:val="auto"/>
                      <w:szCs w:val="21"/>
                      <w:u w:val="single"/>
                    </w:rPr>
                    <w:t>产污环节</w:t>
                  </w:r>
                </w:p>
              </w:tc>
              <w:tc>
                <w:tcPr>
                  <w:tcW w:w="1384" w:type="pct"/>
                  <w:vAlign w:val="center"/>
                </w:tcPr>
                <w:p w14:paraId="4CC70FC8">
                  <w:pPr>
                    <w:wordWrap w:val="0"/>
                    <w:topLinePunct/>
                    <w:adjustRightInd w:val="0"/>
                    <w:snapToGrid w:val="0"/>
                    <w:jc w:val="center"/>
                    <w:rPr>
                      <w:b/>
                      <w:bCs/>
                      <w:color w:val="auto"/>
                      <w:szCs w:val="21"/>
                      <w:u w:val="single"/>
                    </w:rPr>
                  </w:pPr>
                  <w:r>
                    <w:rPr>
                      <w:b/>
                      <w:bCs/>
                      <w:color w:val="auto"/>
                      <w:szCs w:val="21"/>
                      <w:u w:val="single"/>
                    </w:rPr>
                    <w:t>主要污染物</w:t>
                  </w:r>
                </w:p>
              </w:tc>
              <w:tc>
                <w:tcPr>
                  <w:tcW w:w="1362" w:type="pct"/>
                  <w:vAlign w:val="center"/>
                </w:tcPr>
                <w:p w14:paraId="68FA40CF">
                  <w:pPr>
                    <w:wordWrap w:val="0"/>
                    <w:topLinePunct/>
                    <w:adjustRightInd w:val="0"/>
                    <w:snapToGrid w:val="0"/>
                    <w:jc w:val="center"/>
                    <w:rPr>
                      <w:b/>
                      <w:bCs/>
                      <w:color w:val="auto"/>
                      <w:szCs w:val="21"/>
                      <w:u w:val="single"/>
                    </w:rPr>
                  </w:pPr>
                  <w:r>
                    <w:rPr>
                      <w:b/>
                      <w:bCs/>
                      <w:color w:val="auto"/>
                      <w:szCs w:val="21"/>
                      <w:u w:val="single"/>
                    </w:rPr>
                    <w:t>治理设施</w:t>
                  </w:r>
                </w:p>
              </w:tc>
              <w:tc>
                <w:tcPr>
                  <w:tcW w:w="389" w:type="pct"/>
                  <w:vAlign w:val="center"/>
                </w:tcPr>
                <w:p w14:paraId="55FA0EF5">
                  <w:pPr>
                    <w:wordWrap w:val="0"/>
                    <w:topLinePunct/>
                    <w:adjustRightInd w:val="0"/>
                    <w:snapToGrid w:val="0"/>
                    <w:jc w:val="center"/>
                    <w:rPr>
                      <w:b/>
                      <w:bCs/>
                      <w:color w:val="auto"/>
                      <w:szCs w:val="21"/>
                      <w:u w:val="single"/>
                    </w:rPr>
                  </w:pPr>
                  <w:r>
                    <w:rPr>
                      <w:b/>
                      <w:bCs/>
                      <w:color w:val="auto"/>
                      <w:szCs w:val="21"/>
                      <w:u w:val="single"/>
                    </w:rPr>
                    <w:t>数量</w:t>
                  </w:r>
                </w:p>
              </w:tc>
              <w:tc>
                <w:tcPr>
                  <w:tcW w:w="488" w:type="pct"/>
                  <w:vAlign w:val="center"/>
                </w:tcPr>
                <w:p w14:paraId="2894F52A">
                  <w:pPr>
                    <w:wordWrap w:val="0"/>
                    <w:topLinePunct/>
                    <w:adjustRightInd w:val="0"/>
                    <w:snapToGrid w:val="0"/>
                    <w:jc w:val="center"/>
                    <w:rPr>
                      <w:b/>
                      <w:bCs/>
                      <w:color w:val="auto"/>
                      <w:szCs w:val="21"/>
                      <w:u w:val="single"/>
                    </w:rPr>
                  </w:pPr>
                  <w:r>
                    <w:rPr>
                      <w:b/>
                      <w:bCs/>
                      <w:color w:val="auto"/>
                      <w:szCs w:val="21"/>
                      <w:u w:val="single"/>
                    </w:rPr>
                    <w:t>投资额</w:t>
                  </w:r>
                </w:p>
              </w:tc>
            </w:tr>
            <w:tr w14:paraId="633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restart"/>
                  <w:vAlign w:val="center"/>
                </w:tcPr>
                <w:p w14:paraId="7A98F00B">
                  <w:pPr>
                    <w:wordWrap w:val="0"/>
                    <w:topLinePunct/>
                    <w:adjustRightInd w:val="0"/>
                    <w:snapToGrid w:val="0"/>
                    <w:jc w:val="center"/>
                    <w:rPr>
                      <w:color w:val="auto"/>
                      <w:szCs w:val="21"/>
                      <w:u w:val="single"/>
                    </w:rPr>
                  </w:pPr>
                  <w:r>
                    <w:rPr>
                      <w:color w:val="auto"/>
                      <w:szCs w:val="21"/>
                      <w:u w:val="single"/>
                    </w:rPr>
                    <w:t>施工期</w:t>
                  </w:r>
                </w:p>
              </w:tc>
              <w:tc>
                <w:tcPr>
                  <w:tcW w:w="383" w:type="pct"/>
                  <w:vAlign w:val="center"/>
                </w:tcPr>
                <w:p w14:paraId="0E13E09B">
                  <w:pPr>
                    <w:wordWrap w:val="0"/>
                    <w:topLinePunct/>
                    <w:adjustRightInd w:val="0"/>
                    <w:snapToGrid w:val="0"/>
                    <w:jc w:val="center"/>
                    <w:rPr>
                      <w:color w:val="auto"/>
                      <w:szCs w:val="21"/>
                      <w:u w:val="single"/>
                    </w:rPr>
                  </w:pPr>
                  <w:r>
                    <w:rPr>
                      <w:color w:val="auto"/>
                      <w:szCs w:val="21"/>
                      <w:u w:val="single"/>
                    </w:rPr>
                    <w:t>废水</w:t>
                  </w:r>
                </w:p>
              </w:tc>
              <w:tc>
                <w:tcPr>
                  <w:tcW w:w="614" w:type="pct"/>
                  <w:vAlign w:val="center"/>
                </w:tcPr>
                <w:p w14:paraId="6131B77C">
                  <w:pPr>
                    <w:wordWrap w:val="0"/>
                    <w:topLinePunct/>
                    <w:adjustRightInd w:val="0"/>
                    <w:snapToGrid w:val="0"/>
                    <w:jc w:val="center"/>
                    <w:rPr>
                      <w:color w:val="auto"/>
                      <w:szCs w:val="21"/>
                      <w:u w:val="single"/>
                    </w:rPr>
                  </w:pPr>
                  <w:r>
                    <w:rPr>
                      <w:color w:val="auto"/>
                      <w:szCs w:val="21"/>
                      <w:u w:val="single"/>
                    </w:rPr>
                    <w:t>施工废水</w:t>
                  </w:r>
                </w:p>
              </w:tc>
              <w:tc>
                <w:tcPr>
                  <w:tcW w:w="1384" w:type="pct"/>
                  <w:vAlign w:val="center"/>
                </w:tcPr>
                <w:p w14:paraId="7F9B458E">
                  <w:pPr>
                    <w:wordWrap w:val="0"/>
                    <w:topLinePunct/>
                    <w:adjustRightInd w:val="0"/>
                    <w:snapToGrid w:val="0"/>
                    <w:jc w:val="center"/>
                    <w:rPr>
                      <w:color w:val="auto"/>
                      <w:szCs w:val="21"/>
                      <w:u w:val="single"/>
                    </w:rPr>
                  </w:pPr>
                  <w:r>
                    <w:rPr>
                      <w:color w:val="auto"/>
                      <w:szCs w:val="21"/>
                      <w:u w:val="single"/>
                    </w:rPr>
                    <w:t>悬浮物</w:t>
                  </w:r>
                </w:p>
              </w:tc>
              <w:tc>
                <w:tcPr>
                  <w:tcW w:w="1362" w:type="pct"/>
                  <w:vAlign w:val="center"/>
                </w:tcPr>
                <w:p w14:paraId="231BA421">
                  <w:pPr>
                    <w:wordWrap w:val="0"/>
                    <w:topLinePunct/>
                    <w:adjustRightInd w:val="0"/>
                    <w:snapToGrid w:val="0"/>
                    <w:jc w:val="center"/>
                    <w:rPr>
                      <w:color w:val="auto"/>
                      <w:szCs w:val="21"/>
                      <w:u w:val="single"/>
                    </w:rPr>
                  </w:pPr>
                  <w:r>
                    <w:rPr>
                      <w:color w:val="auto"/>
                      <w:szCs w:val="21"/>
                      <w:u w:val="single"/>
                    </w:rPr>
                    <w:t>沉淀池</w:t>
                  </w:r>
                </w:p>
              </w:tc>
              <w:tc>
                <w:tcPr>
                  <w:tcW w:w="389" w:type="pct"/>
                  <w:vAlign w:val="center"/>
                </w:tcPr>
                <w:p w14:paraId="6A3D536D">
                  <w:pPr>
                    <w:wordWrap w:val="0"/>
                    <w:topLinePunct/>
                    <w:adjustRightInd w:val="0"/>
                    <w:snapToGrid w:val="0"/>
                    <w:jc w:val="center"/>
                    <w:rPr>
                      <w:color w:val="auto"/>
                      <w:szCs w:val="21"/>
                      <w:u w:val="single"/>
                    </w:rPr>
                  </w:pPr>
                  <w:r>
                    <w:rPr>
                      <w:color w:val="auto"/>
                      <w:szCs w:val="21"/>
                      <w:u w:val="single"/>
                    </w:rPr>
                    <w:t>1座</w:t>
                  </w:r>
                </w:p>
              </w:tc>
              <w:tc>
                <w:tcPr>
                  <w:tcW w:w="488" w:type="pct"/>
                  <w:vAlign w:val="center"/>
                </w:tcPr>
                <w:p w14:paraId="2E7C7721">
                  <w:pPr>
                    <w:widowControl/>
                    <w:jc w:val="center"/>
                    <w:textAlignment w:val="center"/>
                    <w:rPr>
                      <w:color w:val="auto"/>
                      <w:szCs w:val="21"/>
                      <w:u w:val="single"/>
                    </w:rPr>
                  </w:pPr>
                  <w:r>
                    <w:rPr>
                      <w:color w:val="auto"/>
                      <w:kern w:val="0"/>
                      <w:szCs w:val="21"/>
                      <w:u w:val="single"/>
                      <w:lang w:bidi="ar"/>
                    </w:rPr>
                    <w:t>2</w:t>
                  </w:r>
                </w:p>
              </w:tc>
            </w:tr>
            <w:tr w14:paraId="6382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7" w:type="pct"/>
                  <w:vMerge w:val="continue"/>
                  <w:vAlign w:val="center"/>
                </w:tcPr>
                <w:p w14:paraId="099D734B">
                  <w:pPr>
                    <w:wordWrap w:val="0"/>
                    <w:topLinePunct/>
                    <w:adjustRightInd w:val="0"/>
                    <w:snapToGrid w:val="0"/>
                    <w:jc w:val="center"/>
                    <w:rPr>
                      <w:color w:val="auto"/>
                      <w:szCs w:val="21"/>
                      <w:u w:val="single"/>
                    </w:rPr>
                  </w:pPr>
                </w:p>
              </w:tc>
              <w:tc>
                <w:tcPr>
                  <w:tcW w:w="383" w:type="pct"/>
                  <w:vAlign w:val="center"/>
                </w:tcPr>
                <w:p w14:paraId="6F6E6C8A">
                  <w:pPr>
                    <w:wordWrap w:val="0"/>
                    <w:topLinePunct/>
                    <w:adjustRightInd w:val="0"/>
                    <w:snapToGrid w:val="0"/>
                    <w:jc w:val="center"/>
                    <w:rPr>
                      <w:color w:val="auto"/>
                      <w:szCs w:val="21"/>
                      <w:u w:val="single"/>
                    </w:rPr>
                  </w:pPr>
                  <w:r>
                    <w:rPr>
                      <w:color w:val="auto"/>
                      <w:szCs w:val="21"/>
                      <w:u w:val="single"/>
                    </w:rPr>
                    <w:t>废气</w:t>
                  </w:r>
                </w:p>
              </w:tc>
              <w:tc>
                <w:tcPr>
                  <w:tcW w:w="614" w:type="pct"/>
                  <w:vAlign w:val="center"/>
                </w:tcPr>
                <w:p w14:paraId="378F3912">
                  <w:pPr>
                    <w:wordWrap w:val="0"/>
                    <w:topLinePunct/>
                    <w:adjustRightInd w:val="0"/>
                    <w:snapToGrid w:val="0"/>
                    <w:jc w:val="center"/>
                    <w:rPr>
                      <w:color w:val="auto"/>
                      <w:szCs w:val="21"/>
                      <w:u w:val="single"/>
                    </w:rPr>
                  </w:pPr>
                  <w:r>
                    <w:rPr>
                      <w:color w:val="auto"/>
                      <w:szCs w:val="21"/>
                      <w:u w:val="single"/>
                    </w:rPr>
                    <w:t>施工废气</w:t>
                  </w:r>
                </w:p>
              </w:tc>
              <w:tc>
                <w:tcPr>
                  <w:tcW w:w="1384" w:type="pct"/>
                  <w:vAlign w:val="center"/>
                </w:tcPr>
                <w:p w14:paraId="40182834">
                  <w:pPr>
                    <w:wordWrap w:val="0"/>
                    <w:topLinePunct/>
                    <w:adjustRightInd w:val="0"/>
                    <w:snapToGrid w:val="0"/>
                    <w:jc w:val="center"/>
                    <w:rPr>
                      <w:color w:val="auto"/>
                      <w:szCs w:val="21"/>
                      <w:u w:val="single"/>
                    </w:rPr>
                  </w:pPr>
                  <w:r>
                    <w:rPr>
                      <w:color w:val="auto"/>
                      <w:szCs w:val="21"/>
                      <w:u w:val="single"/>
                    </w:rPr>
                    <w:t>扬尘</w:t>
                  </w:r>
                </w:p>
              </w:tc>
              <w:tc>
                <w:tcPr>
                  <w:tcW w:w="1362" w:type="pct"/>
                  <w:vAlign w:val="center"/>
                </w:tcPr>
                <w:p w14:paraId="7A440554">
                  <w:pPr>
                    <w:wordWrap w:val="0"/>
                    <w:topLinePunct/>
                    <w:adjustRightInd w:val="0"/>
                    <w:snapToGrid w:val="0"/>
                    <w:jc w:val="center"/>
                    <w:rPr>
                      <w:color w:val="auto"/>
                      <w:szCs w:val="21"/>
                      <w:u w:val="single"/>
                    </w:rPr>
                  </w:pPr>
                  <w:r>
                    <w:rPr>
                      <w:color w:val="auto"/>
                      <w:szCs w:val="21"/>
                      <w:u w:val="single"/>
                    </w:rPr>
                    <w:t>设置硬质围挡、洒水</w:t>
                  </w:r>
                </w:p>
              </w:tc>
              <w:tc>
                <w:tcPr>
                  <w:tcW w:w="389" w:type="pct"/>
                  <w:vAlign w:val="center"/>
                </w:tcPr>
                <w:p w14:paraId="64AA7921">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3FBBF51C">
                  <w:pPr>
                    <w:widowControl/>
                    <w:jc w:val="center"/>
                    <w:textAlignment w:val="center"/>
                    <w:rPr>
                      <w:color w:val="auto"/>
                      <w:szCs w:val="21"/>
                      <w:u w:val="single"/>
                    </w:rPr>
                  </w:pPr>
                  <w:r>
                    <w:rPr>
                      <w:color w:val="auto"/>
                      <w:kern w:val="0"/>
                      <w:szCs w:val="21"/>
                      <w:u w:val="single"/>
                      <w:lang w:bidi="ar"/>
                    </w:rPr>
                    <w:t>3</w:t>
                  </w:r>
                </w:p>
              </w:tc>
            </w:tr>
            <w:tr w14:paraId="6313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4CA6C397">
                  <w:pPr>
                    <w:wordWrap w:val="0"/>
                    <w:topLinePunct/>
                    <w:adjustRightInd w:val="0"/>
                    <w:snapToGrid w:val="0"/>
                    <w:jc w:val="center"/>
                    <w:rPr>
                      <w:color w:val="auto"/>
                      <w:szCs w:val="21"/>
                      <w:u w:val="single"/>
                    </w:rPr>
                  </w:pPr>
                </w:p>
              </w:tc>
              <w:tc>
                <w:tcPr>
                  <w:tcW w:w="383" w:type="pct"/>
                  <w:vAlign w:val="center"/>
                </w:tcPr>
                <w:p w14:paraId="0E7EC110">
                  <w:pPr>
                    <w:wordWrap w:val="0"/>
                    <w:topLinePunct/>
                    <w:adjustRightInd w:val="0"/>
                    <w:snapToGrid w:val="0"/>
                    <w:jc w:val="center"/>
                    <w:rPr>
                      <w:color w:val="auto"/>
                      <w:szCs w:val="21"/>
                      <w:u w:val="single"/>
                    </w:rPr>
                  </w:pPr>
                  <w:r>
                    <w:rPr>
                      <w:color w:val="auto"/>
                      <w:szCs w:val="21"/>
                      <w:u w:val="single"/>
                    </w:rPr>
                    <w:t>噪声</w:t>
                  </w:r>
                </w:p>
              </w:tc>
              <w:tc>
                <w:tcPr>
                  <w:tcW w:w="614" w:type="pct"/>
                  <w:vAlign w:val="center"/>
                </w:tcPr>
                <w:p w14:paraId="6DB323B5">
                  <w:pPr>
                    <w:wordWrap w:val="0"/>
                    <w:topLinePunct/>
                    <w:adjustRightInd w:val="0"/>
                    <w:snapToGrid w:val="0"/>
                    <w:jc w:val="center"/>
                    <w:rPr>
                      <w:color w:val="auto"/>
                      <w:szCs w:val="21"/>
                      <w:u w:val="single"/>
                    </w:rPr>
                  </w:pPr>
                  <w:r>
                    <w:rPr>
                      <w:color w:val="auto"/>
                      <w:szCs w:val="21"/>
                      <w:u w:val="single"/>
                    </w:rPr>
                    <w:t>施工设备</w:t>
                  </w:r>
                </w:p>
              </w:tc>
              <w:tc>
                <w:tcPr>
                  <w:tcW w:w="1384" w:type="pct"/>
                  <w:vAlign w:val="center"/>
                </w:tcPr>
                <w:p w14:paraId="4BAFDA19">
                  <w:pPr>
                    <w:wordWrap w:val="0"/>
                    <w:topLinePunct/>
                    <w:adjustRightInd w:val="0"/>
                    <w:snapToGrid w:val="0"/>
                    <w:jc w:val="center"/>
                    <w:rPr>
                      <w:color w:val="auto"/>
                      <w:szCs w:val="21"/>
                      <w:u w:val="single"/>
                    </w:rPr>
                  </w:pPr>
                  <w:r>
                    <w:rPr>
                      <w:color w:val="auto"/>
                      <w:szCs w:val="21"/>
                      <w:u w:val="single"/>
                    </w:rPr>
                    <w:t>机械噪声</w:t>
                  </w:r>
                </w:p>
              </w:tc>
              <w:tc>
                <w:tcPr>
                  <w:tcW w:w="1362" w:type="pct"/>
                  <w:vAlign w:val="center"/>
                </w:tcPr>
                <w:p w14:paraId="6F439C92">
                  <w:pPr>
                    <w:wordWrap w:val="0"/>
                    <w:topLinePunct/>
                    <w:adjustRightInd w:val="0"/>
                    <w:snapToGrid w:val="0"/>
                    <w:jc w:val="center"/>
                    <w:rPr>
                      <w:color w:val="auto"/>
                      <w:szCs w:val="21"/>
                      <w:u w:val="single"/>
                    </w:rPr>
                  </w:pPr>
                  <w:r>
                    <w:rPr>
                      <w:color w:val="auto"/>
                      <w:szCs w:val="21"/>
                      <w:u w:val="single"/>
                    </w:rPr>
                    <w:t>设置临时的2～3m高围墙，必要时在靠近敏感点一侧设置吸围墙</w:t>
                  </w:r>
                </w:p>
              </w:tc>
              <w:tc>
                <w:tcPr>
                  <w:tcW w:w="389" w:type="pct"/>
                  <w:vAlign w:val="center"/>
                </w:tcPr>
                <w:p w14:paraId="54BDA623">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24635655">
                  <w:pPr>
                    <w:widowControl/>
                    <w:jc w:val="center"/>
                    <w:textAlignment w:val="center"/>
                    <w:rPr>
                      <w:color w:val="auto"/>
                      <w:szCs w:val="21"/>
                      <w:u w:val="single"/>
                    </w:rPr>
                  </w:pPr>
                  <w:r>
                    <w:rPr>
                      <w:color w:val="auto"/>
                      <w:kern w:val="0"/>
                      <w:szCs w:val="21"/>
                      <w:u w:val="single"/>
                      <w:lang w:bidi="ar"/>
                    </w:rPr>
                    <w:t>3</w:t>
                  </w:r>
                </w:p>
              </w:tc>
            </w:tr>
            <w:tr w14:paraId="6972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6A0D596E">
                  <w:pPr>
                    <w:wordWrap w:val="0"/>
                    <w:topLinePunct/>
                    <w:adjustRightInd w:val="0"/>
                    <w:snapToGrid w:val="0"/>
                    <w:jc w:val="center"/>
                    <w:rPr>
                      <w:color w:val="auto"/>
                      <w:szCs w:val="21"/>
                      <w:u w:val="single"/>
                    </w:rPr>
                  </w:pPr>
                </w:p>
              </w:tc>
              <w:tc>
                <w:tcPr>
                  <w:tcW w:w="383" w:type="pct"/>
                  <w:vAlign w:val="center"/>
                </w:tcPr>
                <w:p w14:paraId="017C6285">
                  <w:pPr>
                    <w:wordWrap w:val="0"/>
                    <w:topLinePunct/>
                    <w:adjustRightInd w:val="0"/>
                    <w:snapToGrid w:val="0"/>
                    <w:jc w:val="center"/>
                    <w:rPr>
                      <w:color w:val="auto"/>
                      <w:szCs w:val="21"/>
                      <w:u w:val="single"/>
                    </w:rPr>
                  </w:pPr>
                  <w:r>
                    <w:rPr>
                      <w:color w:val="auto"/>
                      <w:szCs w:val="21"/>
                      <w:u w:val="single"/>
                    </w:rPr>
                    <w:t>固废</w:t>
                  </w:r>
                </w:p>
              </w:tc>
              <w:tc>
                <w:tcPr>
                  <w:tcW w:w="614" w:type="pct"/>
                  <w:vAlign w:val="center"/>
                </w:tcPr>
                <w:p w14:paraId="6D2B23C2">
                  <w:pPr>
                    <w:wordWrap w:val="0"/>
                    <w:topLinePunct/>
                    <w:adjustRightInd w:val="0"/>
                    <w:snapToGrid w:val="0"/>
                    <w:jc w:val="center"/>
                    <w:rPr>
                      <w:color w:val="auto"/>
                      <w:szCs w:val="21"/>
                      <w:u w:val="single"/>
                    </w:rPr>
                  </w:pPr>
                  <w:r>
                    <w:rPr>
                      <w:color w:val="auto"/>
                      <w:szCs w:val="21"/>
                      <w:u w:val="single"/>
                    </w:rPr>
                    <w:t>施工固废</w:t>
                  </w:r>
                </w:p>
              </w:tc>
              <w:tc>
                <w:tcPr>
                  <w:tcW w:w="1384" w:type="pct"/>
                  <w:vAlign w:val="center"/>
                </w:tcPr>
                <w:p w14:paraId="522F981B">
                  <w:pPr>
                    <w:wordWrap w:val="0"/>
                    <w:topLinePunct/>
                    <w:adjustRightInd w:val="0"/>
                    <w:snapToGrid w:val="0"/>
                    <w:jc w:val="center"/>
                    <w:rPr>
                      <w:color w:val="auto"/>
                      <w:szCs w:val="21"/>
                      <w:u w:val="single"/>
                    </w:rPr>
                  </w:pPr>
                  <w:r>
                    <w:rPr>
                      <w:color w:val="auto"/>
                      <w:szCs w:val="21"/>
                      <w:u w:val="single"/>
                    </w:rPr>
                    <w:t>土石方、生活垃圾</w:t>
                  </w:r>
                </w:p>
              </w:tc>
              <w:tc>
                <w:tcPr>
                  <w:tcW w:w="1362" w:type="pct"/>
                  <w:vAlign w:val="center"/>
                </w:tcPr>
                <w:p w14:paraId="00D683EB">
                  <w:pPr>
                    <w:wordWrap w:val="0"/>
                    <w:topLinePunct/>
                    <w:adjustRightInd w:val="0"/>
                    <w:snapToGrid w:val="0"/>
                    <w:jc w:val="center"/>
                    <w:rPr>
                      <w:color w:val="auto"/>
                      <w:szCs w:val="21"/>
                      <w:u w:val="single"/>
                    </w:rPr>
                  </w:pPr>
                  <w:r>
                    <w:rPr>
                      <w:color w:val="auto"/>
                      <w:szCs w:val="21"/>
                      <w:u w:val="single"/>
                    </w:rPr>
                    <w:t>及时清运</w:t>
                  </w:r>
                </w:p>
              </w:tc>
              <w:tc>
                <w:tcPr>
                  <w:tcW w:w="389" w:type="pct"/>
                  <w:vAlign w:val="center"/>
                </w:tcPr>
                <w:p w14:paraId="5E0A3968">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023802FB">
                  <w:pPr>
                    <w:widowControl/>
                    <w:jc w:val="center"/>
                    <w:textAlignment w:val="center"/>
                    <w:rPr>
                      <w:rFonts w:hint="eastAsia" w:eastAsia="宋体"/>
                      <w:color w:val="auto"/>
                      <w:szCs w:val="21"/>
                      <w:u w:val="single"/>
                      <w:lang w:eastAsia="zh-CN"/>
                    </w:rPr>
                  </w:pPr>
                  <w:r>
                    <w:rPr>
                      <w:rFonts w:hint="eastAsia"/>
                      <w:color w:val="auto"/>
                      <w:kern w:val="0"/>
                      <w:szCs w:val="21"/>
                      <w:u w:val="single"/>
                      <w:lang w:val="en-US" w:eastAsia="zh-CN" w:bidi="ar"/>
                    </w:rPr>
                    <w:t>2</w:t>
                  </w:r>
                </w:p>
              </w:tc>
            </w:tr>
            <w:tr w14:paraId="2CDA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restart"/>
                  <w:vAlign w:val="center"/>
                </w:tcPr>
                <w:p w14:paraId="43A2A45E">
                  <w:pPr>
                    <w:wordWrap w:val="0"/>
                    <w:topLinePunct/>
                    <w:adjustRightInd w:val="0"/>
                    <w:snapToGrid w:val="0"/>
                    <w:jc w:val="center"/>
                    <w:rPr>
                      <w:color w:val="auto"/>
                      <w:szCs w:val="21"/>
                      <w:u w:val="single"/>
                    </w:rPr>
                  </w:pPr>
                  <w:r>
                    <w:rPr>
                      <w:color w:val="auto"/>
                      <w:szCs w:val="21"/>
                      <w:u w:val="single"/>
                    </w:rPr>
                    <w:t>营运期</w:t>
                  </w:r>
                </w:p>
              </w:tc>
              <w:tc>
                <w:tcPr>
                  <w:tcW w:w="383" w:type="pct"/>
                  <w:vMerge w:val="restart"/>
                  <w:vAlign w:val="center"/>
                </w:tcPr>
                <w:p w14:paraId="263C684A">
                  <w:pPr>
                    <w:wordWrap w:val="0"/>
                    <w:topLinePunct/>
                    <w:adjustRightInd w:val="0"/>
                    <w:snapToGrid w:val="0"/>
                    <w:jc w:val="center"/>
                    <w:rPr>
                      <w:color w:val="auto"/>
                      <w:szCs w:val="21"/>
                      <w:u w:val="single"/>
                    </w:rPr>
                  </w:pPr>
                  <w:r>
                    <w:rPr>
                      <w:color w:val="auto"/>
                      <w:szCs w:val="21"/>
                      <w:u w:val="single"/>
                    </w:rPr>
                    <w:t>废水</w:t>
                  </w:r>
                </w:p>
              </w:tc>
              <w:tc>
                <w:tcPr>
                  <w:tcW w:w="614" w:type="pct"/>
                  <w:vAlign w:val="center"/>
                </w:tcPr>
                <w:p w14:paraId="10610DBD">
                  <w:pPr>
                    <w:wordWrap w:val="0"/>
                    <w:topLinePunct/>
                    <w:adjustRightInd w:val="0"/>
                    <w:snapToGrid w:val="0"/>
                    <w:jc w:val="center"/>
                    <w:rPr>
                      <w:rFonts w:hint="eastAsia" w:eastAsia="宋体"/>
                      <w:color w:val="auto"/>
                      <w:szCs w:val="21"/>
                      <w:u w:val="single"/>
                      <w:lang w:eastAsia="zh-CN"/>
                    </w:rPr>
                  </w:pPr>
                  <w:r>
                    <w:rPr>
                      <w:color w:val="auto"/>
                      <w:szCs w:val="21"/>
                      <w:u w:val="single"/>
                    </w:rPr>
                    <w:t>生活污水、</w:t>
                  </w:r>
                  <w:r>
                    <w:rPr>
                      <w:rFonts w:hint="eastAsia"/>
                      <w:color w:val="auto"/>
                      <w:szCs w:val="21"/>
                      <w:u w:val="single"/>
                      <w:lang w:eastAsia="zh-CN"/>
                    </w:rPr>
                    <w:t>公共卫生间废水</w:t>
                  </w:r>
                </w:p>
              </w:tc>
              <w:tc>
                <w:tcPr>
                  <w:tcW w:w="1384" w:type="pct"/>
                  <w:vAlign w:val="center"/>
                </w:tcPr>
                <w:p w14:paraId="573A50FF">
                  <w:pPr>
                    <w:wordWrap w:val="0"/>
                    <w:topLinePunct/>
                    <w:adjustRightInd w:val="0"/>
                    <w:snapToGrid w:val="0"/>
                    <w:jc w:val="center"/>
                    <w:rPr>
                      <w:color w:val="auto"/>
                      <w:szCs w:val="21"/>
                      <w:u w:val="single"/>
                    </w:rPr>
                  </w:pPr>
                  <w:r>
                    <w:rPr>
                      <w:color w:val="auto"/>
                      <w:szCs w:val="21"/>
                      <w:u w:val="single"/>
                    </w:rPr>
                    <w:t>COD、BOD</w:t>
                  </w:r>
                  <w:r>
                    <w:rPr>
                      <w:color w:val="auto"/>
                      <w:szCs w:val="21"/>
                      <w:u w:val="single"/>
                      <w:vertAlign w:val="subscript"/>
                    </w:rPr>
                    <w:t>5</w:t>
                  </w:r>
                  <w:r>
                    <w:rPr>
                      <w:color w:val="auto"/>
                      <w:szCs w:val="21"/>
                      <w:u w:val="single"/>
                    </w:rPr>
                    <w:t>、SS、NH</w:t>
                  </w:r>
                  <w:r>
                    <w:rPr>
                      <w:color w:val="auto"/>
                      <w:szCs w:val="21"/>
                      <w:u w:val="single"/>
                      <w:vertAlign w:val="subscript"/>
                    </w:rPr>
                    <w:t>3</w:t>
                  </w:r>
                  <w:r>
                    <w:rPr>
                      <w:color w:val="auto"/>
                      <w:szCs w:val="21"/>
                      <w:u w:val="single"/>
                    </w:rPr>
                    <w:t>-N、动植物油</w:t>
                  </w:r>
                </w:p>
              </w:tc>
              <w:tc>
                <w:tcPr>
                  <w:tcW w:w="1362" w:type="pct"/>
                  <w:vAlign w:val="center"/>
                </w:tcPr>
                <w:p w14:paraId="1966830A">
                  <w:pPr>
                    <w:wordWrap w:val="0"/>
                    <w:topLinePunct/>
                    <w:adjustRightInd w:val="0"/>
                    <w:snapToGrid w:val="0"/>
                    <w:jc w:val="center"/>
                    <w:rPr>
                      <w:color w:val="auto"/>
                      <w:szCs w:val="21"/>
                      <w:u w:val="single"/>
                    </w:rPr>
                  </w:pPr>
                  <w:r>
                    <w:rPr>
                      <w:rFonts w:hint="eastAsia"/>
                      <w:color w:val="auto"/>
                      <w:szCs w:val="21"/>
                      <w:u w:val="single"/>
                      <w:lang w:val="en-US" w:eastAsia="zh-CN"/>
                    </w:rPr>
                    <w:t>隔油池+</w:t>
                  </w:r>
                  <w:r>
                    <w:rPr>
                      <w:color w:val="auto"/>
                      <w:szCs w:val="21"/>
                      <w:u w:val="single"/>
                    </w:rPr>
                    <w:t>化粪池</w:t>
                  </w:r>
                </w:p>
              </w:tc>
              <w:tc>
                <w:tcPr>
                  <w:tcW w:w="389" w:type="pct"/>
                  <w:vAlign w:val="center"/>
                </w:tcPr>
                <w:p w14:paraId="19D9E84D">
                  <w:pPr>
                    <w:wordWrap w:val="0"/>
                    <w:topLinePunct/>
                    <w:adjustRightInd w:val="0"/>
                    <w:snapToGrid w:val="0"/>
                    <w:jc w:val="center"/>
                    <w:rPr>
                      <w:color w:val="auto"/>
                      <w:szCs w:val="21"/>
                      <w:u w:val="single"/>
                    </w:rPr>
                  </w:pPr>
                  <w:r>
                    <w:rPr>
                      <w:color w:val="auto"/>
                      <w:szCs w:val="21"/>
                      <w:u w:val="single"/>
                    </w:rPr>
                    <w:t>1套</w:t>
                  </w:r>
                </w:p>
              </w:tc>
              <w:tc>
                <w:tcPr>
                  <w:tcW w:w="488" w:type="pct"/>
                  <w:vAlign w:val="center"/>
                </w:tcPr>
                <w:p w14:paraId="23772F47">
                  <w:pPr>
                    <w:widowControl/>
                    <w:jc w:val="center"/>
                    <w:textAlignment w:val="center"/>
                    <w:rPr>
                      <w:color w:val="auto"/>
                      <w:szCs w:val="21"/>
                      <w:u w:val="single"/>
                    </w:rPr>
                  </w:pPr>
                  <w:r>
                    <w:rPr>
                      <w:color w:val="auto"/>
                      <w:kern w:val="0"/>
                      <w:szCs w:val="21"/>
                      <w:u w:val="single"/>
                      <w:lang w:bidi="ar"/>
                    </w:rPr>
                    <w:t>10</w:t>
                  </w:r>
                </w:p>
              </w:tc>
            </w:tr>
            <w:tr w14:paraId="79E5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43A286A1">
                  <w:pPr>
                    <w:wordWrap w:val="0"/>
                    <w:topLinePunct/>
                    <w:adjustRightInd w:val="0"/>
                    <w:snapToGrid w:val="0"/>
                    <w:jc w:val="center"/>
                    <w:rPr>
                      <w:color w:val="auto"/>
                      <w:szCs w:val="21"/>
                      <w:u w:val="single"/>
                    </w:rPr>
                  </w:pPr>
                </w:p>
              </w:tc>
              <w:tc>
                <w:tcPr>
                  <w:tcW w:w="383" w:type="pct"/>
                  <w:vMerge w:val="continue"/>
                  <w:vAlign w:val="center"/>
                </w:tcPr>
                <w:p w14:paraId="5FC9290C">
                  <w:pPr>
                    <w:wordWrap w:val="0"/>
                    <w:topLinePunct/>
                    <w:adjustRightInd w:val="0"/>
                    <w:snapToGrid w:val="0"/>
                    <w:jc w:val="center"/>
                    <w:rPr>
                      <w:color w:val="auto"/>
                      <w:szCs w:val="21"/>
                      <w:u w:val="single"/>
                    </w:rPr>
                  </w:pPr>
                </w:p>
              </w:tc>
              <w:tc>
                <w:tcPr>
                  <w:tcW w:w="614" w:type="pct"/>
                  <w:vAlign w:val="center"/>
                </w:tcPr>
                <w:p w14:paraId="6144FEF2">
                  <w:pPr>
                    <w:wordWrap w:val="0"/>
                    <w:topLinePunct/>
                    <w:adjustRightInd w:val="0"/>
                    <w:snapToGrid w:val="0"/>
                    <w:jc w:val="center"/>
                    <w:rPr>
                      <w:color w:val="auto"/>
                      <w:szCs w:val="21"/>
                      <w:u w:val="single"/>
                    </w:rPr>
                  </w:pPr>
                  <w:r>
                    <w:rPr>
                      <w:color w:val="auto"/>
                      <w:szCs w:val="21"/>
                      <w:u w:val="single"/>
                    </w:rPr>
                    <w:t>初期雨水</w:t>
                  </w:r>
                </w:p>
              </w:tc>
              <w:tc>
                <w:tcPr>
                  <w:tcW w:w="1384" w:type="pct"/>
                  <w:vAlign w:val="center"/>
                </w:tcPr>
                <w:p w14:paraId="17C18C35">
                  <w:pPr>
                    <w:wordWrap w:val="0"/>
                    <w:topLinePunct/>
                    <w:adjustRightInd w:val="0"/>
                    <w:snapToGrid w:val="0"/>
                    <w:jc w:val="center"/>
                    <w:rPr>
                      <w:color w:val="auto"/>
                      <w:szCs w:val="21"/>
                      <w:u w:val="single"/>
                    </w:rPr>
                  </w:pPr>
                  <w:r>
                    <w:rPr>
                      <w:color w:val="auto"/>
                      <w:szCs w:val="21"/>
                      <w:u w:val="single"/>
                    </w:rPr>
                    <w:t>SS、石油类</w:t>
                  </w:r>
                </w:p>
              </w:tc>
              <w:tc>
                <w:tcPr>
                  <w:tcW w:w="1362" w:type="pct"/>
                  <w:vMerge w:val="restart"/>
                  <w:vAlign w:val="center"/>
                </w:tcPr>
                <w:p w14:paraId="2373CBF7">
                  <w:pPr>
                    <w:wordWrap w:val="0"/>
                    <w:topLinePunct/>
                    <w:adjustRightInd w:val="0"/>
                    <w:snapToGrid w:val="0"/>
                    <w:jc w:val="center"/>
                    <w:rPr>
                      <w:color w:val="auto"/>
                      <w:szCs w:val="21"/>
                      <w:u w:val="single"/>
                    </w:rPr>
                  </w:pPr>
                  <w:r>
                    <w:rPr>
                      <w:rFonts w:hint="eastAsia"/>
                      <w:color w:val="auto"/>
                      <w:szCs w:val="21"/>
                      <w:u w:val="single"/>
                    </w:rPr>
                    <w:t>雨水</w:t>
                  </w:r>
                  <w:r>
                    <w:rPr>
                      <w:rFonts w:hint="eastAsia"/>
                      <w:color w:val="auto"/>
                      <w:szCs w:val="21"/>
                      <w:u w:val="single"/>
                      <w:lang w:val="en-US" w:eastAsia="zh-CN"/>
                    </w:rPr>
                    <w:t>切换</w:t>
                  </w:r>
                  <w:r>
                    <w:rPr>
                      <w:rFonts w:hint="eastAsia"/>
                      <w:color w:val="auto"/>
                      <w:szCs w:val="21"/>
                      <w:u w:val="single"/>
                    </w:rPr>
                    <w:t>阀门+隔油</w:t>
                  </w:r>
                  <w:r>
                    <w:rPr>
                      <w:rFonts w:hint="eastAsia"/>
                      <w:color w:val="auto"/>
                      <w:szCs w:val="21"/>
                      <w:u w:val="single"/>
                      <w:lang w:val="en-US" w:eastAsia="zh-CN"/>
                    </w:rPr>
                    <w:t>沉淀</w:t>
                  </w:r>
                  <w:r>
                    <w:rPr>
                      <w:rFonts w:hint="eastAsia"/>
                      <w:color w:val="auto"/>
                      <w:szCs w:val="21"/>
                      <w:u w:val="single"/>
                    </w:rPr>
                    <w:t>池</w:t>
                  </w:r>
                </w:p>
              </w:tc>
              <w:tc>
                <w:tcPr>
                  <w:tcW w:w="389" w:type="pct"/>
                  <w:vMerge w:val="restart"/>
                  <w:vAlign w:val="center"/>
                </w:tcPr>
                <w:p w14:paraId="47BC701A">
                  <w:pPr>
                    <w:wordWrap w:val="0"/>
                    <w:topLinePunct/>
                    <w:adjustRightInd w:val="0"/>
                    <w:snapToGrid w:val="0"/>
                    <w:jc w:val="center"/>
                    <w:rPr>
                      <w:color w:val="auto"/>
                      <w:szCs w:val="21"/>
                      <w:u w:val="single"/>
                    </w:rPr>
                  </w:pPr>
                  <w:r>
                    <w:rPr>
                      <w:color w:val="auto"/>
                      <w:szCs w:val="21"/>
                      <w:u w:val="single"/>
                    </w:rPr>
                    <w:t>1套</w:t>
                  </w:r>
                </w:p>
              </w:tc>
              <w:tc>
                <w:tcPr>
                  <w:tcW w:w="488" w:type="pct"/>
                  <w:vMerge w:val="restart"/>
                  <w:vAlign w:val="center"/>
                </w:tcPr>
                <w:p w14:paraId="0FACD7A2">
                  <w:pPr>
                    <w:widowControl/>
                    <w:jc w:val="center"/>
                    <w:textAlignment w:val="center"/>
                    <w:rPr>
                      <w:rFonts w:hint="default" w:eastAsia="宋体"/>
                      <w:color w:val="auto"/>
                      <w:szCs w:val="21"/>
                      <w:u w:val="single"/>
                      <w:lang w:val="en-US" w:eastAsia="zh-CN"/>
                    </w:rPr>
                  </w:pPr>
                  <w:r>
                    <w:rPr>
                      <w:rFonts w:hint="eastAsia"/>
                      <w:color w:val="auto"/>
                      <w:kern w:val="0"/>
                      <w:szCs w:val="21"/>
                      <w:u w:val="single"/>
                      <w:lang w:val="en-US" w:eastAsia="zh-CN" w:bidi="ar"/>
                    </w:rPr>
                    <w:t>20</w:t>
                  </w:r>
                </w:p>
              </w:tc>
            </w:tr>
            <w:tr w14:paraId="13F8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5" w:hRule="atLeast"/>
                <w:jc w:val="center"/>
              </w:trPr>
              <w:tc>
                <w:tcPr>
                  <w:tcW w:w="377" w:type="pct"/>
                  <w:vMerge w:val="continue"/>
                  <w:vAlign w:val="center"/>
                </w:tcPr>
                <w:p w14:paraId="63FF41D4">
                  <w:pPr>
                    <w:wordWrap w:val="0"/>
                    <w:topLinePunct/>
                    <w:adjustRightInd w:val="0"/>
                    <w:snapToGrid w:val="0"/>
                    <w:jc w:val="center"/>
                    <w:rPr>
                      <w:color w:val="auto"/>
                      <w:szCs w:val="21"/>
                      <w:u w:val="single"/>
                    </w:rPr>
                  </w:pPr>
                </w:p>
              </w:tc>
              <w:tc>
                <w:tcPr>
                  <w:tcW w:w="383" w:type="pct"/>
                  <w:vMerge w:val="continue"/>
                  <w:vAlign w:val="center"/>
                </w:tcPr>
                <w:p w14:paraId="50A85592">
                  <w:pPr>
                    <w:wordWrap w:val="0"/>
                    <w:topLinePunct/>
                    <w:adjustRightInd w:val="0"/>
                    <w:snapToGrid w:val="0"/>
                    <w:jc w:val="center"/>
                    <w:rPr>
                      <w:color w:val="auto"/>
                      <w:szCs w:val="21"/>
                      <w:u w:val="single"/>
                    </w:rPr>
                  </w:pPr>
                </w:p>
              </w:tc>
              <w:tc>
                <w:tcPr>
                  <w:tcW w:w="614" w:type="pct"/>
                  <w:vAlign w:val="center"/>
                </w:tcPr>
                <w:p w14:paraId="4317AE3C">
                  <w:pPr>
                    <w:wordWrap w:val="0"/>
                    <w:topLinePunct/>
                    <w:adjustRightInd w:val="0"/>
                    <w:snapToGrid w:val="0"/>
                    <w:jc w:val="center"/>
                    <w:rPr>
                      <w:rFonts w:hint="eastAsia" w:eastAsia="宋体"/>
                      <w:color w:val="auto"/>
                      <w:szCs w:val="21"/>
                      <w:u w:val="single"/>
                      <w:lang w:eastAsia="zh-CN"/>
                    </w:rPr>
                  </w:pPr>
                  <w:r>
                    <w:rPr>
                      <w:rFonts w:hint="eastAsia"/>
                      <w:color w:val="auto"/>
                      <w:szCs w:val="21"/>
                      <w:u w:val="single"/>
                      <w:lang w:eastAsia="zh-CN"/>
                    </w:rPr>
                    <w:t>地面清洁废水</w:t>
                  </w:r>
                </w:p>
              </w:tc>
              <w:tc>
                <w:tcPr>
                  <w:tcW w:w="1384" w:type="pct"/>
                  <w:vAlign w:val="center"/>
                </w:tcPr>
                <w:p w14:paraId="10D97D5A">
                  <w:pPr>
                    <w:wordWrap w:val="0"/>
                    <w:topLinePunct/>
                    <w:adjustRightInd w:val="0"/>
                    <w:snapToGrid w:val="0"/>
                    <w:jc w:val="center"/>
                    <w:rPr>
                      <w:color w:val="auto"/>
                      <w:szCs w:val="21"/>
                      <w:u w:val="single"/>
                    </w:rPr>
                  </w:pPr>
                  <w:r>
                    <w:rPr>
                      <w:color w:val="auto"/>
                      <w:szCs w:val="21"/>
                      <w:u w:val="single"/>
                    </w:rPr>
                    <w:t>SS、石油类</w:t>
                  </w:r>
                </w:p>
              </w:tc>
              <w:tc>
                <w:tcPr>
                  <w:tcW w:w="1362" w:type="pct"/>
                  <w:vMerge w:val="continue"/>
                  <w:vAlign w:val="center"/>
                </w:tcPr>
                <w:p w14:paraId="6A9DD20A">
                  <w:pPr>
                    <w:wordWrap w:val="0"/>
                    <w:topLinePunct/>
                    <w:adjustRightInd w:val="0"/>
                    <w:snapToGrid w:val="0"/>
                    <w:jc w:val="center"/>
                    <w:rPr>
                      <w:color w:val="auto"/>
                      <w:szCs w:val="21"/>
                      <w:u w:val="single"/>
                    </w:rPr>
                  </w:pPr>
                </w:p>
              </w:tc>
              <w:tc>
                <w:tcPr>
                  <w:tcW w:w="389" w:type="pct"/>
                  <w:vMerge w:val="continue"/>
                  <w:vAlign w:val="center"/>
                </w:tcPr>
                <w:p w14:paraId="01B64A0F">
                  <w:pPr>
                    <w:wordWrap w:val="0"/>
                    <w:topLinePunct/>
                    <w:adjustRightInd w:val="0"/>
                    <w:snapToGrid w:val="0"/>
                    <w:jc w:val="center"/>
                    <w:rPr>
                      <w:color w:val="auto"/>
                      <w:szCs w:val="21"/>
                      <w:u w:val="single"/>
                    </w:rPr>
                  </w:pPr>
                </w:p>
              </w:tc>
              <w:tc>
                <w:tcPr>
                  <w:tcW w:w="488" w:type="pct"/>
                  <w:vMerge w:val="continue"/>
                  <w:vAlign w:val="center"/>
                </w:tcPr>
                <w:p w14:paraId="43F5D180">
                  <w:pPr>
                    <w:widowControl/>
                    <w:jc w:val="center"/>
                    <w:textAlignment w:val="center"/>
                    <w:rPr>
                      <w:color w:val="auto"/>
                      <w:szCs w:val="21"/>
                      <w:u w:val="single"/>
                    </w:rPr>
                  </w:pPr>
                </w:p>
              </w:tc>
            </w:tr>
            <w:tr w14:paraId="35E2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5" w:hRule="atLeast"/>
                <w:jc w:val="center"/>
              </w:trPr>
              <w:tc>
                <w:tcPr>
                  <w:tcW w:w="377" w:type="pct"/>
                  <w:vMerge w:val="continue"/>
                  <w:vAlign w:val="center"/>
                </w:tcPr>
                <w:p w14:paraId="6DC8C764">
                  <w:pPr>
                    <w:wordWrap w:val="0"/>
                    <w:topLinePunct/>
                    <w:adjustRightInd w:val="0"/>
                    <w:snapToGrid w:val="0"/>
                    <w:jc w:val="center"/>
                    <w:rPr>
                      <w:color w:val="auto"/>
                      <w:szCs w:val="21"/>
                      <w:u w:val="single"/>
                    </w:rPr>
                  </w:pPr>
                </w:p>
              </w:tc>
              <w:tc>
                <w:tcPr>
                  <w:tcW w:w="383" w:type="pct"/>
                  <w:vMerge w:val="continue"/>
                  <w:vAlign w:val="center"/>
                </w:tcPr>
                <w:p w14:paraId="340BCE0D">
                  <w:pPr>
                    <w:wordWrap w:val="0"/>
                    <w:topLinePunct/>
                    <w:adjustRightInd w:val="0"/>
                    <w:snapToGrid w:val="0"/>
                    <w:jc w:val="center"/>
                    <w:rPr>
                      <w:color w:val="auto"/>
                      <w:szCs w:val="21"/>
                      <w:u w:val="single"/>
                    </w:rPr>
                  </w:pPr>
                </w:p>
              </w:tc>
              <w:tc>
                <w:tcPr>
                  <w:tcW w:w="614" w:type="pct"/>
                  <w:vAlign w:val="center"/>
                </w:tcPr>
                <w:p w14:paraId="0F48DE9D">
                  <w:pPr>
                    <w:wordWrap w:val="0"/>
                    <w:topLinePunct/>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洗车废水</w:t>
                  </w:r>
                </w:p>
              </w:tc>
              <w:tc>
                <w:tcPr>
                  <w:tcW w:w="1384" w:type="pct"/>
                  <w:vAlign w:val="center"/>
                </w:tcPr>
                <w:p w14:paraId="682D8A30">
                  <w:pPr>
                    <w:wordWrap w:val="0"/>
                    <w:topLinePunct/>
                    <w:adjustRightInd w:val="0"/>
                    <w:snapToGrid w:val="0"/>
                    <w:jc w:val="center"/>
                    <w:rPr>
                      <w:rFonts w:hint="default" w:eastAsia="宋体"/>
                      <w:color w:val="auto"/>
                      <w:szCs w:val="21"/>
                      <w:u w:val="single"/>
                      <w:lang w:val="en-US" w:eastAsia="zh-CN"/>
                    </w:rPr>
                  </w:pPr>
                  <w:r>
                    <w:rPr>
                      <w:color w:val="auto"/>
                      <w:szCs w:val="21"/>
                      <w:u w:val="single"/>
                    </w:rPr>
                    <w:t>SS、石油类</w:t>
                  </w:r>
                  <w:r>
                    <w:rPr>
                      <w:rFonts w:hint="eastAsia"/>
                      <w:color w:val="auto"/>
                      <w:szCs w:val="21"/>
                      <w:u w:val="single"/>
                      <w:lang w:eastAsia="zh-CN"/>
                    </w:rPr>
                    <w:t>、</w:t>
                  </w:r>
                  <w:r>
                    <w:rPr>
                      <w:color w:val="auto"/>
                      <w:szCs w:val="21"/>
                      <w:u w:val="single"/>
                    </w:rPr>
                    <w:t>COD</w:t>
                  </w:r>
                  <w:r>
                    <w:rPr>
                      <w:rFonts w:hint="eastAsia"/>
                      <w:color w:val="auto"/>
                      <w:szCs w:val="21"/>
                      <w:u w:val="single"/>
                      <w:lang w:eastAsia="zh-CN"/>
                    </w:rPr>
                    <w:t>、</w:t>
                  </w:r>
                  <w:r>
                    <w:rPr>
                      <w:rFonts w:hint="eastAsia"/>
                      <w:color w:val="auto"/>
                      <w:szCs w:val="21"/>
                      <w:u w:val="single"/>
                      <w:lang w:val="en-US" w:eastAsia="zh-CN"/>
                    </w:rPr>
                    <w:t>LAS</w:t>
                  </w:r>
                </w:p>
              </w:tc>
              <w:tc>
                <w:tcPr>
                  <w:tcW w:w="1362" w:type="pct"/>
                  <w:vMerge w:val="continue"/>
                  <w:vAlign w:val="center"/>
                </w:tcPr>
                <w:p w14:paraId="4E93709B">
                  <w:pPr>
                    <w:wordWrap w:val="0"/>
                    <w:topLinePunct/>
                    <w:adjustRightInd w:val="0"/>
                    <w:snapToGrid w:val="0"/>
                    <w:jc w:val="center"/>
                    <w:rPr>
                      <w:color w:val="auto"/>
                      <w:szCs w:val="21"/>
                      <w:u w:val="single"/>
                    </w:rPr>
                  </w:pPr>
                </w:p>
              </w:tc>
              <w:tc>
                <w:tcPr>
                  <w:tcW w:w="389" w:type="pct"/>
                  <w:vMerge w:val="continue"/>
                  <w:vAlign w:val="center"/>
                </w:tcPr>
                <w:p w14:paraId="67507682">
                  <w:pPr>
                    <w:wordWrap w:val="0"/>
                    <w:topLinePunct/>
                    <w:adjustRightInd w:val="0"/>
                    <w:snapToGrid w:val="0"/>
                    <w:jc w:val="center"/>
                    <w:rPr>
                      <w:color w:val="auto"/>
                      <w:szCs w:val="21"/>
                      <w:u w:val="single"/>
                    </w:rPr>
                  </w:pPr>
                </w:p>
              </w:tc>
              <w:tc>
                <w:tcPr>
                  <w:tcW w:w="488" w:type="pct"/>
                  <w:vMerge w:val="continue"/>
                  <w:vAlign w:val="center"/>
                </w:tcPr>
                <w:p w14:paraId="4CF644AE">
                  <w:pPr>
                    <w:widowControl/>
                    <w:jc w:val="center"/>
                    <w:textAlignment w:val="center"/>
                    <w:rPr>
                      <w:color w:val="auto"/>
                      <w:szCs w:val="21"/>
                      <w:u w:val="single"/>
                    </w:rPr>
                  </w:pPr>
                </w:p>
              </w:tc>
            </w:tr>
            <w:tr w14:paraId="65C2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5" w:hRule="atLeast"/>
                <w:jc w:val="center"/>
              </w:trPr>
              <w:tc>
                <w:tcPr>
                  <w:tcW w:w="377" w:type="pct"/>
                  <w:vMerge w:val="continue"/>
                  <w:vAlign w:val="center"/>
                </w:tcPr>
                <w:p w14:paraId="069394D0">
                  <w:pPr>
                    <w:wordWrap w:val="0"/>
                    <w:topLinePunct/>
                    <w:adjustRightInd w:val="0"/>
                    <w:snapToGrid w:val="0"/>
                    <w:jc w:val="center"/>
                    <w:rPr>
                      <w:color w:val="auto"/>
                      <w:szCs w:val="21"/>
                      <w:u w:val="single"/>
                    </w:rPr>
                  </w:pPr>
                </w:p>
              </w:tc>
              <w:tc>
                <w:tcPr>
                  <w:tcW w:w="383" w:type="pct"/>
                  <w:vMerge w:val="restart"/>
                  <w:vAlign w:val="center"/>
                </w:tcPr>
                <w:p w14:paraId="7C760DFC">
                  <w:pPr>
                    <w:wordWrap w:val="0"/>
                    <w:topLinePunct/>
                    <w:adjustRightInd w:val="0"/>
                    <w:snapToGrid w:val="0"/>
                    <w:jc w:val="center"/>
                    <w:rPr>
                      <w:color w:val="auto"/>
                      <w:szCs w:val="21"/>
                      <w:u w:val="single"/>
                    </w:rPr>
                  </w:pPr>
                  <w:r>
                    <w:rPr>
                      <w:color w:val="auto"/>
                      <w:szCs w:val="21"/>
                      <w:u w:val="single"/>
                    </w:rPr>
                    <w:t>废气</w:t>
                  </w:r>
                </w:p>
              </w:tc>
              <w:tc>
                <w:tcPr>
                  <w:tcW w:w="614" w:type="pct"/>
                  <w:vAlign w:val="center"/>
                </w:tcPr>
                <w:p w14:paraId="5DBB6387">
                  <w:pPr>
                    <w:wordWrap w:val="0"/>
                    <w:topLinePunct/>
                    <w:adjustRightInd w:val="0"/>
                    <w:snapToGrid w:val="0"/>
                    <w:jc w:val="center"/>
                    <w:rPr>
                      <w:color w:val="auto"/>
                      <w:szCs w:val="21"/>
                      <w:u w:val="single"/>
                    </w:rPr>
                  </w:pPr>
                  <w:r>
                    <w:rPr>
                      <w:color w:val="auto"/>
                      <w:szCs w:val="21"/>
                      <w:u w:val="single"/>
                    </w:rPr>
                    <w:t>油气废气</w:t>
                  </w:r>
                </w:p>
              </w:tc>
              <w:tc>
                <w:tcPr>
                  <w:tcW w:w="1384" w:type="pct"/>
                  <w:vAlign w:val="center"/>
                </w:tcPr>
                <w:p w14:paraId="4B77FDDD">
                  <w:pPr>
                    <w:wordWrap w:val="0"/>
                    <w:topLinePunct/>
                    <w:adjustRightInd w:val="0"/>
                    <w:snapToGrid w:val="0"/>
                    <w:jc w:val="center"/>
                    <w:rPr>
                      <w:color w:val="auto"/>
                      <w:szCs w:val="21"/>
                      <w:u w:val="single"/>
                    </w:rPr>
                  </w:pPr>
                  <w:r>
                    <w:rPr>
                      <w:color w:val="auto"/>
                      <w:szCs w:val="21"/>
                      <w:u w:val="single"/>
                    </w:rPr>
                    <w:t>非甲烷总烃</w:t>
                  </w:r>
                </w:p>
              </w:tc>
              <w:tc>
                <w:tcPr>
                  <w:tcW w:w="1362" w:type="pct"/>
                  <w:vAlign w:val="center"/>
                </w:tcPr>
                <w:p w14:paraId="7C692193">
                  <w:pPr>
                    <w:wordWrap w:val="0"/>
                    <w:topLinePunct/>
                    <w:adjustRightInd w:val="0"/>
                    <w:snapToGrid w:val="0"/>
                    <w:jc w:val="center"/>
                    <w:rPr>
                      <w:color w:val="auto"/>
                      <w:szCs w:val="21"/>
                      <w:u w:val="single"/>
                    </w:rPr>
                  </w:pPr>
                  <w:r>
                    <w:rPr>
                      <w:color w:val="auto"/>
                      <w:szCs w:val="21"/>
                      <w:u w:val="single"/>
                    </w:rPr>
                    <w:t>汽油一、二</w:t>
                  </w:r>
                  <w:r>
                    <w:rPr>
                      <w:rFonts w:hint="eastAsia"/>
                      <w:color w:val="auto"/>
                      <w:szCs w:val="21"/>
                      <w:u w:val="single"/>
                      <w:lang w:eastAsia="zh-CN"/>
                    </w:rPr>
                    <w:t>、</w:t>
                  </w:r>
                  <w:r>
                    <w:rPr>
                      <w:rFonts w:hint="eastAsia"/>
                      <w:color w:val="auto"/>
                      <w:szCs w:val="21"/>
                      <w:u w:val="single"/>
                      <w:lang w:val="en-US" w:eastAsia="zh-CN"/>
                    </w:rPr>
                    <w:t>三</w:t>
                  </w:r>
                  <w:r>
                    <w:rPr>
                      <w:color w:val="auto"/>
                      <w:szCs w:val="21"/>
                      <w:u w:val="single"/>
                    </w:rPr>
                    <w:t>次油气回收系统</w:t>
                  </w:r>
                </w:p>
              </w:tc>
              <w:tc>
                <w:tcPr>
                  <w:tcW w:w="389" w:type="pct"/>
                  <w:vAlign w:val="center"/>
                </w:tcPr>
                <w:p w14:paraId="67E9FDDC">
                  <w:pPr>
                    <w:wordWrap w:val="0"/>
                    <w:topLinePunct/>
                    <w:adjustRightInd w:val="0"/>
                    <w:snapToGrid w:val="0"/>
                    <w:jc w:val="center"/>
                    <w:rPr>
                      <w:color w:val="auto"/>
                      <w:szCs w:val="21"/>
                      <w:u w:val="single"/>
                    </w:rPr>
                  </w:pPr>
                  <w:r>
                    <w:rPr>
                      <w:color w:val="auto"/>
                      <w:szCs w:val="21"/>
                      <w:u w:val="single"/>
                    </w:rPr>
                    <w:t>1套</w:t>
                  </w:r>
                </w:p>
              </w:tc>
              <w:tc>
                <w:tcPr>
                  <w:tcW w:w="488" w:type="pct"/>
                  <w:vAlign w:val="center"/>
                </w:tcPr>
                <w:p w14:paraId="5F212F63">
                  <w:pPr>
                    <w:widowControl/>
                    <w:jc w:val="center"/>
                    <w:textAlignment w:val="center"/>
                    <w:rPr>
                      <w:color w:val="auto"/>
                      <w:szCs w:val="21"/>
                      <w:u w:val="single"/>
                    </w:rPr>
                  </w:pPr>
                  <w:r>
                    <w:rPr>
                      <w:color w:val="auto"/>
                      <w:kern w:val="0"/>
                      <w:szCs w:val="21"/>
                      <w:u w:val="single"/>
                      <w:lang w:bidi="ar"/>
                    </w:rPr>
                    <w:t>30</w:t>
                  </w:r>
                </w:p>
              </w:tc>
            </w:tr>
            <w:tr w14:paraId="5D77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5" w:hRule="atLeast"/>
                <w:jc w:val="center"/>
              </w:trPr>
              <w:tc>
                <w:tcPr>
                  <w:tcW w:w="377" w:type="pct"/>
                  <w:vMerge w:val="continue"/>
                  <w:vAlign w:val="center"/>
                </w:tcPr>
                <w:p w14:paraId="0FF74CE7">
                  <w:pPr>
                    <w:wordWrap w:val="0"/>
                    <w:topLinePunct/>
                    <w:adjustRightInd w:val="0"/>
                    <w:snapToGrid w:val="0"/>
                    <w:jc w:val="center"/>
                    <w:rPr>
                      <w:color w:val="auto"/>
                      <w:szCs w:val="21"/>
                      <w:u w:val="single"/>
                    </w:rPr>
                  </w:pPr>
                </w:p>
              </w:tc>
              <w:tc>
                <w:tcPr>
                  <w:tcW w:w="383" w:type="pct"/>
                  <w:vMerge w:val="continue"/>
                  <w:vAlign w:val="center"/>
                </w:tcPr>
                <w:p w14:paraId="469A3B22">
                  <w:pPr>
                    <w:wordWrap w:val="0"/>
                    <w:topLinePunct/>
                    <w:adjustRightInd w:val="0"/>
                    <w:snapToGrid w:val="0"/>
                    <w:jc w:val="center"/>
                    <w:rPr>
                      <w:color w:val="auto"/>
                      <w:szCs w:val="21"/>
                      <w:u w:val="single"/>
                    </w:rPr>
                  </w:pPr>
                </w:p>
              </w:tc>
              <w:tc>
                <w:tcPr>
                  <w:tcW w:w="614" w:type="pct"/>
                  <w:vAlign w:val="center"/>
                </w:tcPr>
                <w:p w14:paraId="56531D09">
                  <w:pPr>
                    <w:wordWrap w:val="0"/>
                    <w:topLinePunct/>
                    <w:adjustRightInd w:val="0"/>
                    <w:snapToGrid w:val="0"/>
                    <w:jc w:val="center"/>
                    <w:rPr>
                      <w:color w:val="auto"/>
                      <w:szCs w:val="21"/>
                      <w:u w:val="single"/>
                    </w:rPr>
                  </w:pPr>
                  <w:r>
                    <w:rPr>
                      <w:color w:val="auto"/>
                      <w:szCs w:val="21"/>
                      <w:u w:val="single"/>
                    </w:rPr>
                    <w:t>食堂</w:t>
                  </w:r>
                </w:p>
              </w:tc>
              <w:tc>
                <w:tcPr>
                  <w:tcW w:w="1384" w:type="pct"/>
                  <w:vAlign w:val="center"/>
                </w:tcPr>
                <w:p w14:paraId="5B874187">
                  <w:pPr>
                    <w:wordWrap w:val="0"/>
                    <w:topLinePunct/>
                    <w:adjustRightInd w:val="0"/>
                    <w:snapToGrid w:val="0"/>
                    <w:jc w:val="center"/>
                    <w:rPr>
                      <w:color w:val="auto"/>
                      <w:szCs w:val="21"/>
                      <w:u w:val="single"/>
                    </w:rPr>
                  </w:pPr>
                  <w:r>
                    <w:rPr>
                      <w:color w:val="auto"/>
                      <w:szCs w:val="21"/>
                      <w:u w:val="single"/>
                    </w:rPr>
                    <w:t>油烟</w:t>
                  </w:r>
                </w:p>
              </w:tc>
              <w:tc>
                <w:tcPr>
                  <w:tcW w:w="1362" w:type="pct"/>
                  <w:vAlign w:val="center"/>
                </w:tcPr>
                <w:p w14:paraId="558E874F">
                  <w:pPr>
                    <w:wordWrap w:val="0"/>
                    <w:topLinePunct/>
                    <w:adjustRightInd w:val="0"/>
                    <w:snapToGrid w:val="0"/>
                    <w:jc w:val="center"/>
                    <w:rPr>
                      <w:color w:val="auto"/>
                      <w:szCs w:val="21"/>
                      <w:u w:val="single"/>
                    </w:rPr>
                  </w:pPr>
                  <w:r>
                    <w:rPr>
                      <w:color w:val="auto"/>
                      <w:szCs w:val="21"/>
                      <w:u w:val="single"/>
                    </w:rPr>
                    <w:t>油烟净化装置</w:t>
                  </w:r>
                </w:p>
              </w:tc>
              <w:tc>
                <w:tcPr>
                  <w:tcW w:w="389" w:type="pct"/>
                  <w:vAlign w:val="center"/>
                </w:tcPr>
                <w:p w14:paraId="7DAFDE55">
                  <w:pPr>
                    <w:wordWrap w:val="0"/>
                    <w:topLinePunct/>
                    <w:adjustRightInd w:val="0"/>
                    <w:snapToGrid w:val="0"/>
                    <w:jc w:val="center"/>
                    <w:rPr>
                      <w:color w:val="auto"/>
                      <w:szCs w:val="21"/>
                      <w:u w:val="single"/>
                    </w:rPr>
                  </w:pPr>
                  <w:r>
                    <w:rPr>
                      <w:color w:val="auto"/>
                      <w:szCs w:val="21"/>
                      <w:u w:val="single"/>
                    </w:rPr>
                    <w:t>1套</w:t>
                  </w:r>
                </w:p>
              </w:tc>
              <w:tc>
                <w:tcPr>
                  <w:tcW w:w="488" w:type="pct"/>
                  <w:vAlign w:val="center"/>
                </w:tcPr>
                <w:p w14:paraId="20345702">
                  <w:pPr>
                    <w:widowControl/>
                    <w:jc w:val="center"/>
                    <w:textAlignment w:val="center"/>
                    <w:rPr>
                      <w:rFonts w:hint="eastAsia" w:eastAsia="宋体"/>
                      <w:color w:val="auto"/>
                      <w:szCs w:val="21"/>
                      <w:u w:val="single"/>
                      <w:lang w:eastAsia="zh-CN"/>
                    </w:rPr>
                  </w:pPr>
                  <w:r>
                    <w:rPr>
                      <w:rFonts w:hint="eastAsia"/>
                      <w:color w:val="auto"/>
                      <w:kern w:val="0"/>
                      <w:szCs w:val="21"/>
                      <w:u w:val="single"/>
                      <w:lang w:val="en-US" w:eastAsia="zh-CN" w:bidi="ar"/>
                    </w:rPr>
                    <w:t>1</w:t>
                  </w:r>
                </w:p>
              </w:tc>
            </w:tr>
            <w:tr w14:paraId="6FA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jc w:val="center"/>
              </w:trPr>
              <w:tc>
                <w:tcPr>
                  <w:tcW w:w="377" w:type="pct"/>
                  <w:vMerge w:val="continue"/>
                  <w:vAlign w:val="center"/>
                </w:tcPr>
                <w:p w14:paraId="22874551">
                  <w:pPr>
                    <w:wordWrap w:val="0"/>
                    <w:topLinePunct/>
                    <w:adjustRightInd w:val="0"/>
                    <w:snapToGrid w:val="0"/>
                    <w:jc w:val="center"/>
                    <w:rPr>
                      <w:color w:val="auto"/>
                      <w:szCs w:val="21"/>
                      <w:u w:val="single"/>
                    </w:rPr>
                  </w:pPr>
                </w:p>
              </w:tc>
              <w:tc>
                <w:tcPr>
                  <w:tcW w:w="383" w:type="pct"/>
                  <w:vMerge w:val="restart"/>
                  <w:vAlign w:val="center"/>
                </w:tcPr>
                <w:p w14:paraId="4BC44334">
                  <w:pPr>
                    <w:wordWrap w:val="0"/>
                    <w:topLinePunct/>
                    <w:adjustRightInd w:val="0"/>
                    <w:snapToGrid w:val="0"/>
                    <w:jc w:val="center"/>
                    <w:rPr>
                      <w:color w:val="auto"/>
                      <w:szCs w:val="21"/>
                      <w:u w:val="single"/>
                    </w:rPr>
                  </w:pPr>
                  <w:r>
                    <w:rPr>
                      <w:color w:val="auto"/>
                      <w:szCs w:val="21"/>
                      <w:u w:val="single"/>
                    </w:rPr>
                    <w:t>固废</w:t>
                  </w:r>
                </w:p>
              </w:tc>
              <w:tc>
                <w:tcPr>
                  <w:tcW w:w="614" w:type="pct"/>
                  <w:vAlign w:val="center"/>
                </w:tcPr>
                <w:p w14:paraId="1E3641DD">
                  <w:pPr>
                    <w:wordWrap w:val="0"/>
                    <w:topLinePunct/>
                    <w:adjustRightInd w:val="0"/>
                    <w:snapToGrid w:val="0"/>
                    <w:jc w:val="center"/>
                    <w:rPr>
                      <w:color w:val="auto"/>
                      <w:szCs w:val="21"/>
                      <w:u w:val="single"/>
                    </w:rPr>
                  </w:pPr>
                  <w:r>
                    <w:rPr>
                      <w:color w:val="auto"/>
                      <w:szCs w:val="21"/>
                      <w:u w:val="single"/>
                    </w:rPr>
                    <w:t>生产</w:t>
                  </w:r>
                </w:p>
              </w:tc>
              <w:tc>
                <w:tcPr>
                  <w:tcW w:w="1384" w:type="pct"/>
                  <w:vAlign w:val="center"/>
                </w:tcPr>
                <w:p w14:paraId="19ABA338">
                  <w:pPr>
                    <w:wordWrap w:val="0"/>
                    <w:topLinePunct/>
                    <w:adjustRightInd w:val="0"/>
                    <w:snapToGrid w:val="0"/>
                    <w:jc w:val="center"/>
                    <w:rPr>
                      <w:color w:val="auto"/>
                      <w:szCs w:val="21"/>
                      <w:u w:val="single"/>
                    </w:rPr>
                  </w:pPr>
                  <w:r>
                    <w:rPr>
                      <w:color w:val="auto"/>
                      <w:szCs w:val="21"/>
                      <w:u w:val="single"/>
                    </w:rPr>
                    <w:t>危险废物（隔油沉淀池油泥、</w:t>
                  </w:r>
                  <w:r>
                    <w:rPr>
                      <w:rFonts w:hint="eastAsia"/>
                      <w:color w:val="auto"/>
                      <w:szCs w:val="21"/>
                      <w:u w:val="single"/>
                      <w:lang w:val="en-US" w:eastAsia="zh-CN"/>
                    </w:rPr>
                    <w:t>废活性炭</w:t>
                  </w:r>
                  <w:r>
                    <w:rPr>
                      <w:color w:val="auto"/>
                      <w:szCs w:val="21"/>
                      <w:u w:val="single"/>
                    </w:rPr>
                    <w:t>、</w:t>
                  </w:r>
                  <w:r>
                    <w:rPr>
                      <w:rFonts w:hint="eastAsia"/>
                      <w:color w:val="auto"/>
                      <w:szCs w:val="21"/>
                      <w:u w:val="single"/>
                      <w:lang w:val="en-US" w:eastAsia="zh-CN"/>
                    </w:rPr>
                    <w:t>含油消防砂</w:t>
                  </w:r>
                  <w:r>
                    <w:rPr>
                      <w:rFonts w:hint="eastAsia"/>
                      <w:color w:val="auto"/>
                      <w:szCs w:val="21"/>
                      <w:u w:val="single"/>
                      <w:lang w:eastAsia="zh-CN"/>
                    </w:rPr>
                    <w:t>、</w:t>
                  </w:r>
                  <w:r>
                    <w:rPr>
                      <w:color w:val="auto"/>
                      <w:szCs w:val="21"/>
                      <w:u w:val="single"/>
                    </w:rPr>
                    <w:t>含油抹布和手套）</w:t>
                  </w:r>
                </w:p>
              </w:tc>
              <w:tc>
                <w:tcPr>
                  <w:tcW w:w="1362" w:type="pct"/>
                  <w:vAlign w:val="center"/>
                </w:tcPr>
                <w:p w14:paraId="631F5B3D">
                  <w:pPr>
                    <w:wordWrap w:val="0"/>
                    <w:topLinePunct/>
                    <w:adjustRightInd w:val="0"/>
                    <w:snapToGrid w:val="0"/>
                    <w:ind w:left="-105" w:leftChars="-50" w:right="-105" w:rightChars="-50"/>
                    <w:jc w:val="center"/>
                    <w:rPr>
                      <w:color w:val="auto"/>
                      <w:szCs w:val="21"/>
                      <w:u w:val="single"/>
                    </w:rPr>
                  </w:pPr>
                  <w:r>
                    <w:rPr>
                      <w:color w:val="auto"/>
                      <w:szCs w:val="21"/>
                      <w:u w:val="single"/>
                    </w:rPr>
                    <w:t>暂存于危险废物暂存间交资质单位处置</w:t>
                  </w:r>
                </w:p>
              </w:tc>
              <w:tc>
                <w:tcPr>
                  <w:tcW w:w="389" w:type="pct"/>
                  <w:vAlign w:val="center"/>
                </w:tcPr>
                <w:p w14:paraId="43923F91">
                  <w:pPr>
                    <w:wordWrap w:val="0"/>
                    <w:topLinePunct/>
                    <w:adjustRightInd w:val="0"/>
                    <w:snapToGrid w:val="0"/>
                    <w:jc w:val="center"/>
                    <w:rPr>
                      <w:color w:val="auto"/>
                      <w:szCs w:val="21"/>
                      <w:u w:val="single"/>
                    </w:rPr>
                  </w:pPr>
                  <w:r>
                    <w:rPr>
                      <w:color w:val="auto"/>
                      <w:szCs w:val="21"/>
                      <w:u w:val="single"/>
                    </w:rPr>
                    <w:t>1间</w:t>
                  </w:r>
                </w:p>
              </w:tc>
              <w:tc>
                <w:tcPr>
                  <w:tcW w:w="488" w:type="pct"/>
                  <w:vAlign w:val="center"/>
                </w:tcPr>
                <w:p w14:paraId="4EEB8D67">
                  <w:pPr>
                    <w:widowControl/>
                    <w:jc w:val="center"/>
                    <w:textAlignment w:val="center"/>
                    <w:rPr>
                      <w:color w:val="auto"/>
                      <w:szCs w:val="21"/>
                      <w:u w:val="single"/>
                    </w:rPr>
                  </w:pPr>
                  <w:r>
                    <w:rPr>
                      <w:rFonts w:hint="eastAsia"/>
                      <w:color w:val="auto"/>
                      <w:kern w:val="0"/>
                      <w:szCs w:val="21"/>
                      <w:u w:val="single"/>
                      <w:lang w:bidi="ar"/>
                    </w:rPr>
                    <w:t>9</w:t>
                  </w:r>
                </w:p>
              </w:tc>
            </w:tr>
            <w:tr w14:paraId="1D52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4A65FD4A">
                  <w:pPr>
                    <w:wordWrap w:val="0"/>
                    <w:topLinePunct/>
                    <w:adjustRightInd w:val="0"/>
                    <w:snapToGrid w:val="0"/>
                    <w:jc w:val="center"/>
                    <w:rPr>
                      <w:color w:val="auto"/>
                      <w:szCs w:val="21"/>
                      <w:u w:val="single"/>
                    </w:rPr>
                  </w:pPr>
                </w:p>
              </w:tc>
              <w:tc>
                <w:tcPr>
                  <w:tcW w:w="383" w:type="pct"/>
                  <w:vMerge w:val="continue"/>
                  <w:vAlign w:val="center"/>
                </w:tcPr>
                <w:p w14:paraId="424BF116">
                  <w:pPr>
                    <w:wordWrap w:val="0"/>
                    <w:topLinePunct/>
                    <w:adjustRightInd w:val="0"/>
                    <w:snapToGrid w:val="0"/>
                    <w:jc w:val="center"/>
                    <w:rPr>
                      <w:color w:val="auto"/>
                      <w:szCs w:val="21"/>
                      <w:u w:val="single"/>
                    </w:rPr>
                  </w:pPr>
                </w:p>
              </w:tc>
              <w:tc>
                <w:tcPr>
                  <w:tcW w:w="614" w:type="pct"/>
                  <w:vAlign w:val="center"/>
                </w:tcPr>
                <w:p w14:paraId="5A91503E">
                  <w:pPr>
                    <w:wordWrap w:val="0"/>
                    <w:topLinePunct/>
                    <w:adjustRightInd w:val="0"/>
                    <w:snapToGrid w:val="0"/>
                    <w:jc w:val="center"/>
                    <w:rPr>
                      <w:color w:val="auto"/>
                      <w:szCs w:val="21"/>
                      <w:u w:val="single"/>
                    </w:rPr>
                  </w:pPr>
                  <w:r>
                    <w:rPr>
                      <w:color w:val="auto"/>
                      <w:szCs w:val="21"/>
                      <w:u w:val="single"/>
                    </w:rPr>
                    <w:t>办公生活</w:t>
                  </w:r>
                </w:p>
              </w:tc>
              <w:tc>
                <w:tcPr>
                  <w:tcW w:w="1384" w:type="pct"/>
                  <w:vAlign w:val="center"/>
                </w:tcPr>
                <w:p w14:paraId="20A1F2B1">
                  <w:pPr>
                    <w:wordWrap w:val="0"/>
                    <w:topLinePunct/>
                    <w:adjustRightInd w:val="0"/>
                    <w:snapToGrid w:val="0"/>
                    <w:jc w:val="center"/>
                    <w:rPr>
                      <w:color w:val="auto"/>
                      <w:szCs w:val="21"/>
                      <w:u w:val="single"/>
                    </w:rPr>
                  </w:pPr>
                  <w:r>
                    <w:rPr>
                      <w:color w:val="auto"/>
                      <w:szCs w:val="21"/>
                      <w:u w:val="single"/>
                    </w:rPr>
                    <w:t>生活垃圾</w:t>
                  </w:r>
                </w:p>
              </w:tc>
              <w:tc>
                <w:tcPr>
                  <w:tcW w:w="1362" w:type="pct"/>
                  <w:vAlign w:val="center"/>
                </w:tcPr>
                <w:p w14:paraId="75FFA9FF">
                  <w:pPr>
                    <w:wordWrap w:val="0"/>
                    <w:topLinePunct/>
                    <w:adjustRightInd w:val="0"/>
                    <w:snapToGrid w:val="0"/>
                    <w:jc w:val="center"/>
                    <w:rPr>
                      <w:color w:val="auto"/>
                      <w:szCs w:val="21"/>
                      <w:u w:val="single"/>
                    </w:rPr>
                  </w:pPr>
                  <w:r>
                    <w:rPr>
                      <w:color w:val="auto"/>
                      <w:szCs w:val="21"/>
                      <w:u w:val="single"/>
                    </w:rPr>
                    <w:t>生活垃圾收集桶</w:t>
                  </w:r>
                </w:p>
              </w:tc>
              <w:tc>
                <w:tcPr>
                  <w:tcW w:w="389" w:type="pct"/>
                  <w:vAlign w:val="center"/>
                </w:tcPr>
                <w:p w14:paraId="1D75D1B5">
                  <w:pPr>
                    <w:wordWrap w:val="0"/>
                    <w:topLinePunct/>
                    <w:adjustRightInd w:val="0"/>
                    <w:snapToGrid w:val="0"/>
                    <w:jc w:val="center"/>
                    <w:rPr>
                      <w:color w:val="auto"/>
                      <w:szCs w:val="21"/>
                      <w:u w:val="single"/>
                    </w:rPr>
                  </w:pPr>
                  <w:r>
                    <w:rPr>
                      <w:color w:val="auto"/>
                      <w:szCs w:val="21"/>
                      <w:u w:val="single"/>
                    </w:rPr>
                    <w:t>5个</w:t>
                  </w:r>
                </w:p>
              </w:tc>
              <w:tc>
                <w:tcPr>
                  <w:tcW w:w="488" w:type="pct"/>
                  <w:vAlign w:val="center"/>
                </w:tcPr>
                <w:p w14:paraId="416B0008">
                  <w:pPr>
                    <w:widowControl/>
                    <w:jc w:val="center"/>
                    <w:textAlignment w:val="center"/>
                    <w:rPr>
                      <w:color w:val="auto"/>
                      <w:szCs w:val="21"/>
                      <w:u w:val="single"/>
                    </w:rPr>
                  </w:pPr>
                  <w:r>
                    <w:rPr>
                      <w:color w:val="auto"/>
                      <w:kern w:val="0"/>
                      <w:szCs w:val="21"/>
                      <w:u w:val="single"/>
                      <w:lang w:bidi="ar"/>
                    </w:rPr>
                    <w:t>1</w:t>
                  </w:r>
                </w:p>
              </w:tc>
            </w:tr>
            <w:tr w14:paraId="0643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13795486">
                  <w:pPr>
                    <w:wordWrap w:val="0"/>
                    <w:topLinePunct/>
                    <w:adjustRightInd w:val="0"/>
                    <w:snapToGrid w:val="0"/>
                    <w:jc w:val="center"/>
                    <w:rPr>
                      <w:color w:val="auto"/>
                      <w:szCs w:val="21"/>
                      <w:u w:val="single"/>
                    </w:rPr>
                  </w:pPr>
                </w:p>
              </w:tc>
              <w:tc>
                <w:tcPr>
                  <w:tcW w:w="383" w:type="pct"/>
                  <w:vAlign w:val="center"/>
                </w:tcPr>
                <w:p w14:paraId="0201A7AD">
                  <w:pPr>
                    <w:wordWrap w:val="0"/>
                    <w:topLinePunct/>
                    <w:adjustRightInd w:val="0"/>
                    <w:snapToGrid w:val="0"/>
                    <w:jc w:val="center"/>
                    <w:rPr>
                      <w:color w:val="auto"/>
                      <w:szCs w:val="21"/>
                      <w:u w:val="single"/>
                    </w:rPr>
                  </w:pPr>
                  <w:r>
                    <w:rPr>
                      <w:color w:val="auto"/>
                      <w:szCs w:val="21"/>
                      <w:u w:val="single"/>
                    </w:rPr>
                    <w:t>噪声</w:t>
                  </w:r>
                </w:p>
              </w:tc>
              <w:tc>
                <w:tcPr>
                  <w:tcW w:w="614" w:type="pct"/>
                  <w:vAlign w:val="center"/>
                </w:tcPr>
                <w:p w14:paraId="66B807E7">
                  <w:pPr>
                    <w:wordWrap w:val="0"/>
                    <w:topLinePunct/>
                    <w:adjustRightInd w:val="0"/>
                    <w:snapToGrid w:val="0"/>
                    <w:jc w:val="center"/>
                    <w:rPr>
                      <w:color w:val="auto"/>
                      <w:szCs w:val="21"/>
                      <w:u w:val="single"/>
                    </w:rPr>
                  </w:pPr>
                  <w:r>
                    <w:rPr>
                      <w:color w:val="auto"/>
                      <w:szCs w:val="21"/>
                      <w:u w:val="single"/>
                    </w:rPr>
                    <w:t>生产设备</w:t>
                  </w:r>
                </w:p>
              </w:tc>
              <w:tc>
                <w:tcPr>
                  <w:tcW w:w="1384" w:type="pct"/>
                  <w:vAlign w:val="center"/>
                </w:tcPr>
                <w:p w14:paraId="14A8634F">
                  <w:pPr>
                    <w:wordWrap w:val="0"/>
                    <w:topLinePunct/>
                    <w:adjustRightInd w:val="0"/>
                    <w:snapToGrid w:val="0"/>
                    <w:jc w:val="center"/>
                    <w:rPr>
                      <w:color w:val="auto"/>
                      <w:szCs w:val="21"/>
                      <w:u w:val="single"/>
                    </w:rPr>
                  </w:pPr>
                  <w:r>
                    <w:rPr>
                      <w:color w:val="auto"/>
                      <w:szCs w:val="21"/>
                      <w:u w:val="single"/>
                    </w:rPr>
                    <w:t>机械噪声</w:t>
                  </w:r>
                </w:p>
              </w:tc>
              <w:tc>
                <w:tcPr>
                  <w:tcW w:w="1362" w:type="pct"/>
                  <w:vAlign w:val="center"/>
                </w:tcPr>
                <w:p w14:paraId="247088DC">
                  <w:pPr>
                    <w:wordWrap w:val="0"/>
                    <w:topLinePunct/>
                    <w:adjustRightInd w:val="0"/>
                    <w:snapToGrid w:val="0"/>
                    <w:jc w:val="center"/>
                    <w:rPr>
                      <w:color w:val="auto"/>
                      <w:szCs w:val="21"/>
                      <w:u w:val="single"/>
                    </w:rPr>
                  </w:pPr>
                  <w:r>
                    <w:rPr>
                      <w:color w:val="auto"/>
                      <w:szCs w:val="21"/>
                      <w:u w:val="single"/>
                    </w:rPr>
                    <w:t>消声、隔声、减振措施</w:t>
                  </w:r>
                  <w:r>
                    <w:rPr>
                      <w:rStyle w:val="59"/>
                      <w:color w:val="auto"/>
                      <w:kern w:val="0"/>
                      <w:szCs w:val="21"/>
                      <w:u w:val="single"/>
                    </w:rPr>
                    <w:t>，</w:t>
                  </w:r>
                </w:p>
              </w:tc>
              <w:tc>
                <w:tcPr>
                  <w:tcW w:w="389" w:type="pct"/>
                  <w:vAlign w:val="center"/>
                </w:tcPr>
                <w:p w14:paraId="095F7458">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2CAAA5CD">
                  <w:pPr>
                    <w:widowControl/>
                    <w:jc w:val="center"/>
                    <w:textAlignment w:val="center"/>
                    <w:rPr>
                      <w:color w:val="auto"/>
                      <w:szCs w:val="21"/>
                      <w:u w:val="single"/>
                    </w:rPr>
                  </w:pPr>
                  <w:r>
                    <w:rPr>
                      <w:color w:val="auto"/>
                      <w:kern w:val="0"/>
                      <w:szCs w:val="21"/>
                      <w:u w:val="single"/>
                      <w:lang w:bidi="ar"/>
                    </w:rPr>
                    <w:t>10</w:t>
                  </w:r>
                </w:p>
              </w:tc>
            </w:tr>
            <w:tr w14:paraId="7BA9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252DC218">
                  <w:pPr>
                    <w:wordWrap w:val="0"/>
                    <w:topLinePunct/>
                    <w:adjustRightInd w:val="0"/>
                    <w:snapToGrid w:val="0"/>
                    <w:jc w:val="center"/>
                    <w:rPr>
                      <w:color w:val="auto"/>
                      <w:szCs w:val="21"/>
                      <w:u w:val="single"/>
                    </w:rPr>
                  </w:pPr>
                </w:p>
              </w:tc>
              <w:tc>
                <w:tcPr>
                  <w:tcW w:w="2381" w:type="pct"/>
                  <w:gridSpan w:val="3"/>
                  <w:vAlign w:val="center"/>
                </w:tcPr>
                <w:p w14:paraId="57512FC8">
                  <w:pPr>
                    <w:wordWrap w:val="0"/>
                    <w:topLinePunct/>
                    <w:adjustRightInd w:val="0"/>
                    <w:snapToGrid w:val="0"/>
                    <w:jc w:val="center"/>
                    <w:rPr>
                      <w:color w:val="auto"/>
                      <w:szCs w:val="21"/>
                      <w:u w:val="single"/>
                    </w:rPr>
                  </w:pPr>
                  <w:r>
                    <w:rPr>
                      <w:color w:val="auto"/>
                      <w:szCs w:val="21"/>
                      <w:u w:val="single"/>
                    </w:rPr>
                    <w:t>地下水风险防范及投资</w:t>
                  </w:r>
                </w:p>
              </w:tc>
              <w:tc>
                <w:tcPr>
                  <w:tcW w:w="1362" w:type="pct"/>
                  <w:vAlign w:val="center"/>
                </w:tcPr>
                <w:p w14:paraId="4A4BAADA">
                  <w:pPr>
                    <w:wordWrap w:val="0"/>
                    <w:topLinePunct/>
                    <w:adjustRightInd w:val="0"/>
                    <w:snapToGrid w:val="0"/>
                    <w:jc w:val="center"/>
                    <w:rPr>
                      <w:color w:val="auto"/>
                      <w:szCs w:val="21"/>
                      <w:u w:val="single"/>
                    </w:rPr>
                  </w:pPr>
                  <w:r>
                    <w:rPr>
                      <w:color w:val="auto"/>
                      <w:szCs w:val="21"/>
                      <w:u w:val="single"/>
                    </w:rPr>
                    <w:t>双层罐+底板混凝土</w:t>
                  </w:r>
                  <w:r>
                    <w:rPr>
                      <w:rFonts w:hint="eastAsia"/>
                      <w:color w:val="auto"/>
                      <w:szCs w:val="21"/>
                      <w:u w:val="single"/>
                    </w:rPr>
                    <w:t>+细砂+</w:t>
                  </w:r>
                  <w:r>
                    <w:rPr>
                      <w:color w:val="auto"/>
                      <w:szCs w:val="21"/>
                      <w:u w:val="single"/>
                    </w:rPr>
                    <w:t>地下水监测井</w:t>
                  </w:r>
                </w:p>
              </w:tc>
              <w:tc>
                <w:tcPr>
                  <w:tcW w:w="389" w:type="pct"/>
                  <w:vAlign w:val="center"/>
                </w:tcPr>
                <w:p w14:paraId="3048EA36">
                  <w:pPr>
                    <w:wordWrap w:val="0"/>
                    <w:topLinePunct/>
                    <w:adjustRightInd w:val="0"/>
                    <w:snapToGrid w:val="0"/>
                    <w:jc w:val="center"/>
                    <w:rPr>
                      <w:color w:val="auto"/>
                      <w:szCs w:val="21"/>
                      <w:u w:val="single"/>
                    </w:rPr>
                  </w:pPr>
                  <w:r>
                    <w:rPr>
                      <w:color w:val="auto"/>
                      <w:szCs w:val="21"/>
                      <w:u w:val="single"/>
                    </w:rPr>
                    <w:t>1座</w:t>
                  </w:r>
                </w:p>
              </w:tc>
              <w:tc>
                <w:tcPr>
                  <w:tcW w:w="488" w:type="pct"/>
                  <w:vAlign w:val="center"/>
                </w:tcPr>
                <w:p w14:paraId="7EADA550">
                  <w:pPr>
                    <w:widowControl/>
                    <w:jc w:val="center"/>
                    <w:textAlignment w:val="center"/>
                    <w:rPr>
                      <w:rFonts w:hint="default" w:eastAsia="宋体"/>
                      <w:color w:val="auto"/>
                      <w:szCs w:val="21"/>
                      <w:u w:val="single"/>
                      <w:lang w:val="en-US" w:eastAsia="zh-CN"/>
                    </w:rPr>
                  </w:pPr>
                  <w:r>
                    <w:rPr>
                      <w:rFonts w:hint="eastAsia"/>
                      <w:color w:val="auto"/>
                      <w:kern w:val="0"/>
                      <w:szCs w:val="21"/>
                      <w:u w:val="single"/>
                      <w:lang w:val="en-US" w:eastAsia="zh-CN" w:bidi="ar"/>
                    </w:rPr>
                    <w:t>40</w:t>
                  </w:r>
                </w:p>
              </w:tc>
            </w:tr>
            <w:tr w14:paraId="41A7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253937DB">
                  <w:pPr>
                    <w:wordWrap w:val="0"/>
                    <w:topLinePunct/>
                    <w:adjustRightInd w:val="0"/>
                    <w:snapToGrid w:val="0"/>
                    <w:jc w:val="center"/>
                    <w:rPr>
                      <w:color w:val="auto"/>
                      <w:szCs w:val="21"/>
                      <w:u w:val="single"/>
                    </w:rPr>
                  </w:pPr>
                </w:p>
              </w:tc>
              <w:tc>
                <w:tcPr>
                  <w:tcW w:w="2381" w:type="pct"/>
                  <w:gridSpan w:val="3"/>
                  <w:vAlign w:val="center"/>
                </w:tcPr>
                <w:p w14:paraId="50586559">
                  <w:pPr>
                    <w:wordWrap w:val="0"/>
                    <w:topLinePunct/>
                    <w:adjustRightInd w:val="0"/>
                    <w:snapToGrid w:val="0"/>
                    <w:jc w:val="center"/>
                    <w:rPr>
                      <w:color w:val="auto"/>
                      <w:szCs w:val="21"/>
                      <w:u w:val="single"/>
                    </w:rPr>
                  </w:pPr>
                  <w:r>
                    <w:rPr>
                      <w:color w:val="auto"/>
                      <w:szCs w:val="21"/>
                      <w:u w:val="single"/>
                    </w:rPr>
                    <w:t>防渗投资</w:t>
                  </w:r>
                </w:p>
              </w:tc>
              <w:tc>
                <w:tcPr>
                  <w:tcW w:w="1362" w:type="pct"/>
                  <w:vAlign w:val="center"/>
                </w:tcPr>
                <w:p w14:paraId="6A5F9805">
                  <w:pPr>
                    <w:wordWrap w:val="0"/>
                    <w:topLinePunct/>
                    <w:adjustRightInd w:val="0"/>
                    <w:snapToGrid w:val="0"/>
                    <w:jc w:val="center"/>
                    <w:rPr>
                      <w:color w:val="auto"/>
                      <w:szCs w:val="21"/>
                      <w:u w:val="single"/>
                    </w:rPr>
                  </w:pPr>
                  <w:r>
                    <w:rPr>
                      <w:rFonts w:hint="eastAsia"/>
                      <w:color w:val="auto"/>
                      <w:szCs w:val="21"/>
                      <w:u w:val="single"/>
                    </w:rPr>
                    <w:t>分区</w:t>
                  </w:r>
                  <w:r>
                    <w:rPr>
                      <w:color w:val="auto"/>
                      <w:szCs w:val="21"/>
                      <w:u w:val="single"/>
                    </w:rPr>
                    <w:t>防渗措施</w:t>
                  </w:r>
                </w:p>
              </w:tc>
              <w:tc>
                <w:tcPr>
                  <w:tcW w:w="389" w:type="pct"/>
                  <w:vAlign w:val="center"/>
                </w:tcPr>
                <w:p w14:paraId="2FECD1A0">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4F2AB8C6">
                  <w:pPr>
                    <w:widowControl/>
                    <w:jc w:val="center"/>
                    <w:textAlignment w:val="center"/>
                    <w:rPr>
                      <w:color w:val="auto"/>
                      <w:szCs w:val="21"/>
                      <w:u w:val="single"/>
                    </w:rPr>
                  </w:pPr>
                  <w:r>
                    <w:rPr>
                      <w:rFonts w:hint="eastAsia"/>
                      <w:color w:val="auto"/>
                      <w:kern w:val="0"/>
                      <w:szCs w:val="21"/>
                      <w:u w:val="single"/>
                      <w:lang w:bidi="ar"/>
                    </w:rPr>
                    <w:t>15</w:t>
                  </w:r>
                </w:p>
              </w:tc>
            </w:tr>
            <w:tr w14:paraId="6D9A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7" w:type="pct"/>
                  <w:vMerge w:val="continue"/>
                  <w:vAlign w:val="center"/>
                </w:tcPr>
                <w:p w14:paraId="2DE10AB3">
                  <w:pPr>
                    <w:wordWrap w:val="0"/>
                    <w:topLinePunct/>
                    <w:adjustRightInd w:val="0"/>
                    <w:snapToGrid w:val="0"/>
                    <w:jc w:val="center"/>
                    <w:rPr>
                      <w:color w:val="auto"/>
                      <w:szCs w:val="21"/>
                      <w:u w:val="single"/>
                    </w:rPr>
                  </w:pPr>
                </w:p>
              </w:tc>
              <w:tc>
                <w:tcPr>
                  <w:tcW w:w="997" w:type="pct"/>
                  <w:gridSpan w:val="2"/>
                  <w:vAlign w:val="center"/>
                </w:tcPr>
                <w:p w14:paraId="5D13F577">
                  <w:pPr>
                    <w:wordWrap w:val="0"/>
                    <w:topLinePunct/>
                    <w:adjustRightInd w:val="0"/>
                    <w:snapToGrid w:val="0"/>
                    <w:jc w:val="center"/>
                    <w:rPr>
                      <w:color w:val="auto"/>
                      <w:szCs w:val="21"/>
                      <w:u w:val="single"/>
                    </w:rPr>
                  </w:pPr>
                  <w:r>
                    <w:rPr>
                      <w:color w:val="auto"/>
                      <w:szCs w:val="21"/>
                      <w:u w:val="single"/>
                    </w:rPr>
                    <w:t>绿化</w:t>
                  </w:r>
                </w:p>
              </w:tc>
              <w:tc>
                <w:tcPr>
                  <w:tcW w:w="2746" w:type="pct"/>
                  <w:gridSpan w:val="2"/>
                  <w:vAlign w:val="center"/>
                </w:tcPr>
                <w:p w14:paraId="567DDBCC">
                  <w:pPr>
                    <w:wordWrap w:val="0"/>
                    <w:topLinePunct/>
                    <w:adjustRightInd w:val="0"/>
                    <w:snapToGrid w:val="0"/>
                    <w:jc w:val="center"/>
                    <w:rPr>
                      <w:color w:val="auto"/>
                      <w:szCs w:val="21"/>
                      <w:u w:val="single"/>
                    </w:rPr>
                  </w:pPr>
                  <w:r>
                    <w:rPr>
                      <w:color w:val="auto"/>
                      <w:szCs w:val="21"/>
                      <w:u w:val="single"/>
                    </w:rPr>
                    <w:t>乔木、灌木、草地</w:t>
                  </w:r>
                </w:p>
              </w:tc>
              <w:tc>
                <w:tcPr>
                  <w:tcW w:w="389" w:type="pct"/>
                  <w:vAlign w:val="center"/>
                </w:tcPr>
                <w:p w14:paraId="5BD056FB">
                  <w:pPr>
                    <w:wordWrap w:val="0"/>
                    <w:topLinePunct/>
                    <w:adjustRightInd w:val="0"/>
                    <w:snapToGrid w:val="0"/>
                    <w:jc w:val="center"/>
                    <w:rPr>
                      <w:color w:val="auto"/>
                      <w:szCs w:val="21"/>
                      <w:u w:val="single"/>
                    </w:rPr>
                  </w:pPr>
                  <w:r>
                    <w:rPr>
                      <w:color w:val="auto"/>
                      <w:szCs w:val="21"/>
                      <w:u w:val="single"/>
                    </w:rPr>
                    <w:t>/</w:t>
                  </w:r>
                </w:p>
              </w:tc>
              <w:tc>
                <w:tcPr>
                  <w:tcW w:w="488" w:type="pct"/>
                  <w:vAlign w:val="center"/>
                </w:tcPr>
                <w:p w14:paraId="05D836B4">
                  <w:pPr>
                    <w:widowControl/>
                    <w:jc w:val="center"/>
                    <w:textAlignment w:val="center"/>
                    <w:rPr>
                      <w:color w:val="auto"/>
                      <w:szCs w:val="21"/>
                      <w:u w:val="single"/>
                    </w:rPr>
                  </w:pPr>
                  <w:r>
                    <w:rPr>
                      <w:color w:val="auto"/>
                      <w:kern w:val="0"/>
                      <w:szCs w:val="21"/>
                      <w:u w:val="single"/>
                      <w:lang w:bidi="ar"/>
                    </w:rPr>
                    <w:t>8</w:t>
                  </w:r>
                </w:p>
              </w:tc>
            </w:tr>
            <w:tr w14:paraId="4292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511" w:type="pct"/>
                  <w:gridSpan w:val="6"/>
                  <w:vAlign w:val="center"/>
                </w:tcPr>
                <w:p w14:paraId="55816C87">
                  <w:pPr>
                    <w:wordWrap w:val="0"/>
                    <w:topLinePunct/>
                    <w:adjustRightInd w:val="0"/>
                    <w:snapToGrid w:val="0"/>
                    <w:jc w:val="center"/>
                    <w:rPr>
                      <w:color w:val="auto"/>
                      <w:szCs w:val="21"/>
                      <w:u w:val="single"/>
                    </w:rPr>
                  </w:pPr>
                  <w:r>
                    <w:rPr>
                      <w:color w:val="auto"/>
                      <w:szCs w:val="21"/>
                      <w:u w:val="single"/>
                    </w:rPr>
                    <w:t>合计</w:t>
                  </w:r>
                </w:p>
              </w:tc>
              <w:tc>
                <w:tcPr>
                  <w:tcW w:w="488" w:type="pct"/>
                  <w:vAlign w:val="center"/>
                </w:tcPr>
                <w:p w14:paraId="759567A0">
                  <w:pPr>
                    <w:wordWrap w:val="0"/>
                    <w:topLinePunct/>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154</w:t>
                  </w:r>
                </w:p>
              </w:tc>
            </w:tr>
          </w:tbl>
          <w:p w14:paraId="25524E5A">
            <w:pPr>
              <w:pStyle w:val="118"/>
              <w:spacing w:line="240" w:lineRule="auto"/>
              <w:ind w:firstLine="0"/>
              <w:rPr>
                <w:b/>
                <w:bCs/>
                <w:spacing w:val="-10"/>
              </w:rPr>
            </w:pPr>
          </w:p>
          <w:p w14:paraId="337D4C30">
            <w:pPr>
              <w:pStyle w:val="118"/>
              <w:spacing w:line="240" w:lineRule="auto"/>
              <w:ind w:firstLine="0"/>
              <w:rPr>
                <w:b/>
                <w:bCs/>
                <w:spacing w:val="-10"/>
              </w:rPr>
            </w:pPr>
          </w:p>
          <w:p w14:paraId="72B5A8BB">
            <w:pPr>
              <w:pStyle w:val="118"/>
              <w:spacing w:line="240" w:lineRule="auto"/>
              <w:ind w:firstLine="0"/>
              <w:rPr>
                <w:b/>
                <w:bCs/>
                <w:spacing w:val="-10"/>
              </w:rPr>
            </w:pPr>
          </w:p>
          <w:p w14:paraId="3D3A06F1">
            <w:pPr>
              <w:pStyle w:val="118"/>
              <w:spacing w:line="240" w:lineRule="auto"/>
              <w:ind w:firstLine="0"/>
              <w:rPr>
                <w:b/>
                <w:bCs/>
                <w:spacing w:val="-10"/>
              </w:rPr>
            </w:pPr>
          </w:p>
          <w:p w14:paraId="683EC859">
            <w:pPr>
              <w:pStyle w:val="118"/>
              <w:spacing w:line="240" w:lineRule="auto"/>
              <w:ind w:firstLine="0"/>
              <w:rPr>
                <w:b/>
                <w:bCs/>
                <w:spacing w:val="-10"/>
              </w:rPr>
            </w:pPr>
          </w:p>
          <w:p w14:paraId="2E9ED7D2">
            <w:pPr>
              <w:pStyle w:val="118"/>
              <w:spacing w:line="240" w:lineRule="auto"/>
              <w:ind w:firstLine="0"/>
              <w:rPr>
                <w:b/>
                <w:bCs/>
                <w:spacing w:val="-10"/>
              </w:rPr>
            </w:pPr>
          </w:p>
          <w:p w14:paraId="2DAA1126">
            <w:pPr>
              <w:pStyle w:val="118"/>
              <w:spacing w:line="240" w:lineRule="auto"/>
              <w:ind w:firstLine="0"/>
              <w:rPr>
                <w:b/>
                <w:bCs/>
                <w:spacing w:val="-10"/>
              </w:rPr>
            </w:pPr>
          </w:p>
          <w:p w14:paraId="07027361">
            <w:pPr>
              <w:pStyle w:val="118"/>
              <w:spacing w:line="240" w:lineRule="auto"/>
              <w:ind w:firstLine="0"/>
              <w:rPr>
                <w:b/>
                <w:bCs/>
                <w:spacing w:val="-10"/>
              </w:rPr>
            </w:pPr>
          </w:p>
          <w:p w14:paraId="6B9A68C9">
            <w:pPr>
              <w:pStyle w:val="118"/>
              <w:spacing w:line="240" w:lineRule="auto"/>
              <w:ind w:firstLine="0"/>
              <w:rPr>
                <w:b/>
                <w:bCs/>
                <w:spacing w:val="-10"/>
              </w:rPr>
            </w:pPr>
          </w:p>
          <w:p w14:paraId="0C60A3AA">
            <w:pPr>
              <w:pStyle w:val="118"/>
              <w:spacing w:line="240" w:lineRule="auto"/>
              <w:ind w:firstLine="0"/>
              <w:rPr>
                <w:b/>
                <w:bCs/>
                <w:spacing w:val="-10"/>
              </w:rPr>
            </w:pPr>
          </w:p>
          <w:p w14:paraId="06BB7D84">
            <w:pPr>
              <w:pStyle w:val="118"/>
              <w:spacing w:line="240" w:lineRule="auto"/>
              <w:ind w:firstLine="0"/>
              <w:rPr>
                <w:b/>
                <w:bCs/>
                <w:spacing w:val="-10"/>
              </w:rPr>
            </w:pPr>
          </w:p>
          <w:p w14:paraId="1AC3BC67">
            <w:pPr>
              <w:pStyle w:val="118"/>
              <w:spacing w:line="240" w:lineRule="auto"/>
              <w:ind w:firstLine="0"/>
              <w:rPr>
                <w:b/>
                <w:bCs/>
                <w:spacing w:val="-10"/>
              </w:rPr>
            </w:pPr>
          </w:p>
          <w:p w14:paraId="1CA42D10">
            <w:pPr>
              <w:pStyle w:val="118"/>
              <w:spacing w:line="240" w:lineRule="auto"/>
              <w:ind w:firstLine="0"/>
              <w:rPr>
                <w:b/>
                <w:bCs/>
                <w:spacing w:val="-10"/>
              </w:rPr>
            </w:pPr>
          </w:p>
          <w:p w14:paraId="4F295C3A">
            <w:pPr>
              <w:pStyle w:val="118"/>
              <w:spacing w:line="240" w:lineRule="auto"/>
              <w:ind w:firstLine="0"/>
              <w:rPr>
                <w:b/>
                <w:bCs/>
                <w:spacing w:val="-10"/>
              </w:rPr>
            </w:pPr>
          </w:p>
          <w:p w14:paraId="5D024EC9">
            <w:pPr>
              <w:pStyle w:val="118"/>
              <w:spacing w:line="240" w:lineRule="auto"/>
              <w:ind w:firstLine="0"/>
              <w:rPr>
                <w:b/>
                <w:bCs/>
                <w:spacing w:val="-10"/>
              </w:rPr>
            </w:pPr>
          </w:p>
          <w:p w14:paraId="74B89BBC">
            <w:pPr>
              <w:pStyle w:val="118"/>
              <w:spacing w:line="240" w:lineRule="auto"/>
              <w:ind w:firstLine="0"/>
              <w:rPr>
                <w:b/>
                <w:bCs/>
                <w:spacing w:val="-10"/>
              </w:rPr>
            </w:pPr>
          </w:p>
          <w:p w14:paraId="71884BF6">
            <w:pPr>
              <w:pStyle w:val="118"/>
              <w:spacing w:line="240" w:lineRule="auto"/>
              <w:ind w:firstLine="0"/>
              <w:rPr>
                <w:b/>
                <w:bCs/>
                <w:spacing w:val="-10"/>
              </w:rPr>
            </w:pPr>
          </w:p>
        </w:tc>
      </w:tr>
    </w:tbl>
    <w:p w14:paraId="3FCC7E33">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858CF54">
      <w:pPr>
        <w:pStyle w:val="47"/>
        <w:jc w:val="center"/>
        <w:outlineLvl w:val="0"/>
        <w:rPr>
          <w:rFonts w:ascii="黑体" w:hAnsi="黑体" w:eastAsia="黑体"/>
          <w:snapToGrid w:val="0"/>
          <w:sz w:val="30"/>
          <w:szCs w:val="30"/>
        </w:rPr>
      </w:pPr>
      <w:bookmarkStart w:id="43" w:name="_Toc69851323"/>
      <w:bookmarkStart w:id="44" w:name="_Toc11080"/>
      <w:r>
        <w:rPr>
          <w:rFonts w:ascii="黑体" w:hAnsi="黑体" w:eastAsia="黑体"/>
          <w:snapToGrid w:val="0"/>
          <w:sz w:val="30"/>
          <w:szCs w:val="30"/>
        </w:rPr>
        <w:t>五、</w:t>
      </w:r>
      <w:bookmarkStart w:id="45" w:name="_Hlk54167917"/>
      <w:r>
        <w:rPr>
          <w:rFonts w:ascii="黑体" w:hAnsi="黑体" w:eastAsia="黑体"/>
          <w:snapToGrid w:val="0"/>
          <w:sz w:val="30"/>
          <w:szCs w:val="30"/>
        </w:rPr>
        <w:t>环境保护措施监督检查清单</w:t>
      </w:r>
      <w:bookmarkEnd w:id="43"/>
      <w:bookmarkEnd w:id="44"/>
      <w:bookmarkEnd w:id="45"/>
    </w:p>
    <w:tbl>
      <w:tblPr>
        <w:tblStyle w:val="5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399"/>
        <w:gridCol w:w="1843"/>
        <w:gridCol w:w="2175"/>
        <w:gridCol w:w="1818"/>
      </w:tblGrid>
      <w:tr w14:paraId="2E551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tcBorders>
              <w:tl2br w:val="single" w:color="auto" w:sz="4" w:space="0"/>
            </w:tcBorders>
            <w:vAlign w:val="center"/>
          </w:tcPr>
          <w:p w14:paraId="536EE9A5">
            <w:pPr>
              <w:wordWrap w:val="0"/>
              <w:topLinePunct/>
              <w:adjustRightInd w:val="0"/>
              <w:snapToGrid w:val="0"/>
              <w:jc w:val="right"/>
              <w:rPr>
                <w:b/>
                <w:bCs/>
                <w:color w:val="auto"/>
                <w:szCs w:val="21"/>
                <w:u w:val="single"/>
              </w:rPr>
            </w:pPr>
            <w:r>
              <w:rPr>
                <w:b/>
                <w:bCs/>
                <w:color w:val="auto"/>
                <w:szCs w:val="21"/>
                <w:u w:val="single"/>
              </w:rPr>
              <w:t>内容</w:t>
            </w:r>
          </w:p>
          <w:p w14:paraId="3FB90899">
            <w:pPr>
              <w:wordWrap w:val="0"/>
              <w:topLinePunct/>
              <w:adjustRightInd w:val="0"/>
              <w:snapToGrid w:val="0"/>
              <w:jc w:val="both"/>
              <w:rPr>
                <w:b/>
                <w:bCs/>
                <w:color w:val="auto"/>
                <w:szCs w:val="21"/>
                <w:u w:val="single"/>
              </w:rPr>
            </w:pPr>
          </w:p>
          <w:p w14:paraId="72C92697">
            <w:pPr>
              <w:wordWrap w:val="0"/>
              <w:topLinePunct/>
              <w:adjustRightInd w:val="0"/>
              <w:snapToGrid w:val="0"/>
              <w:jc w:val="left"/>
              <w:rPr>
                <w:b/>
                <w:bCs/>
                <w:color w:val="auto"/>
                <w:szCs w:val="21"/>
                <w:u w:val="single"/>
              </w:rPr>
            </w:pPr>
            <w:r>
              <w:rPr>
                <w:b/>
                <w:bCs/>
                <w:color w:val="auto"/>
                <w:szCs w:val="21"/>
                <w:u w:val="single"/>
              </w:rPr>
              <w:t>要素</w:t>
            </w:r>
          </w:p>
        </w:tc>
        <w:tc>
          <w:tcPr>
            <w:tcW w:w="772" w:type="pct"/>
            <w:vAlign w:val="center"/>
          </w:tcPr>
          <w:p w14:paraId="6CF178B5">
            <w:pPr>
              <w:wordWrap w:val="0"/>
              <w:topLinePunct/>
              <w:adjustRightInd w:val="0"/>
              <w:snapToGrid w:val="0"/>
              <w:jc w:val="center"/>
              <w:rPr>
                <w:b/>
                <w:bCs/>
                <w:color w:val="auto"/>
                <w:szCs w:val="21"/>
                <w:u w:val="single"/>
              </w:rPr>
            </w:pPr>
            <w:r>
              <w:rPr>
                <w:b/>
                <w:bCs/>
                <w:color w:val="auto"/>
                <w:szCs w:val="21"/>
                <w:u w:val="single"/>
              </w:rPr>
              <w:t>排放口(编号、名称)/污染源</w:t>
            </w:r>
          </w:p>
        </w:tc>
        <w:tc>
          <w:tcPr>
            <w:tcW w:w="1017" w:type="pct"/>
            <w:vAlign w:val="center"/>
          </w:tcPr>
          <w:p w14:paraId="0F64ED1D">
            <w:pPr>
              <w:wordWrap w:val="0"/>
              <w:topLinePunct/>
              <w:adjustRightInd w:val="0"/>
              <w:snapToGrid w:val="0"/>
              <w:jc w:val="center"/>
              <w:rPr>
                <w:b/>
                <w:bCs/>
                <w:color w:val="auto"/>
                <w:szCs w:val="21"/>
                <w:u w:val="single"/>
              </w:rPr>
            </w:pPr>
            <w:r>
              <w:rPr>
                <w:b/>
                <w:bCs/>
                <w:color w:val="auto"/>
                <w:szCs w:val="21"/>
                <w:u w:val="single"/>
              </w:rPr>
              <w:t>污染物项目</w:t>
            </w:r>
          </w:p>
        </w:tc>
        <w:tc>
          <w:tcPr>
            <w:tcW w:w="1200" w:type="pct"/>
            <w:vAlign w:val="center"/>
          </w:tcPr>
          <w:p w14:paraId="2F85D5A3">
            <w:pPr>
              <w:wordWrap w:val="0"/>
              <w:topLinePunct/>
              <w:adjustRightInd w:val="0"/>
              <w:snapToGrid w:val="0"/>
              <w:jc w:val="center"/>
              <w:rPr>
                <w:b/>
                <w:bCs/>
                <w:color w:val="auto"/>
                <w:szCs w:val="21"/>
                <w:u w:val="single"/>
              </w:rPr>
            </w:pPr>
            <w:r>
              <w:rPr>
                <w:b/>
                <w:bCs/>
                <w:color w:val="auto"/>
                <w:szCs w:val="21"/>
                <w:u w:val="single"/>
              </w:rPr>
              <w:t>环境保护措施</w:t>
            </w:r>
          </w:p>
        </w:tc>
        <w:tc>
          <w:tcPr>
            <w:tcW w:w="1003" w:type="pct"/>
            <w:vAlign w:val="center"/>
          </w:tcPr>
          <w:p w14:paraId="2165826C">
            <w:pPr>
              <w:wordWrap w:val="0"/>
              <w:topLinePunct/>
              <w:adjustRightInd w:val="0"/>
              <w:snapToGrid w:val="0"/>
              <w:jc w:val="center"/>
              <w:rPr>
                <w:b/>
                <w:bCs/>
                <w:color w:val="auto"/>
                <w:szCs w:val="21"/>
                <w:u w:val="single"/>
              </w:rPr>
            </w:pPr>
            <w:r>
              <w:rPr>
                <w:b/>
                <w:bCs/>
                <w:color w:val="auto"/>
                <w:szCs w:val="21"/>
                <w:u w:val="single"/>
              </w:rPr>
              <w:t>执行标准</w:t>
            </w:r>
          </w:p>
        </w:tc>
      </w:tr>
      <w:tr w14:paraId="57DAF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restart"/>
            <w:vAlign w:val="center"/>
          </w:tcPr>
          <w:p w14:paraId="555C5470">
            <w:pPr>
              <w:wordWrap w:val="0"/>
              <w:topLinePunct/>
              <w:adjustRightInd w:val="0"/>
              <w:snapToGrid w:val="0"/>
              <w:jc w:val="center"/>
              <w:rPr>
                <w:color w:val="auto"/>
                <w:szCs w:val="21"/>
                <w:u w:val="single"/>
              </w:rPr>
            </w:pPr>
            <w:r>
              <w:rPr>
                <w:color w:val="auto"/>
                <w:szCs w:val="21"/>
                <w:u w:val="single"/>
              </w:rPr>
              <w:t>大气环境</w:t>
            </w:r>
          </w:p>
        </w:tc>
        <w:tc>
          <w:tcPr>
            <w:tcW w:w="772" w:type="pct"/>
            <w:vAlign w:val="center"/>
          </w:tcPr>
          <w:p w14:paraId="73B7F915">
            <w:pPr>
              <w:wordWrap w:val="0"/>
              <w:topLinePunct/>
              <w:adjustRightInd w:val="0"/>
              <w:snapToGrid w:val="0"/>
              <w:jc w:val="center"/>
              <w:rPr>
                <w:rFonts w:hint="eastAsia" w:eastAsia="宋体"/>
                <w:color w:val="auto"/>
                <w:szCs w:val="21"/>
                <w:u w:val="single"/>
                <w:lang w:eastAsia="zh-CN"/>
              </w:rPr>
            </w:pPr>
            <w:r>
              <w:rPr>
                <w:color w:val="auto"/>
                <w:szCs w:val="21"/>
                <w:u w:val="single"/>
              </w:rPr>
              <w:t>汽油卸油</w:t>
            </w:r>
          </w:p>
        </w:tc>
        <w:tc>
          <w:tcPr>
            <w:tcW w:w="1017" w:type="pct"/>
            <w:vMerge w:val="restart"/>
            <w:vAlign w:val="center"/>
          </w:tcPr>
          <w:p w14:paraId="3E36EE9F">
            <w:pPr>
              <w:wordWrap w:val="0"/>
              <w:topLinePunct/>
              <w:adjustRightInd w:val="0"/>
              <w:snapToGrid w:val="0"/>
              <w:jc w:val="center"/>
              <w:rPr>
                <w:color w:val="auto"/>
                <w:szCs w:val="21"/>
                <w:u w:val="single"/>
              </w:rPr>
            </w:pPr>
            <w:r>
              <w:rPr>
                <w:color w:val="auto"/>
                <w:szCs w:val="21"/>
                <w:u w:val="single"/>
              </w:rPr>
              <w:t>非甲烷总烃</w:t>
            </w:r>
          </w:p>
        </w:tc>
        <w:tc>
          <w:tcPr>
            <w:tcW w:w="1200" w:type="pct"/>
            <w:vAlign w:val="center"/>
          </w:tcPr>
          <w:p w14:paraId="00D9ABB4">
            <w:pPr>
              <w:wordWrap w:val="0"/>
              <w:topLinePunct/>
              <w:adjustRightInd w:val="0"/>
              <w:snapToGrid w:val="0"/>
              <w:jc w:val="center"/>
              <w:rPr>
                <w:rFonts w:hint="default" w:eastAsia="宋体"/>
                <w:color w:val="auto"/>
                <w:szCs w:val="21"/>
                <w:u w:val="single"/>
                <w:lang w:val="en-US" w:eastAsia="zh-CN"/>
              </w:rPr>
            </w:pPr>
            <w:r>
              <w:rPr>
                <w:rFonts w:hint="eastAsia"/>
                <w:u w:val="single"/>
                <w:lang w:val="en-US" w:eastAsia="zh-CN"/>
              </w:rPr>
              <w:t>一次汽油回收系统</w:t>
            </w:r>
          </w:p>
        </w:tc>
        <w:tc>
          <w:tcPr>
            <w:tcW w:w="1003" w:type="pct"/>
            <w:vMerge w:val="restart"/>
            <w:vAlign w:val="center"/>
          </w:tcPr>
          <w:p w14:paraId="3B3E2FE4">
            <w:pPr>
              <w:wordWrap w:val="0"/>
              <w:topLinePunct/>
              <w:adjustRightInd w:val="0"/>
              <w:snapToGrid w:val="0"/>
              <w:jc w:val="center"/>
              <w:rPr>
                <w:color w:val="auto"/>
                <w:szCs w:val="21"/>
                <w:u w:val="single"/>
              </w:rPr>
            </w:pPr>
            <w:r>
              <w:rPr>
                <w:color w:val="auto"/>
                <w:kern w:val="0"/>
                <w:u w:val="single"/>
              </w:rPr>
              <w:t>《加油站大气污染物排放标准》（GB20952-2020）</w:t>
            </w:r>
            <w:r>
              <w:rPr>
                <w:rFonts w:hint="eastAsia"/>
                <w:color w:val="auto"/>
                <w:kern w:val="0"/>
                <w:u w:val="single"/>
                <w:lang w:eastAsia="zh-CN"/>
              </w:rPr>
              <w:t>、</w:t>
            </w:r>
            <w:r>
              <w:rPr>
                <w:rFonts w:hint="eastAsia" w:ascii="Times New Roman" w:hAnsi="Times New Roman" w:eastAsia="宋体" w:cs="Times New Roman"/>
                <w:color w:val="auto"/>
                <w:sz w:val="21"/>
                <w:szCs w:val="21"/>
                <w:u w:val="single"/>
              </w:rPr>
              <w:t>《挥发性有机物无组织排放控制标准》（GB37822-2019）</w:t>
            </w:r>
          </w:p>
        </w:tc>
      </w:tr>
      <w:tr w14:paraId="10103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3A99CF40">
            <w:pPr>
              <w:wordWrap w:val="0"/>
              <w:topLinePunct/>
              <w:adjustRightInd w:val="0"/>
              <w:snapToGrid w:val="0"/>
              <w:jc w:val="center"/>
              <w:rPr>
                <w:color w:val="auto"/>
                <w:szCs w:val="21"/>
                <w:u w:val="single"/>
              </w:rPr>
            </w:pPr>
          </w:p>
        </w:tc>
        <w:tc>
          <w:tcPr>
            <w:tcW w:w="772" w:type="pct"/>
            <w:vAlign w:val="center"/>
          </w:tcPr>
          <w:p w14:paraId="1165F57E">
            <w:pPr>
              <w:wordWrap w:val="0"/>
              <w:topLinePunct/>
              <w:adjustRightInd w:val="0"/>
              <w:snapToGrid w:val="0"/>
              <w:jc w:val="center"/>
              <w:rPr>
                <w:color w:val="auto"/>
                <w:szCs w:val="21"/>
                <w:u w:val="single"/>
              </w:rPr>
            </w:pPr>
            <w:r>
              <w:rPr>
                <w:color w:val="auto"/>
                <w:szCs w:val="21"/>
                <w:u w:val="single"/>
              </w:rPr>
              <w:t>加油</w:t>
            </w:r>
          </w:p>
        </w:tc>
        <w:tc>
          <w:tcPr>
            <w:tcW w:w="1017" w:type="pct"/>
            <w:vMerge w:val="continue"/>
            <w:vAlign w:val="center"/>
          </w:tcPr>
          <w:p w14:paraId="6A989E3E">
            <w:pPr>
              <w:wordWrap w:val="0"/>
              <w:topLinePunct/>
              <w:adjustRightInd w:val="0"/>
              <w:snapToGrid w:val="0"/>
              <w:jc w:val="center"/>
              <w:rPr>
                <w:color w:val="auto"/>
                <w:szCs w:val="21"/>
                <w:u w:val="single"/>
              </w:rPr>
            </w:pPr>
          </w:p>
        </w:tc>
        <w:tc>
          <w:tcPr>
            <w:tcW w:w="1200" w:type="pct"/>
            <w:vAlign w:val="center"/>
          </w:tcPr>
          <w:p w14:paraId="05291DF0">
            <w:pPr>
              <w:wordWrap w:val="0"/>
              <w:topLinePunct/>
              <w:adjustRightInd w:val="0"/>
              <w:snapToGrid w:val="0"/>
              <w:jc w:val="center"/>
              <w:rPr>
                <w:rFonts w:hint="eastAsia"/>
                <w:color w:val="auto"/>
                <w:szCs w:val="21"/>
                <w:u w:val="single"/>
              </w:rPr>
            </w:pPr>
            <w:r>
              <w:rPr>
                <w:rFonts w:hint="eastAsia"/>
                <w:u w:val="single"/>
                <w:lang w:val="en-US" w:eastAsia="zh-CN"/>
              </w:rPr>
              <w:t>二次汽油回收系统</w:t>
            </w:r>
          </w:p>
        </w:tc>
        <w:tc>
          <w:tcPr>
            <w:tcW w:w="1003" w:type="pct"/>
            <w:vMerge w:val="continue"/>
            <w:vAlign w:val="center"/>
          </w:tcPr>
          <w:p w14:paraId="0C6EA23D">
            <w:pPr>
              <w:wordWrap w:val="0"/>
              <w:topLinePunct/>
              <w:adjustRightInd w:val="0"/>
              <w:snapToGrid w:val="0"/>
              <w:jc w:val="center"/>
              <w:rPr>
                <w:color w:val="auto"/>
                <w:kern w:val="0"/>
                <w:u w:val="single"/>
              </w:rPr>
            </w:pPr>
          </w:p>
        </w:tc>
      </w:tr>
      <w:tr w14:paraId="78BD6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2A356345">
            <w:pPr>
              <w:wordWrap w:val="0"/>
              <w:topLinePunct/>
              <w:adjustRightInd w:val="0"/>
              <w:snapToGrid w:val="0"/>
              <w:jc w:val="center"/>
              <w:rPr>
                <w:color w:val="auto"/>
                <w:szCs w:val="21"/>
                <w:u w:val="single"/>
              </w:rPr>
            </w:pPr>
          </w:p>
        </w:tc>
        <w:tc>
          <w:tcPr>
            <w:tcW w:w="772" w:type="pct"/>
            <w:vAlign w:val="center"/>
          </w:tcPr>
          <w:p w14:paraId="456FE531">
            <w:pPr>
              <w:wordWrap w:val="0"/>
              <w:topLinePunct/>
              <w:adjustRightInd w:val="0"/>
              <w:snapToGrid w:val="0"/>
              <w:jc w:val="center"/>
              <w:rPr>
                <w:color w:val="auto"/>
                <w:szCs w:val="21"/>
                <w:u w:val="single"/>
              </w:rPr>
            </w:pPr>
            <w:r>
              <w:rPr>
                <w:rFonts w:hint="eastAsia"/>
                <w:color w:val="auto"/>
                <w:szCs w:val="21"/>
                <w:u w:val="single"/>
                <w:lang w:val="en-US" w:eastAsia="zh-CN"/>
              </w:rPr>
              <w:t>储油</w:t>
            </w:r>
          </w:p>
        </w:tc>
        <w:tc>
          <w:tcPr>
            <w:tcW w:w="1017" w:type="pct"/>
            <w:vMerge w:val="continue"/>
            <w:vAlign w:val="center"/>
          </w:tcPr>
          <w:p w14:paraId="0C20717D">
            <w:pPr>
              <w:wordWrap w:val="0"/>
              <w:topLinePunct/>
              <w:adjustRightInd w:val="0"/>
              <w:snapToGrid w:val="0"/>
              <w:jc w:val="center"/>
              <w:rPr>
                <w:color w:val="auto"/>
                <w:szCs w:val="21"/>
                <w:u w:val="single"/>
              </w:rPr>
            </w:pPr>
          </w:p>
        </w:tc>
        <w:tc>
          <w:tcPr>
            <w:tcW w:w="1200" w:type="pct"/>
            <w:vAlign w:val="center"/>
          </w:tcPr>
          <w:p w14:paraId="664EB6D3">
            <w:pPr>
              <w:wordWrap w:val="0"/>
              <w:topLinePunct/>
              <w:adjustRightInd w:val="0"/>
              <w:snapToGrid w:val="0"/>
              <w:jc w:val="center"/>
              <w:rPr>
                <w:rFonts w:hint="eastAsia"/>
                <w:color w:val="auto"/>
                <w:szCs w:val="21"/>
                <w:u w:val="single"/>
              </w:rPr>
            </w:pPr>
            <w:r>
              <w:rPr>
                <w:rFonts w:hint="eastAsia"/>
                <w:color w:val="auto"/>
                <w:szCs w:val="21"/>
                <w:u w:val="single"/>
              </w:rPr>
              <w:t>三次油气回收装置（冷凝+活性炭吸附）处理后，通过离地4.5m高排气</w:t>
            </w:r>
            <w:r>
              <w:rPr>
                <w:rFonts w:hint="eastAsia"/>
                <w:color w:val="auto"/>
                <w:szCs w:val="21"/>
                <w:u w:val="single"/>
                <w:lang w:val="en-US" w:eastAsia="zh-CN"/>
              </w:rPr>
              <w:t>口</w:t>
            </w:r>
            <w:r>
              <w:rPr>
                <w:rFonts w:hint="eastAsia"/>
                <w:color w:val="auto"/>
                <w:szCs w:val="21"/>
                <w:u w:val="single"/>
              </w:rPr>
              <w:t>排放</w:t>
            </w:r>
          </w:p>
        </w:tc>
        <w:tc>
          <w:tcPr>
            <w:tcW w:w="1003" w:type="pct"/>
            <w:vMerge w:val="continue"/>
            <w:vAlign w:val="center"/>
          </w:tcPr>
          <w:p w14:paraId="0ECFCEED">
            <w:pPr>
              <w:wordWrap w:val="0"/>
              <w:topLinePunct/>
              <w:adjustRightInd w:val="0"/>
              <w:snapToGrid w:val="0"/>
              <w:jc w:val="center"/>
              <w:rPr>
                <w:color w:val="auto"/>
                <w:kern w:val="0"/>
                <w:u w:val="single"/>
              </w:rPr>
            </w:pPr>
          </w:p>
        </w:tc>
      </w:tr>
      <w:tr w14:paraId="33D61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13555F44">
            <w:pPr>
              <w:wordWrap w:val="0"/>
              <w:topLinePunct/>
              <w:adjustRightInd w:val="0"/>
              <w:snapToGrid w:val="0"/>
              <w:jc w:val="center"/>
              <w:rPr>
                <w:color w:val="auto"/>
                <w:szCs w:val="21"/>
                <w:u w:val="single"/>
              </w:rPr>
            </w:pPr>
          </w:p>
        </w:tc>
        <w:tc>
          <w:tcPr>
            <w:tcW w:w="772" w:type="pct"/>
            <w:vAlign w:val="center"/>
          </w:tcPr>
          <w:p w14:paraId="5C4F613D">
            <w:pPr>
              <w:wordWrap w:val="0"/>
              <w:topLinePunct/>
              <w:adjustRightInd w:val="0"/>
              <w:snapToGrid w:val="0"/>
              <w:jc w:val="center"/>
              <w:rPr>
                <w:color w:val="auto"/>
                <w:szCs w:val="21"/>
                <w:u w:val="single"/>
              </w:rPr>
            </w:pPr>
            <w:r>
              <w:rPr>
                <w:color w:val="auto"/>
                <w:szCs w:val="21"/>
                <w:u w:val="single"/>
              </w:rPr>
              <w:t>机动车</w:t>
            </w:r>
          </w:p>
        </w:tc>
        <w:tc>
          <w:tcPr>
            <w:tcW w:w="1017" w:type="pct"/>
            <w:vAlign w:val="center"/>
          </w:tcPr>
          <w:p w14:paraId="4F1A5002">
            <w:pPr>
              <w:wordWrap w:val="0"/>
              <w:topLinePunct/>
              <w:adjustRightInd w:val="0"/>
              <w:snapToGrid w:val="0"/>
              <w:jc w:val="center"/>
              <w:rPr>
                <w:color w:val="auto"/>
                <w:szCs w:val="21"/>
                <w:u w:val="single"/>
              </w:rPr>
            </w:pPr>
            <w:r>
              <w:rPr>
                <w:color w:val="auto"/>
                <w:szCs w:val="21"/>
                <w:u w:val="single"/>
              </w:rPr>
              <w:t>机动车尾气</w:t>
            </w:r>
          </w:p>
        </w:tc>
        <w:tc>
          <w:tcPr>
            <w:tcW w:w="1200" w:type="pct"/>
            <w:vMerge w:val="restart"/>
            <w:vAlign w:val="center"/>
          </w:tcPr>
          <w:p w14:paraId="1E492CD2">
            <w:pPr>
              <w:wordWrap w:val="0"/>
              <w:topLinePunct/>
              <w:adjustRightInd w:val="0"/>
              <w:snapToGrid w:val="0"/>
              <w:jc w:val="center"/>
              <w:rPr>
                <w:color w:val="auto"/>
                <w:szCs w:val="21"/>
                <w:u w:val="single"/>
              </w:rPr>
            </w:pPr>
            <w:r>
              <w:rPr>
                <w:color w:val="auto"/>
                <w:szCs w:val="21"/>
                <w:u w:val="single"/>
              </w:rPr>
              <w:t>无组织排放</w:t>
            </w:r>
          </w:p>
        </w:tc>
        <w:tc>
          <w:tcPr>
            <w:tcW w:w="1003" w:type="pct"/>
            <w:vAlign w:val="center"/>
          </w:tcPr>
          <w:p w14:paraId="304358D0">
            <w:pPr>
              <w:wordWrap w:val="0"/>
              <w:topLinePunct/>
              <w:adjustRightInd w:val="0"/>
              <w:snapToGrid w:val="0"/>
              <w:jc w:val="center"/>
              <w:rPr>
                <w:color w:val="auto"/>
                <w:u w:val="single"/>
              </w:rPr>
            </w:pPr>
            <w:r>
              <w:rPr>
                <w:color w:val="auto"/>
                <w:u w:val="single"/>
              </w:rPr>
              <w:t>/</w:t>
            </w:r>
          </w:p>
        </w:tc>
      </w:tr>
      <w:tr w14:paraId="45B72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007" w:type="pct"/>
            <w:vMerge w:val="continue"/>
            <w:vAlign w:val="center"/>
          </w:tcPr>
          <w:p w14:paraId="25D2ECD8">
            <w:pPr>
              <w:wordWrap w:val="0"/>
              <w:topLinePunct/>
              <w:adjustRightInd w:val="0"/>
              <w:snapToGrid w:val="0"/>
              <w:jc w:val="center"/>
              <w:rPr>
                <w:color w:val="auto"/>
                <w:szCs w:val="21"/>
                <w:u w:val="single"/>
              </w:rPr>
            </w:pPr>
          </w:p>
        </w:tc>
        <w:tc>
          <w:tcPr>
            <w:tcW w:w="772" w:type="pct"/>
            <w:vAlign w:val="center"/>
          </w:tcPr>
          <w:p w14:paraId="6F8713BB">
            <w:pPr>
              <w:spacing w:line="300" w:lineRule="exact"/>
              <w:jc w:val="center"/>
              <w:rPr>
                <w:color w:val="auto"/>
                <w:szCs w:val="21"/>
                <w:u w:val="single"/>
              </w:rPr>
            </w:pPr>
            <w:r>
              <w:rPr>
                <w:rFonts w:hint="eastAsia"/>
                <w:color w:val="auto"/>
                <w:szCs w:val="21"/>
                <w:u w:val="single"/>
              </w:rPr>
              <w:t>备用柴油发电机</w:t>
            </w:r>
          </w:p>
        </w:tc>
        <w:tc>
          <w:tcPr>
            <w:tcW w:w="1017" w:type="pct"/>
            <w:vAlign w:val="center"/>
          </w:tcPr>
          <w:p w14:paraId="2178D4F0">
            <w:pPr>
              <w:spacing w:line="300" w:lineRule="exact"/>
              <w:jc w:val="center"/>
              <w:rPr>
                <w:color w:val="auto"/>
                <w:szCs w:val="21"/>
                <w:u w:val="single"/>
              </w:rPr>
            </w:pPr>
            <w:r>
              <w:rPr>
                <w:rFonts w:hint="eastAsia"/>
                <w:color w:val="auto"/>
                <w:szCs w:val="21"/>
                <w:u w:val="single"/>
              </w:rPr>
              <w:t>柴油发电机废气</w:t>
            </w:r>
          </w:p>
        </w:tc>
        <w:tc>
          <w:tcPr>
            <w:tcW w:w="1200" w:type="pct"/>
            <w:vMerge w:val="continue"/>
            <w:vAlign w:val="center"/>
          </w:tcPr>
          <w:p w14:paraId="4C707F49">
            <w:pPr>
              <w:wordWrap w:val="0"/>
              <w:topLinePunct/>
              <w:adjustRightInd w:val="0"/>
              <w:snapToGrid w:val="0"/>
              <w:jc w:val="center"/>
              <w:rPr>
                <w:color w:val="auto"/>
                <w:szCs w:val="21"/>
                <w:u w:val="single"/>
              </w:rPr>
            </w:pPr>
          </w:p>
        </w:tc>
        <w:tc>
          <w:tcPr>
            <w:tcW w:w="1003" w:type="pct"/>
            <w:vAlign w:val="center"/>
          </w:tcPr>
          <w:p w14:paraId="31862B37">
            <w:pPr>
              <w:wordWrap w:val="0"/>
              <w:topLinePunct/>
              <w:adjustRightInd w:val="0"/>
              <w:snapToGrid w:val="0"/>
              <w:jc w:val="center"/>
              <w:rPr>
                <w:rFonts w:hint="eastAsia"/>
                <w:color w:val="auto"/>
                <w:u w:val="single"/>
              </w:rPr>
            </w:pPr>
            <w:r>
              <w:rPr>
                <w:rFonts w:hint="eastAsia"/>
                <w:color w:val="auto"/>
                <w:u w:val="single"/>
              </w:rPr>
              <w:t>《大气污染物综</w:t>
            </w:r>
          </w:p>
          <w:p w14:paraId="1486E39D">
            <w:pPr>
              <w:wordWrap w:val="0"/>
              <w:topLinePunct/>
              <w:adjustRightInd w:val="0"/>
              <w:snapToGrid w:val="0"/>
              <w:jc w:val="center"/>
              <w:rPr>
                <w:color w:val="auto"/>
                <w:u w:val="single"/>
              </w:rPr>
            </w:pPr>
            <w:r>
              <w:rPr>
                <w:rFonts w:hint="eastAsia"/>
                <w:color w:val="auto"/>
                <w:u w:val="single"/>
              </w:rPr>
              <w:t>合排放标准》（GB16297-1996）</w:t>
            </w:r>
          </w:p>
        </w:tc>
      </w:tr>
      <w:tr w14:paraId="5C14F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051EA41D">
            <w:pPr>
              <w:wordWrap w:val="0"/>
              <w:topLinePunct/>
              <w:adjustRightInd w:val="0"/>
              <w:snapToGrid w:val="0"/>
              <w:jc w:val="center"/>
              <w:rPr>
                <w:color w:val="auto"/>
                <w:szCs w:val="21"/>
                <w:u w:val="single"/>
              </w:rPr>
            </w:pPr>
          </w:p>
        </w:tc>
        <w:tc>
          <w:tcPr>
            <w:tcW w:w="772" w:type="pct"/>
            <w:vAlign w:val="center"/>
          </w:tcPr>
          <w:p w14:paraId="51D4E6BE">
            <w:pPr>
              <w:wordWrap w:val="0"/>
              <w:topLinePunct/>
              <w:adjustRightInd w:val="0"/>
              <w:snapToGrid w:val="0"/>
              <w:jc w:val="center"/>
              <w:rPr>
                <w:color w:val="auto"/>
                <w:szCs w:val="21"/>
                <w:u w:val="single"/>
              </w:rPr>
            </w:pPr>
            <w:r>
              <w:rPr>
                <w:color w:val="auto"/>
                <w:szCs w:val="21"/>
                <w:u w:val="single"/>
              </w:rPr>
              <w:t>食堂</w:t>
            </w:r>
          </w:p>
        </w:tc>
        <w:tc>
          <w:tcPr>
            <w:tcW w:w="1017" w:type="pct"/>
            <w:vAlign w:val="center"/>
          </w:tcPr>
          <w:p w14:paraId="04DDDE76">
            <w:pPr>
              <w:wordWrap w:val="0"/>
              <w:topLinePunct/>
              <w:adjustRightInd w:val="0"/>
              <w:snapToGrid w:val="0"/>
              <w:jc w:val="center"/>
              <w:rPr>
                <w:color w:val="auto"/>
                <w:szCs w:val="21"/>
                <w:u w:val="single"/>
              </w:rPr>
            </w:pPr>
            <w:r>
              <w:rPr>
                <w:color w:val="auto"/>
                <w:szCs w:val="21"/>
                <w:u w:val="single"/>
              </w:rPr>
              <w:t>油烟</w:t>
            </w:r>
          </w:p>
        </w:tc>
        <w:tc>
          <w:tcPr>
            <w:tcW w:w="1200" w:type="pct"/>
            <w:vAlign w:val="center"/>
          </w:tcPr>
          <w:p w14:paraId="7EBEB650">
            <w:pPr>
              <w:wordWrap w:val="0"/>
              <w:topLinePunct/>
              <w:adjustRightInd w:val="0"/>
              <w:snapToGrid w:val="0"/>
              <w:jc w:val="center"/>
              <w:rPr>
                <w:color w:val="auto"/>
                <w:szCs w:val="21"/>
                <w:u w:val="single"/>
              </w:rPr>
            </w:pPr>
            <w:r>
              <w:rPr>
                <w:color w:val="auto"/>
                <w:szCs w:val="21"/>
                <w:u w:val="single"/>
              </w:rPr>
              <w:t>无组织排放</w:t>
            </w:r>
          </w:p>
        </w:tc>
        <w:tc>
          <w:tcPr>
            <w:tcW w:w="1003" w:type="pct"/>
            <w:vAlign w:val="center"/>
          </w:tcPr>
          <w:p w14:paraId="003DB7E0">
            <w:pPr>
              <w:wordWrap w:val="0"/>
              <w:topLinePunct/>
              <w:adjustRightInd w:val="0"/>
              <w:snapToGrid w:val="0"/>
              <w:jc w:val="center"/>
              <w:rPr>
                <w:color w:val="auto"/>
                <w:szCs w:val="21"/>
                <w:u w:val="single"/>
              </w:rPr>
            </w:pPr>
            <w:r>
              <w:rPr>
                <w:color w:val="auto"/>
                <w:kern w:val="0"/>
                <w:u w:val="single"/>
              </w:rPr>
              <w:t>《饮食业油烟排放标准》（试行）（GB18483-2001）</w:t>
            </w:r>
          </w:p>
        </w:tc>
      </w:tr>
      <w:tr w14:paraId="3ED34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restart"/>
            <w:vAlign w:val="center"/>
          </w:tcPr>
          <w:p w14:paraId="7DDE4420">
            <w:pPr>
              <w:wordWrap w:val="0"/>
              <w:topLinePunct/>
              <w:adjustRightInd w:val="0"/>
              <w:snapToGrid w:val="0"/>
              <w:jc w:val="center"/>
              <w:rPr>
                <w:color w:val="auto"/>
                <w:szCs w:val="21"/>
                <w:u w:val="single"/>
              </w:rPr>
            </w:pPr>
            <w:r>
              <w:rPr>
                <w:color w:val="auto"/>
                <w:szCs w:val="21"/>
                <w:u w:val="single"/>
              </w:rPr>
              <w:t>地表水环境</w:t>
            </w:r>
          </w:p>
        </w:tc>
        <w:tc>
          <w:tcPr>
            <w:tcW w:w="772" w:type="pct"/>
            <w:vAlign w:val="center"/>
          </w:tcPr>
          <w:p w14:paraId="69F1820B">
            <w:pPr>
              <w:wordWrap w:val="0"/>
              <w:topLinePunct/>
              <w:adjustRightInd w:val="0"/>
              <w:snapToGrid w:val="0"/>
              <w:jc w:val="center"/>
              <w:rPr>
                <w:color w:val="auto"/>
                <w:szCs w:val="21"/>
                <w:u w:val="single"/>
              </w:rPr>
            </w:pPr>
            <w:r>
              <w:rPr>
                <w:color w:val="auto"/>
                <w:szCs w:val="21"/>
                <w:u w:val="single"/>
              </w:rPr>
              <w:t>生活污水</w:t>
            </w:r>
          </w:p>
        </w:tc>
        <w:tc>
          <w:tcPr>
            <w:tcW w:w="1017" w:type="pct"/>
            <w:vAlign w:val="center"/>
          </w:tcPr>
          <w:p w14:paraId="21ED2419">
            <w:pPr>
              <w:wordWrap w:val="0"/>
              <w:topLinePunct/>
              <w:adjustRightInd w:val="0"/>
              <w:snapToGrid w:val="0"/>
              <w:jc w:val="center"/>
              <w:rPr>
                <w:color w:val="auto"/>
                <w:szCs w:val="21"/>
                <w:u w:val="single"/>
              </w:rPr>
            </w:pPr>
            <w:r>
              <w:rPr>
                <w:color w:val="auto"/>
                <w:szCs w:val="21"/>
                <w:u w:val="single"/>
              </w:rPr>
              <w:t>COD</w:t>
            </w:r>
            <w:r>
              <w:rPr>
                <w:color w:val="auto"/>
                <w:szCs w:val="21"/>
                <w:u w:val="single"/>
                <w:vertAlign w:val="subscript"/>
              </w:rPr>
              <w:t>cr</w:t>
            </w:r>
            <w:r>
              <w:rPr>
                <w:color w:val="auto"/>
                <w:kern w:val="0"/>
                <w:szCs w:val="21"/>
                <w:u w:val="single"/>
              </w:rPr>
              <w:t>、氨氮、BOD</w:t>
            </w:r>
            <w:r>
              <w:rPr>
                <w:color w:val="auto"/>
                <w:kern w:val="0"/>
                <w:szCs w:val="21"/>
                <w:u w:val="single"/>
                <w:vertAlign w:val="subscript"/>
              </w:rPr>
              <w:t>5</w:t>
            </w:r>
            <w:r>
              <w:rPr>
                <w:color w:val="auto"/>
                <w:kern w:val="0"/>
                <w:szCs w:val="21"/>
                <w:u w:val="single"/>
              </w:rPr>
              <w:t>、SS、动植物油</w:t>
            </w:r>
          </w:p>
        </w:tc>
        <w:tc>
          <w:tcPr>
            <w:tcW w:w="1200" w:type="pct"/>
            <w:vMerge w:val="restart"/>
            <w:vAlign w:val="center"/>
          </w:tcPr>
          <w:p w14:paraId="2FAA7ED5">
            <w:pPr>
              <w:wordWrap w:val="0"/>
              <w:topLinePunct/>
              <w:adjustRightInd w:val="0"/>
              <w:snapToGrid w:val="0"/>
              <w:jc w:val="center"/>
              <w:rPr>
                <w:rFonts w:hint="eastAsia" w:eastAsia="宋体"/>
                <w:color w:val="auto"/>
                <w:szCs w:val="21"/>
                <w:u w:val="single"/>
                <w:lang w:eastAsia="zh-CN"/>
              </w:rPr>
            </w:pPr>
            <w:r>
              <w:rPr>
                <w:rFonts w:hint="eastAsia"/>
                <w:color w:val="auto"/>
                <w:szCs w:val="21"/>
                <w:u w:val="single"/>
              </w:rPr>
              <w:t>生活污水</w:t>
            </w:r>
            <w:r>
              <w:rPr>
                <w:rFonts w:hint="eastAsia"/>
                <w:color w:val="auto"/>
                <w:szCs w:val="21"/>
                <w:u w:val="single"/>
                <w:lang w:val="en-US" w:eastAsia="zh-CN"/>
              </w:rPr>
              <w:t>经隔油池处理后</w:t>
            </w:r>
            <w:r>
              <w:rPr>
                <w:rFonts w:hint="eastAsia"/>
                <w:color w:val="auto"/>
                <w:szCs w:val="21"/>
                <w:u w:val="single"/>
              </w:rPr>
              <w:t>与</w:t>
            </w:r>
            <w:r>
              <w:rPr>
                <w:rFonts w:hint="eastAsia"/>
                <w:color w:val="auto"/>
                <w:szCs w:val="21"/>
                <w:u w:val="single"/>
                <w:lang w:eastAsia="zh-CN"/>
              </w:rPr>
              <w:t>公共卫生间废水</w:t>
            </w:r>
            <w:r>
              <w:rPr>
                <w:rFonts w:hint="eastAsia"/>
                <w:color w:val="auto"/>
                <w:szCs w:val="21"/>
                <w:u w:val="single"/>
              </w:rPr>
              <w:t>经化粪池（</w:t>
            </w:r>
            <w:r>
              <w:rPr>
                <w:rFonts w:hint="eastAsia"/>
                <w:color w:val="auto"/>
                <w:szCs w:val="21"/>
                <w:u w:val="single"/>
                <w:lang w:val="en-US" w:eastAsia="zh-CN"/>
              </w:rPr>
              <w:t>2</w:t>
            </w:r>
            <w:r>
              <w:rPr>
                <w:rFonts w:hint="eastAsia"/>
                <w:color w:val="auto"/>
                <w:szCs w:val="21"/>
                <w:u w:val="single"/>
              </w:rPr>
              <w:t>m</w:t>
            </w:r>
            <w:r>
              <w:rPr>
                <w:rFonts w:hint="eastAsia"/>
                <w:color w:val="auto"/>
                <w:szCs w:val="21"/>
                <w:u w:val="single"/>
                <w:vertAlign w:val="superscript"/>
              </w:rPr>
              <w:t>3</w:t>
            </w:r>
            <w:r>
              <w:rPr>
                <w:rFonts w:hint="eastAsia"/>
                <w:color w:val="auto"/>
                <w:szCs w:val="21"/>
                <w:u w:val="single"/>
              </w:rPr>
              <w:t>）处理后，经厂区总排口排入污水管网，进入</w:t>
            </w:r>
            <w:r>
              <w:rPr>
                <w:rFonts w:hint="eastAsia"/>
                <w:color w:val="auto"/>
                <w:szCs w:val="21"/>
                <w:u w:val="single"/>
                <w:lang w:eastAsia="zh-CN"/>
              </w:rPr>
              <w:t>祁阳市城北污水处理厂</w:t>
            </w:r>
            <w:r>
              <w:rPr>
                <w:rFonts w:hint="eastAsia"/>
                <w:color w:val="auto"/>
                <w:szCs w:val="21"/>
                <w:u w:val="single"/>
              </w:rPr>
              <w:t>处理达标后排至</w:t>
            </w:r>
            <w:r>
              <w:rPr>
                <w:rFonts w:hint="eastAsia"/>
                <w:color w:val="auto"/>
                <w:szCs w:val="21"/>
                <w:u w:val="single"/>
                <w:lang w:eastAsia="zh-CN"/>
              </w:rPr>
              <w:t>祁水</w:t>
            </w:r>
          </w:p>
        </w:tc>
        <w:tc>
          <w:tcPr>
            <w:tcW w:w="1003" w:type="pct"/>
            <w:vMerge w:val="restart"/>
            <w:vAlign w:val="center"/>
          </w:tcPr>
          <w:p w14:paraId="23C3DB43">
            <w:pPr>
              <w:wordWrap w:val="0"/>
              <w:topLinePunct/>
              <w:adjustRightInd w:val="0"/>
              <w:snapToGrid w:val="0"/>
              <w:jc w:val="center"/>
              <w:rPr>
                <w:rFonts w:hint="default" w:eastAsia="宋体"/>
                <w:color w:val="auto"/>
                <w:szCs w:val="21"/>
                <w:u w:val="single"/>
                <w:lang w:val="en-US" w:eastAsia="zh-CN"/>
              </w:rPr>
            </w:pPr>
            <w:r>
              <w:rPr>
                <w:color w:val="auto"/>
                <w:szCs w:val="21"/>
                <w:u w:val="single"/>
              </w:rPr>
              <w:t>《污水综合排放标准》（GB8978-1996）</w:t>
            </w:r>
            <w:r>
              <w:rPr>
                <w:color w:val="auto"/>
                <w:u w:val="single"/>
              </w:rPr>
              <w:t>中三级标准</w:t>
            </w:r>
            <w:r>
              <w:rPr>
                <w:rFonts w:hint="eastAsia"/>
                <w:color w:val="auto"/>
                <w:u w:val="single"/>
                <w:lang w:val="en-US" w:eastAsia="zh-CN"/>
              </w:rPr>
              <w:t>及</w:t>
            </w:r>
            <w:r>
              <w:rPr>
                <w:rFonts w:hint="eastAsia"/>
                <w:color w:val="auto"/>
                <w:u w:val="single"/>
                <w:lang w:eastAsia="zh-CN"/>
              </w:rPr>
              <w:t>祁阳市城北污水处理厂</w:t>
            </w:r>
            <w:r>
              <w:rPr>
                <w:rFonts w:hint="eastAsia"/>
                <w:color w:val="auto"/>
                <w:u w:val="single"/>
                <w:lang w:val="en-US" w:eastAsia="zh-CN"/>
              </w:rPr>
              <w:t>进水水质标准</w:t>
            </w:r>
          </w:p>
        </w:tc>
      </w:tr>
      <w:tr w14:paraId="7A6B2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00E80807">
            <w:pPr>
              <w:wordWrap w:val="0"/>
              <w:topLinePunct/>
              <w:adjustRightInd w:val="0"/>
              <w:snapToGrid w:val="0"/>
              <w:jc w:val="center"/>
              <w:rPr>
                <w:color w:val="auto"/>
                <w:szCs w:val="21"/>
                <w:u w:val="single"/>
              </w:rPr>
            </w:pPr>
          </w:p>
        </w:tc>
        <w:tc>
          <w:tcPr>
            <w:tcW w:w="772" w:type="pct"/>
            <w:vAlign w:val="center"/>
          </w:tcPr>
          <w:p w14:paraId="1232C3CB">
            <w:pPr>
              <w:wordWrap w:val="0"/>
              <w:topLinePunct/>
              <w:adjustRightInd w:val="0"/>
              <w:snapToGrid w:val="0"/>
              <w:jc w:val="center"/>
              <w:rPr>
                <w:rFonts w:hint="eastAsia" w:eastAsia="宋体"/>
                <w:color w:val="auto"/>
                <w:szCs w:val="21"/>
                <w:u w:val="single"/>
                <w:lang w:eastAsia="zh-CN"/>
              </w:rPr>
            </w:pPr>
            <w:r>
              <w:rPr>
                <w:rFonts w:hint="eastAsia"/>
                <w:color w:val="auto"/>
                <w:szCs w:val="21"/>
                <w:u w:val="single"/>
                <w:lang w:eastAsia="zh-CN"/>
              </w:rPr>
              <w:t>公共卫生间废水</w:t>
            </w:r>
          </w:p>
        </w:tc>
        <w:tc>
          <w:tcPr>
            <w:tcW w:w="1017" w:type="pct"/>
            <w:vAlign w:val="center"/>
          </w:tcPr>
          <w:p w14:paraId="303E97F3">
            <w:pPr>
              <w:wordWrap w:val="0"/>
              <w:topLinePunct/>
              <w:adjustRightInd w:val="0"/>
              <w:snapToGrid w:val="0"/>
              <w:jc w:val="center"/>
              <w:rPr>
                <w:color w:val="auto"/>
                <w:szCs w:val="21"/>
                <w:u w:val="single"/>
              </w:rPr>
            </w:pPr>
            <w:r>
              <w:rPr>
                <w:color w:val="auto"/>
                <w:szCs w:val="21"/>
                <w:u w:val="single"/>
              </w:rPr>
              <w:t>COD</w:t>
            </w:r>
            <w:r>
              <w:rPr>
                <w:color w:val="auto"/>
                <w:szCs w:val="21"/>
                <w:u w:val="single"/>
                <w:vertAlign w:val="subscript"/>
              </w:rPr>
              <w:t>cr</w:t>
            </w:r>
            <w:r>
              <w:rPr>
                <w:color w:val="auto"/>
                <w:kern w:val="0"/>
                <w:szCs w:val="21"/>
                <w:u w:val="single"/>
              </w:rPr>
              <w:t>、氨氮、BOD</w:t>
            </w:r>
            <w:r>
              <w:rPr>
                <w:color w:val="auto"/>
                <w:kern w:val="0"/>
                <w:szCs w:val="21"/>
                <w:u w:val="single"/>
                <w:vertAlign w:val="subscript"/>
              </w:rPr>
              <w:t>5</w:t>
            </w:r>
            <w:r>
              <w:rPr>
                <w:color w:val="auto"/>
                <w:kern w:val="0"/>
                <w:szCs w:val="21"/>
                <w:u w:val="single"/>
              </w:rPr>
              <w:t>、SS</w:t>
            </w:r>
          </w:p>
        </w:tc>
        <w:tc>
          <w:tcPr>
            <w:tcW w:w="1200" w:type="pct"/>
            <w:vMerge w:val="continue"/>
            <w:vAlign w:val="center"/>
          </w:tcPr>
          <w:p w14:paraId="492D4747">
            <w:pPr>
              <w:wordWrap w:val="0"/>
              <w:topLinePunct/>
              <w:adjustRightInd w:val="0"/>
              <w:snapToGrid w:val="0"/>
              <w:jc w:val="center"/>
              <w:rPr>
                <w:color w:val="auto"/>
                <w:szCs w:val="21"/>
                <w:u w:val="single"/>
              </w:rPr>
            </w:pPr>
          </w:p>
        </w:tc>
        <w:tc>
          <w:tcPr>
            <w:tcW w:w="1003" w:type="pct"/>
            <w:vMerge w:val="continue"/>
            <w:vAlign w:val="center"/>
          </w:tcPr>
          <w:p w14:paraId="765627DA">
            <w:pPr>
              <w:wordWrap w:val="0"/>
              <w:topLinePunct/>
              <w:adjustRightInd w:val="0"/>
              <w:snapToGrid w:val="0"/>
              <w:jc w:val="center"/>
              <w:rPr>
                <w:color w:val="auto"/>
                <w:szCs w:val="21"/>
                <w:u w:val="single"/>
              </w:rPr>
            </w:pPr>
          </w:p>
        </w:tc>
      </w:tr>
      <w:tr w14:paraId="75BF6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048F068B">
            <w:pPr>
              <w:wordWrap w:val="0"/>
              <w:topLinePunct/>
              <w:adjustRightInd w:val="0"/>
              <w:snapToGrid w:val="0"/>
              <w:jc w:val="center"/>
              <w:rPr>
                <w:color w:val="auto"/>
                <w:szCs w:val="21"/>
                <w:u w:val="single"/>
              </w:rPr>
            </w:pPr>
          </w:p>
        </w:tc>
        <w:tc>
          <w:tcPr>
            <w:tcW w:w="772" w:type="pct"/>
            <w:vAlign w:val="center"/>
          </w:tcPr>
          <w:p w14:paraId="5F8DDC94">
            <w:pPr>
              <w:wordWrap w:val="0"/>
              <w:topLinePunct/>
              <w:adjustRightInd w:val="0"/>
              <w:snapToGrid w:val="0"/>
              <w:jc w:val="center"/>
              <w:rPr>
                <w:rFonts w:hint="eastAsia" w:eastAsia="宋体"/>
                <w:color w:val="auto"/>
                <w:szCs w:val="21"/>
                <w:u w:val="single"/>
                <w:lang w:eastAsia="zh-CN"/>
              </w:rPr>
            </w:pPr>
            <w:r>
              <w:rPr>
                <w:rFonts w:hint="eastAsia"/>
                <w:color w:val="auto"/>
                <w:szCs w:val="21"/>
                <w:u w:val="single"/>
                <w:lang w:eastAsia="zh-CN"/>
              </w:rPr>
              <w:t>地面清洁废水</w:t>
            </w:r>
          </w:p>
        </w:tc>
        <w:tc>
          <w:tcPr>
            <w:tcW w:w="1017" w:type="pct"/>
            <w:vAlign w:val="center"/>
          </w:tcPr>
          <w:p w14:paraId="3D38DCF6">
            <w:pPr>
              <w:wordWrap w:val="0"/>
              <w:topLinePunct/>
              <w:adjustRightInd w:val="0"/>
              <w:snapToGrid w:val="0"/>
              <w:jc w:val="center"/>
              <w:rPr>
                <w:color w:val="auto"/>
                <w:szCs w:val="21"/>
                <w:u w:val="single"/>
              </w:rPr>
            </w:pPr>
            <w:r>
              <w:rPr>
                <w:color w:val="auto"/>
                <w:szCs w:val="21"/>
                <w:u w:val="single"/>
              </w:rPr>
              <w:t>SS、石油类</w:t>
            </w:r>
          </w:p>
        </w:tc>
        <w:tc>
          <w:tcPr>
            <w:tcW w:w="1200" w:type="pct"/>
            <w:vMerge w:val="restart"/>
            <w:vAlign w:val="center"/>
          </w:tcPr>
          <w:p w14:paraId="5684D4A9">
            <w:pPr>
              <w:wordWrap w:val="0"/>
              <w:topLinePunct/>
              <w:adjustRightInd w:val="0"/>
              <w:snapToGrid w:val="0"/>
              <w:jc w:val="center"/>
              <w:rPr>
                <w:rFonts w:hint="eastAsia" w:eastAsia="宋体"/>
                <w:color w:val="auto"/>
                <w:szCs w:val="21"/>
                <w:u w:val="single"/>
                <w:lang w:eastAsia="zh-CN"/>
              </w:rPr>
            </w:pPr>
            <w:r>
              <w:rPr>
                <w:color w:val="auto"/>
                <w:szCs w:val="21"/>
                <w:u w:val="single"/>
              </w:rPr>
              <w:t>经隔油沉淀池</w:t>
            </w:r>
            <w:r>
              <w:rPr>
                <w:rFonts w:hint="eastAsia"/>
                <w:color w:val="auto"/>
                <w:szCs w:val="21"/>
                <w:u w:val="single"/>
              </w:rPr>
              <w:t>（</w:t>
            </w:r>
            <w:r>
              <w:rPr>
                <w:rFonts w:hint="eastAsia"/>
                <w:color w:val="auto"/>
                <w:szCs w:val="21"/>
                <w:u w:val="single"/>
                <w:lang w:val="en-US" w:eastAsia="zh-CN"/>
              </w:rPr>
              <w:t>2</w:t>
            </w:r>
            <w:r>
              <w:rPr>
                <w:rFonts w:hint="eastAsia"/>
                <w:color w:val="auto"/>
                <w:szCs w:val="21"/>
                <w:u w:val="single"/>
              </w:rPr>
              <w:t>0m</w:t>
            </w:r>
            <w:r>
              <w:rPr>
                <w:rFonts w:hint="eastAsia"/>
                <w:color w:val="auto"/>
                <w:szCs w:val="21"/>
                <w:u w:val="single"/>
                <w:vertAlign w:val="superscript"/>
              </w:rPr>
              <w:t>3</w:t>
            </w:r>
            <w:r>
              <w:rPr>
                <w:rFonts w:hint="eastAsia"/>
                <w:color w:val="auto"/>
                <w:szCs w:val="21"/>
                <w:u w:val="single"/>
              </w:rPr>
              <w:t>）</w:t>
            </w:r>
            <w:r>
              <w:rPr>
                <w:color w:val="auto"/>
                <w:szCs w:val="21"/>
                <w:u w:val="single"/>
              </w:rPr>
              <w:t>处理后</w:t>
            </w:r>
            <w:r>
              <w:rPr>
                <w:rFonts w:hint="eastAsia"/>
                <w:color w:val="auto"/>
                <w:szCs w:val="21"/>
                <w:u w:val="single"/>
              </w:rPr>
              <w:t>经厂区总排口排入污水管网，进入</w:t>
            </w:r>
            <w:r>
              <w:rPr>
                <w:rFonts w:hint="eastAsia"/>
                <w:color w:val="auto"/>
                <w:szCs w:val="21"/>
                <w:u w:val="single"/>
                <w:lang w:eastAsia="zh-CN"/>
              </w:rPr>
              <w:t>祁阳市城北污水处理厂</w:t>
            </w:r>
            <w:r>
              <w:rPr>
                <w:rFonts w:hint="eastAsia"/>
                <w:color w:val="auto"/>
                <w:szCs w:val="21"/>
                <w:u w:val="single"/>
              </w:rPr>
              <w:t>处理达标后排至</w:t>
            </w:r>
            <w:r>
              <w:rPr>
                <w:rFonts w:hint="eastAsia"/>
                <w:color w:val="auto"/>
                <w:szCs w:val="21"/>
                <w:u w:val="single"/>
                <w:lang w:eastAsia="zh-CN"/>
              </w:rPr>
              <w:t>祁水</w:t>
            </w:r>
          </w:p>
        </w:tc>
        <w:tc>
          <w:tcPr>
            <w:tcW w:w="1003" w:type="pct"/>
            <w:vMerge w:val="continue"/>
            <w:vAlign w:val="center"/>
          </w:tcPr>
          <w:p w14:paraId="7C68C0C6">
            <w:pPr>
              <w:wordWrap w:val="0"/>
              <w:topLinePunct/>
              <w:adjustRightInd w:val="0"/>
              <w:snapToGrid w:val="0"/>
              <w:jc w:val="center"/>
              <w:rPr>
                <w:color w:val="auto"/>
                <w:szCs w:val="21"/>
                <w:u w:val="single"/>
              </w:rPr>
            </w:pPr>
          </w:p>
        </w:tc>
      </w:tr>
      <w:tr w14:paraId="1588C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0380E7FB">
            <w:pPr>
              <w:wordWrap w:val="0"/>
              <w:topLinePunct/>
              <w:adjustRightInd w:val="0"/>
              <w:snapToGrid w:val="0"/>
              <w:jc w:val="center"/>
              <w:rPr>
                <w:color w:val="auto"/>
                <w:szCs w:val="21"/>
                <w:u w:val="single"/>
              </w:rPr>
            </w:pPr>
          </w:p>
        </w:tc>
        <w:tc>
          <w:tcPr>
            <w:tcW w:w="772" w:type="pct"/>
            <w:vAlign w:val="center"/>
          </w:tcPr>
          <w:p w14:paraId="08CB149A">
            <w:pPr>
              <w:wordWrap w:val="0"/>
              <w:topLinePunct/>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洗车废水</w:t>
            </w:r>
          </w:p>
        </w:tc>
        <w:tc>
          <w:tcPr>
            <w:tcW w:w="1017" w:type="pct"/>
            <w:vAlign w:val="center"/>
          </w:tcPr>
          <w:p w14:paraId="7D7F2860">
            <w:pPr>
              <w:wordWrap w:val="0"/>
              <w:topLinePunct/>
              <w:adjustRightInd w:val="0"/>
              <w:snapToGrid w:val="0"/>
              <w:jc w:val="center"/>
              <w:rPr>
                <w:color w:val="auto"/>
                <w:szCs w:val="21"/>
                <w:u w:val="single"/>
              </w:rPr>
            </w:pPr>
            <w:r>
              <w:rPr>
                <w:rFonts w:hint="eastAsia"/>
                <w:color w:val="auto"/>
                <w:szCs w:val="21"/>
                <w:u w:val="single"/>
              </w:rPr>
              <w:t>SS、石油类、COD、LAS</w:t>
            </w:r>
          </w:p>
        </w:tc>
        <w:tc>
          <w:tcPr>
            <w:tcW w:w="1200" w:type="pct"/>
            <w:vMerge w:val="continue"/>
            <w:vAlign w:val="center"/>
          </w:tcPr>
          <w:p w14:paraId="041D3605">
            <w:pPr>
              <w:wordWrap w:val="0"/>
              <w:topLinePunct/>
              <w:adjustRightInd w:val="0"/>
              <w:snapToGrid w:val="0"/>
              <w:jc w:val="center"/>
              <w:rPr>
                <w:color w:val="auto"/>
                <w:szCs w:val="21"/>
                <w:u w:val="single"/>
              </w:rPr>
            </w:pPr>
          </w:p>
        </w:tc>
        <w:tc>
          <w:tcPr>
            <w:tcW w:w="1003" w:type="pct"/>
            <w:vMerge w:val="continue"/>
            <w:vAlign w:val="center"/>
          </w:tcPr>
          <w:p w14:paraId="09E2F039">
            <w:pPr>
              <w:wordWrap w:val="0"/>
              <w:topLinePunct/>
              <w:adjustRightInd w:val="0"/>
              <w:snapToGrid w:val="0"/>
              <w:jc w:val="center"/>
              <w:rPr>
                <w:color w:val="auto"/>
                <w:szCs w:val="21"/>
                <w:u w:val="single"/>
              </w:rPr>
            </w:pPr>
          </w:p>
        </w:tc>
      </w:tr>
      <w:tr w14:paraId="26860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2724A791">
            <w:pPr>
              <w:wordWrap w:val="0"/>
              <w:topLinePunct/>
              <w:adjustRightInd w:val="0"/>
              <w:snapToGrid w:val="0"/>
              <w:jc w:val="center"/>
              <w:rPr>
                <w:color w:val="auto"/>
                <w:szCs w:val="21"/>
                <w:u w:val="single"/>
              </w:rPr>
            </w:pPr>
          </w:p>
        </w:tc>
        <w:tc>
          <w:tcPr>
            <w:tcW w:w="772" w:type="pct"/>
            <w:vAlign w:val="center"/>
          </w:tcPr>
          <w:p w14:paraId="7BEF76E6">
            <w:pPr>
              <w:wordWrap w:val="0"/>
              <w:topLinePunct/>
              <w:adjustRightInd w:val="0"/>
              <w:snapToGrid w:val="0"/>
              <w:jc w:val="center"/>
              <w:rPr>
                <w:color w:val="auto"/>
                <w:szCs w:val="21"/>
                <w:u w:val="single"/>
              </w:rPr>
            </w:pPr>
            <w:r>
              <w:rPr>
                <w:color w:val="auto"/>
                <w:szCs w:val="21"/>
                <w:u w:val="single"/>
              </w:rPr>
              <w:t>初期雨水</w:t>
            </w:r>
          </w:p>
        </w:tc>
        <w:tc>
          <w:tcPr>
            <w:tcW w:w="1017" w:type="pct"/>
            <w:vAlign w:val="center"/>
          </w:tcPr>
          <w:p w14:paraId="5FB0D74F">
            <w:pPr>
              <w:wordWrap w:val="0"/>
              <w:topLinePunct/>
              <w:adjustRightInd w:val="0"/>
              <w:snapToGrid w:val="0"/>
              <w:jc w:val="center"/>
              <w:rPr>
                <w:color w:val="auto"/>
                <w:szCs w:val="21"/>
                <w:u w:val="single"/>
              </w:rPr>
            </w:pPr>
            <w:r>
              <w:rPr>
                <w:color w:val="auto"/>
                <w:szCs w:val="21"/>
                <w:u w:val="single"/>
              </w:rPr>
              <w:t>石油类、SS</w:t>
            </w:r>
          </w:p>
        </w:tc>
        <w:tc>
          <w:tcPr>
            <w:tcW w:w="1200" w:type="pct"/>
            <w:vMerge w:val="continue"/>
            <w:vAlign w:val="center"/>
          </w:tcPr>
          <w:p w14:paraId="619AA0B8">
            <w:pPr>
              <w:wordWrap w:val="0"/>
              <w:topLinePunct/>
              <w:adjustRightInd w:val="0"/>
              <w:snapToGrid w:val="0"/>
              <w:jc w:val="center"/>
              <w:rPr>
                <w:color w:val="auto"/>
                <w:szCs w:val="21"/>
                <w:u w:val="single"/>
              </w:rPr>
            </w:pPr>
          </w:p>
        </w:tc>
        <w:tc>
          <w:tcPr>
            <w:tcW w:w="1003" w:type="pct"/>
            <w:vMerge w:val="continue"/>
            <w:vAlign w:val="center"/>
          </w:tcPr>
          <w:p w14:paraId="3294DB3B">
            <w:pPr>
              <w:wordWrap w:val="0"/>
              <w:topLinePunct/>
              <w:adjustRightInd w:val="0"/>
              <w:snapToGrid w:val="0"/>
              <w:jc w:val="center"/>
              <w:rPr>
                <w:color w:val="auto"/>
                <w:szCs w:val="21"/>
                <w:u w:val="single"/>
              </w:rPr>
            </w:pPr>
          </w:p>
        </w:tc>
      </w:tr>
      <w:tr w14:paraId="58FAB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07" w:type="pct"/>
            <w:vAlign w:val="center"/>
          </w:tcPr>
          <w:p w14:paraId="3E9ECB7D">
            <w:pPr>
              <w:wordWrap w:val="0"/>
              <w:topLinePunct/>
              <w:adjustRightInd w:val="0"/>
              <w:snapToGrid w:val="0"/>
              <w:jc w:val="center"/>
              <w:rPr>
                <w:color w:val="auto"/>
                <w:szCs w:val="21"/>
                <w:u w:val="single"/>
              </w:rPr>
            </w:pPr>
            <w:r>
              <w:rPr>
                <w:color w:val="auto"/>
                <w:szCs w:val="21"/>
                <w:u w:val="single"/>
              </w:rPr>
              <w:t>声环境</w:t>
            </w:r>
          </w:p>
        </w:tc>
        <w:tc>
          <w:tcPr>
            <w:tcW w:w="772" w:type="pct"/>
            <w:vAlign w:val="center"/>
          </w:tcPr>
          <w:p w14:paraId="1B0CC219">
            <w:pPr>
              <w:wordWrap w:val="0"/>
              <w:topLinePunct/>
              <w:adjustRightInd w:val="0"/>
              <w:snapToGrid w:val="0"/>
              <w:jc w:val="center"/>
              <w:rPr>
                <w:color w:val="auto"/>
                <w:szCs w:val="21"/>
                <w:u w:val="single"/>
              </w:rPr>
            </w:pPr>
            <w:r>
              <w:rPr>
                <w:color w:val="auto"/>
                <w:szCs w:val="21"/>
                <w:u w:val="single"/>
              </w:rPr>
              <w:t>生产过程</w:t>
            </w:r>
          </w:p>
        </w:tc>
        <w:tc>
          <w:tcPr>
            <w:tcW w:w="1017" w:type="pct"/>
            <w:vAlign w:val="center"/>
          </w:tcPr>
          <w:p w14:paraId="5096CD7D">
            <w:pPr>
              <w:wordWrap w:val="0"/>
              <w:topLinePunct/>
              <w:adjustRightInd w:val="0"/>
              <w:snapToGrid w:val="0"/>
              <w:jc w:val="center"/>
              <w:rPr>
                <w:color w:val="auto"/>
                <w:szCs w:val="21"/>
                <w:u w:val="single"/>
              </w:rPr>
            </w:pPr>
            <w:r>
              <w:rPr>
                <w:bCs/>
                <w:color w:val="auto"/>
                <w:szCs w:val="21"/>
                <w:u w:val="single"/>
              </w:rPr>
              <w:t>生产设备及运输车辆噪声</w:t>
            </w:r>
          </w:p>
        </w:tc>
        <w:tc>
          <w:tcPr>
            <w:tcW w:w="1200" w:type="pct"/>
            <w:vAlign w:val="center"/>
          </w:tcPr>
          <w:p w14:paraId="29024941">
            <w:pPr>
              <w:wordWrap w:val="0"/>
              <w:topLinePunct/>
              <w:adjustRightInd w:val="0"/>
              <w:snapToGrid w:val="0"/>
              <w:jc w:val="center"/>
              <w:rPr>
                <w:color w:val="auto"/>
                <w:szCs w:val="21"/>
                <w:u w:val="single"/>
              </w:rPr>
            </w:pPr>
            <w:r>
              <w:rPr>
                <w:bCs/>
                <w:color w:val="auto"/>
                <w:szCs w:val="21"/>
                <w:u w:val="single"/>
              </w:rPr>
              <w:t>合理布局、厂房隔声、基础减振、消声器</w:t>
            </w:r>
            <w:r>
              <w:rPr>
                <w:color w:val="auto"/>
                <w:szCs w:val="21"/>
                <w:u w:val="single"/>
              </w:rPr>
              <w:t>等</w:t>
            </w:r>
          </w:p>
        </w:tc>
        <w:tc>
          <w:tcPr>
            <w:tcW w:w="1003" w:type="pct"/>
            <w:vAlign w:val="center"/>
          </w:tcPr>
          <w:p w14:paraId="2D10AEA2">
            <w:pPr>
              <w:wordWrap w:val="0"/>
              <w:topLinePunct/>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厂界西侧</w:t>
            </w:r>
            <w:r>
              <w:rPr>
                <w:color w:val="auto"/>
                <w:szCs w:val="21"/>
                <w:u w:val="single"/>
              </w:rPr>
              <w:t>《工业企业厂界环境噪声排放标准》(GB12348-2008)4类</w:t>
            </w:r>
            <w:r>
              <w:rPr>
                <w:rFonts w:hint="eastAsia"/>
                <w:color w:val="auto"/>
                <w:szCs w:val="21"/>
                <w:u w:val="single"/>
                <w:lang w:eastAsia="zh-CN"/>
              </w:rPr>
              <w:t>，</w:t>
            </w:r>
            <w:r>
              <w:rPr>
                <w:rFonts w:hint="eastAsia"/>
                <w:color w:val="auto"/>
                <w:szCs w:val="21"/>
                <w:u w:val="single"/>
                <w:lang w:val="en-US" w:eastAsia="zh-CN"/>
              </w:rPr>
              <w:t>厂界东、南、北侧执行2类</w:t>
            </w:r>
          </w:p>
        </w:tc>
      </w:tr>
      <w:tr w14:paraId="19C52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07" w:type="pct"/>
            <w:vAlign w:val="center"/>
          </w:tcPr>
          <w:p w14:paraId="6B625BB9">
            <w:pPr>
              <w:wordWrap w:val="0"/>
              <w:topLinePunct/>
              <w:adjustRightInd w:val="0"/>
              <w:snapToGrid w:val="0"/>
              <w:jc w:val="center"/>
              <w:rPr>
                <w:color w:val="auto"/>
                <w:szCs w:val="21"/>
                <w:u w:val="single"/>
              </w:rPr>
            </w:pPr>
            <w:r>
              <w:rPr>
                <w:color w:val="auto"/>
                <w:szCs w:val="21"/>
                <w:u w:val="single"/>
              </w:rPr>
              <w:t>固体废物</w:t>
            </w:r>
          </w:p>
        </w:tc>
        <w:tc>
          <w:tcPr>
            <w:tcW w:w="3992" w:type="pct"/>
            <w:gridSpan w:val="4"/>
            <w:vAlign w:val="center"/>
          </w:tcPr>
          <w:p w14:paraId="0FEF677F">
            <w:pPr>
              <w:jc w:val="center"/>
              <w:rPr>
                <w:color w:val="auto"/>
                <w:szCs w:val="21"/>
                <w:u w:val="single"/>
              </w:rPr>
            </w:pPr>
            <w:r>
              <w:rPr>
                <w:color w:val="auto"/>
                <w:szCs w:val="21"/>
                <w:u w:val="single"/>
              </w:rPr>
              <w:t>储罐油泥需</w:t>
            </w:r>
            <w:r>
              <w:rPr>
                <w:rFonts w:hint="eastAsia"/>
                <w:color w:val="auto"/>
                <w:szCs w:val="21"/>
                <w:u w:val="single"/>
              </w:rPr>
              <w:t>委托有资质的专业公司清理后立即运走处理，不在站内暂存</w:t>
            </w:r>
            <w:r>
              <w:rPr>
                <w:color w:val="auto"/>
                <w:u w:val="single"/>
              </w:rPr>
              <w:t>；隔油沉淀池油泥、含油消防沙、含油抹布和手套</w:t>
            </w:r>
            <w:r>
              <w:rPr>
                <w:rFonts w:hint="eastAsia"/>
                <w:color w:val="auto"/>
                <w:u w:val="single"/>
                <w:lang w:eastAsia="zh-CN"/>
              </w:rPr>
              <w:t>、</w:t>
            </w:r>
            <w:r>
              <w:rPr>
                <w:rFonts w:hint="eastAsia"/>
                <w:color w:val="auto"/>
                <w:u w:val="single"/>
                <w:lang w:val="en-US" w:eastAsia="zh-CN"/>
              </w:rPr>
              <w:t>废活性炭</w:t>
            </w:r>
            <w:r>
              <w:rPr>
                <w:color w:val="auto"/>
                <w:u w:val="single"/>
              </w:rPr>
              <w:t>集中收集后送至有资质单位进行处理；生活垃圾集中收集后交由环卫部门统一处理</w:t>
            </w:r>
            <w:r>
              <w:rPr>
                <w:color w:val="auto"/>
                <w:kern w:val="0"/>
                <w:szCs w:val="21"/>
                <w:u w:val="single"/>
              </w:rPr>
              <w:t>。</w:t>
            </w:r>
          </w:p>
        </w:tc>
      </w:tr>
      <w:tr w14:paraId="0CE27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pct"/>
            <w:vAlign w:val="center"/>
          </w:tcPr>
          <w:p w14:paraId="78A19A01">
            <w:pPr>
              <w:wordWrap w:val="0"/>
              <w:topLinePunct/>
              <w:adjustRightInd w:val="0"/>
              <w:snapToGrid w:val="0"/>
              <w:jc w:val="center"/>
              <w:rPr>
                <w:color w:val="auto"/>
                <w:szCs w:val="21"/>
                <w:u w:val="single"/>
              </w:rPr>
            </w:pPr>
            <w:r>
              <w:rPr>
                <w:color w:val="auto"/>
                <w:szCs w:val="21"/>
                <w:u w:val="single"/>
              </w:rPr>
              <w:t>土壤及地下水</w:t>
            </w:r>
          </w:p>
          <w:p w14:paraId="0A0A8BB5">
            <w:pPr>
              <w:wordWrap w:val="0"/>
              <w:topLinePunct/>
              <w:adjustRightInd w:val="0"/>
              <w:snapToGrid w:val="0"/>
              <w:jc w:val="center"/>
              <w:rPr>
                <w:color w:val="auto"/>
                <w:szCs w:val="21"/>
                <w:u w:val="single"/>
              </w:rPr>
            </w:pPr>
            <w:r>
              <w:rPr>
                <w:color w:val="auto"/>
                <w:szCs w:val="21"/>
                <w:u w:val="single"/>
              </w:rPr>
              <w:t>污染防治措施</w:t>
            </w:r>
          </w:p>
        </w:tc>
        <w:tc>
          <w:tcPr>
            <w:tcW w:w="3992" w:type="pct"/>
            <w:gridSpan w:val="4"/>
            <w:vAlign w:val="center"/>
          </w:tcPr>
          <w:p w14:paraId="63C711E2">
            <w:pPr>
              <w:wordWrap w:val="0"/>
              <w:topLinePunct/>
              <w:adjustRightInd w:val="0"/>
              <w:snapToGrid w:val="0"/>
              <w:jc w:val="left"/>
              <w:rPr>
                <w:color w:val="auto"/>
                <w:szCs w:val="21"/>
                <w:u w:val="single"/>
              </w:rPr>
            </w:pPr>
            <w:r>
              <w:rPr>
                <w:color w:val="auto"/>
                <w:u w:val="single"/>
              </w:rPr>
              <w:t>项目地下水污染源主要为储罐区、卸油加油区、污水处理池、危废暂存间，厂区应按要求进行防渗，项目拟</w:t>
            </w:r>
            <w:r>
              <w:rPr>
                <w:color w:val="auto"/>
                <w:spacing w:val="5"/>
                <w:szCs w:val="21"/>
                <w:u w:val="single"/>
              </w:rPr>
              <w:t>设置跟踪监测井及时掌握区内地下水污染情况</w:t>
            </w:r>
            <w:r>
              <w:rPr>
                <w:color w:val="auto"/>
                <w:szCs w:val="21"/>
                <w:u w:val="single"/>
              </w:rPr>
              <w:t>。</w:t>
            </w:r>
            <w:r>
              <w:rPr>
                <w:color w:val="auto"/>
                <w:u w:val="single"/>
              </w:rPr>
              <w:t>项目土壤影响源主要为汽油柴油储罐区、加油卸油区、污水处理设施，项目汽油柴油储罐为双层储罐，</w:t>
            </w:r>
            <w:r>
              <w:rPr>
                <w:rFonts w:hint="eastAsia"/>
                <w:color w:val="auto"/>
                <w:szCs w:val="21"/>
                <w:u w:val="single"/>
              </w:rPr>
              <w:t>油罐底板采用50cm厚的钢筋混凝土硬化，再将油罐固定于底板上，并在油罐与油罐之间填充干净的细砂。</w:t>
            </w:r>
            <w:r>
              <w:rPr>
                <w:color w:val="auto"/>
                <w:u w:val="single"/>
              </w:rPr>
              <w:t>项目拟</w:t>
            </w:r>
            <w:r>
              <w:rPr>
                <w:color w:val="auto"/>
                <w:szCs w:val="21"/>
                <w:u w:val="single"/>
              </w:rPr>
              <w:t>在加油卸油区、污水处理设备、管道、污水储存及处理构筑物采取防渗及硬化，站区进行防渗，加油站对每个油罐配备液位仪，实时监控油品有无渗漏，并设置泄漏报警装置；且定期会对油罐进行清罐作业。</w:t>
            </w:r>
          </w:p>
        </w:tc>
      </w:tr>
      <w:tr w14:paraId="2992F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Align w:val="center"/>
          </w:tcPr>
          <w:p w14:paraId="351435F3">
            <w:pPr>
              <w:wordWrap w:val="0"/>
              <w:topLinePunct/>
              <w:adjustRightInd w:val="0"/>
              <w:snapToGrid w:val="0"/>
              <w:jc w:val="center"/>
              <w:rPr>
                <w:color w:val="auto"/>
                <w:szCs w:val="21"/>
                <w:u w:val="single"/>
              </w:rPr>
            </w:pPr>
            <w:r>
              <w:rPr>
                <w:color w:val="auto"/>
                <w:szCs w:val="21"/>
                <w:u w:val="single"/>
              </w:rPr>
              <w:t>生态保护措施</w:t>
            </w:r>
          </w:p>
        </w:tc>
        <w:tc>
          <w:tcPr>
            <w:tcW w:w="3992" w:type="pct"/>
            <w:gridSpan w:val="4"/>
            <w:vAlign w:val="center"/>
          </w:tcPr>
          <w:p w14:paraId="5BCFBCBD">
            <w:pPr>
              <w:wordWrap w:val="0"/>
              <w:topLinePunct/>
              <w:adjustRightInd w:val="0"/>
              <w:snapToGrid w:val="0"/>
              <w:jc w:val="center"/>
              <w:rPr>
                <w:color w:val="auto"/>
                <w:szCs w:val="21"/>
                <w:u w:val="single"/>
              </w:rPr>
            </w:pPr>
            <w:r>
              <w:rPr>
                <w:color w:val="auto"/>
                <w:szCs w:val="21"/>
                <w:u w:val="single"/>
              </w:rPr>
              <w:t>/</w:t>
            </w:r>
          </w:p>
        </w:tc>
      </w:tr>
      <w:tr w14:paraId="12392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07" w:type="pct"/>
            <w:vAlign w:val="center"/>
          </w:tcPr>
          <w:p w14:paraId="3925DE9B">
            <w:pPr>
              <w:wordWrap w:val="0"/>
              <w:topLinePunct/>
              <w:adjustRightInd w:val="0"/>
              <w:snapToGrid w:val="0"/>
              <w:jc w:val="center"/>
              <w:rPr>
                <w:color w:val="auto"/>
                <w:spacing w:val="-8"/>
                <w:szCs w:val="21"/>
                <w:u w:val="single"/>
              </w:rPr>
            </w:pPr>
            <w:r>
              <w:rPr>
                <w:color w:val="auto"/>
                <w:spacing w:val="-8"/>
                <w:szCs w:val="21"/>
                <w:u w:val="single"/>
              </w:rPr>
              <w:t>环境风险</w:t>
            </w:r>
          </w:p>
          <w:p w14:paraId="7C1D507E">
            <w:pPr>
              <w:wordWrap w:val="0"/>
              <w:topLinePunct/>
              <w:adjustRightInd w:val="0"/>
              <w:snapToGrid w:val="0"/>
              <w:jc w:val="center"/>
              <w:rPr>
                <w:color w:val="auto"/>
                <w:spacing w:val="-8"/>
                <w:szCs w:val="21"/>
                <w:u w:val="single"/>
              </w:rPr>
            </w:pPr>
            <w:r>
              <w:rPr>
                <w:color w:val="auto"/>
                <w:spacing w:val="-8"/>
                <w:szCs w:val="21"/>
                <w:u w:val="single"/>
              </w:rPr>
              <w:t>防范措施</w:t>
            </w:r>
          </w:p>
        </w:tc>
        <w:tc>
          <w:tcPr>
            <w:tcW w:w="3992" w:type="pct"/>
            <w:gridSpan w:val="4"/>
            <w:vAlign w:val="center"/>
          </w:tcPr>
          <w:p w14:paraId="7FF86984">
            <w:pPr>
              <w:numPr>
                <w:ilvl w:val="0"/>
                <w:numId w:val="6"/>
              </w:numPr>
              <w:adjustRightInd w:val="0"/>
              <w:snapToGrid w:val="0"/>
              <w:rPr>
                <w:color w:val="auto"/>
                <w:szCs w:val="21"/>
                <w:u w:val="single"/>
              </w:rPr>
            </w:pPr>
            <w:r>
              <w:rPr>
                <w:color w:val="auto"/>
                <w:szCs w:val="21"/>
                <w:u w:val="single"/>
              </w:rPr>
              <w:t>采用防腐防渗双层钢制油罐，对储油罐内外表面、防油堤的内表面、油罐区地面、输油管线外表面均做了防渗防腐处理，</w:t>
            </w:r>
            <w:r>
              <w:rPr>
                <w:rFonts w:hint="eastAsia"/>
                <w:color w:val="auto"/>
                <w:szCs w:val="21"/>
                <w:u w:val="single"/>
              </w:rPr>
              <w:t>油罐底板采用50cm厚的钢筋混凝土硬化，再将油罐固定于底板上，并在油罐与油罐之间填充干净的细砂。</w:t>
            </w:r>
            <w:r>
              <w:rPr>
                <w:color w:val="auto"/>
                <w:szCs w:val="21"/>
                <w:u w:val="single"/>
              </w:rPr>
              <w:t>在危险废物储存区，应设置围堰，一旦发生物料泄漏，应及时收集至备用收集容器；</w:t>
            </w:r>
          </w:p>
          <w:p w14:paraId="51229E60">
            <w:pPr>
              <w:numPr>
                <w:ilvl w:val="0"/>
                <w:numId w:val="6"/>
              </w:numPr>
              <w:adjustRightInd w:val="0"/>
              <w:snapToGrid w:val="0"/>
              <w:rPr>
                <w:color w:val="auto"/>
                <w:u w:val="single"/>
              </w:rPr>
            </w:pPr>
            <w:r>
              <w:rPr>
                <w:color w:val="auto"/>
                <w:szCs w:val="21"/>
                <w:u w:val="single"/>
              </w:rPr>
              <w:t>危险废物存储</w:t>
            </w:r>
            <w:r>
              <w:rPr>
                <w:rFonts w:hint="eastAsia"/>
                <w:color w:val="auto"/>
                <w:szCs w:val="21"/>
                <w:u w:val="single"/>
                <w:lang w:val="en-US" w:eastAsia="zh-CN"/>
              </w:rPr>
              <w:t>间</w:t>
            </w:r>
            <w:r>
              <w:rPr>
                <w:color w:val="auto"/>
                <w:szCs w:val="21"/>
                <w:u w:val="single"/>
              </w:rPr>
              <w:t>配置手提式干粉灭火器；</w:t>
            </w:r>
          </w:p>
        </w:tc>
      </w:tr>
      <w:tr w14:paraId="0DA9F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007" w:type="pct"/>
            <w:vAlign w:val="center"/>
          </w:tcPr>
          <w:p w14:paraId="34750D4A">
            <w:pPr>
              <w:wordWrap w:val="0"/>
              <w:topLinePunct/>
              <w:adjustRightInd w:val="0"/>
              <w:snapToGrid w:val="0"/>
              <w:jc w:val="center"/>
              <w:rPr>
                <w:color w:val="auto"/>
                <w:spacing w:val="-8"/>
                <w:szCs w:val="21"/>
                <w:u w:val="single"/>
              </w:rPr>
            </w:pPr>
            <w:r>
              <w:rPr>
                <w:color w:val="auto"/>
                <w:spacing w:val="-8"/>
                <w:szCs w:val="21"/>
                <w:u w:val="single"/>
              </w:rPr>
              <w:t>其他环境</w:t>
            </w:r>
          </w:p>
          <w:p w14:paraId="1D53DB3A">
            <w:pPr>
              <w:wordWrap w:val="0"/>
              <w:topLinePunct/>
              <w:adjustRightInd w:val="0"/>
              <w:snapToGrid w:val="0"/>
              <w:jc w:val="center"/>
              <w:rPr>
                <w:color w:val="auto"/>
                <w:spacing w:val="-8"/>
                <w:szCs w:val="21"/>
                <w:u w:val="single"/>
              </w:rPr>
            </w:pPr>
            <w:r>
              <w:rPr>
                <w:color w:val="auto"/>
                <w:spacing w:val="-8"/>
                <w:szCs w:val="21"/>
                <w:u w:val="single"/>
              </w:rPr>
              <w:t>管理要求</w:t>
            </w:r>
          </w:p>
        </w:tc>
        <w:tc>
          <w:tcPr>
            <w:tcW w:w="3992" w:type="pct"/>
            <w:gridSpan w:val="4"/>
            <w:vAlign w:val="center"/>
          </w:tcPr>
          <w:p w14:paraId="45D5D2A4">
            <w:pPr>
              <w:pStyle w:val="352"/>
              <w:ind w:firstLine="420" w:firstLineChars="200"/>
              <w:jc w:val="left"/>
              <w:rPr>
                <w:color w:val="000000"/>
                <w:u w:val="single"/>
              </w:rPr>
            </w:pPr>
            <w:r>
              <w:rPr>
                <w:color w:val="000000"/>
                <w:u w:val="single"/>
              </w:rPr>
              <w:t>1、本项目竣工后，需根据《排污许可管理条例》及相关规范的要求，</w:t>
            </w:r>
            <w:r>
              <w:rPr>
                <w:rFonts w:hint="eastAsia"/>
                <w:color w:val="000000"/>
                <w:u w:val="single"/>
              </w:rPr>
              <w:t>申请</w:t>
            </w:r>
            <w:r>
              <w:rPr>
                <w:color w:val="000000"/>
                <w:u w:val="single"/>
              </w:rPr>
              <w:t>项目排污许可证，同时相应的落实定期检查计划，环境管理制度等；</w:t>
            </w:r>
          </w:p>
          <w:p w14:paraId="2094987E">
            <w:pPr>
              <w:pStyle w:val="352"/>
              <w:ind w:firstLine="420" w:firstLineChars="200"/>
              <w:jc w:val="left"/>
              <w:rPr>
                <w:color w:val="000000"/>
                <w:u w:val="single"/>
              </w:rPr>
            </w:pPr>
            <w:r>
              <w:rPr>
                <w:color w:val="000000"/>
                <w:u w:val="single"/>
              </w:rPr>
              <w:t>2、根据国家及省市环境管理部门有关文件精神，项目废气排放口、噪声排放源及固废贮存场所必须实施规范化整治，该项工作是实施污染物总量控制计划的基础工作之一。排污口规范化整治技术要求如下：</w:t>
            </w:r>
          </w:p>
          <w:p w14:paraId="1C67F767">
            <w:pPr>
              <w:pStyle w:val="352"/>
              <w:ind w:firstLine="420" w:firstLineChars="200"/>
              <w:jc w:val="left"/>
              <w:rPr>
                <w:color w:val="000000"/>
                <w:u w:val="single"/>
              </w:rPr>
            </w:pPr>
            <w:r>
              <w:rPr>
                <w:color w:val="000000"/>
                <w:u w:val="single"/>
              </w:rPr>
              <w:t>①合理设置排污口位置，排污口应按规范设计，并按《污染源监测技术规范》设置采样点，以便环保部门监督管理；</w:t>
            </w:r>
          </w:p>
          <w:p w14:paraId="4EAFE500">
            <w:pPr>
              <w:pStyle w:val="352"/>
              <w:ind w:firstLine="420" w:firstLineChars="200"/>
              <w:jc w:val="left"/>
              <w:rPr>
                <w:color w:val="000000"/>
                <w:u w:val="single"/>
              </w:rPr>
            </w:pPr>
            <w:r>
              <w:rPr>
                <w:color w:val="000000"/>
                <w:u w:val="single"/>
              </w:rPr>
              <w:t>②按照《环境保护图形标志》(GB15562.1-1995)及(GB15562.2-1995)的规定，规范化整治的排污口应设置相应的环境图形标志；</w:t>
            </w:r>
          </w:p>
          <w:p w14:paraId="637A85AA">
            <w:pPr>
              <w:pStyle w:val="352"/>
              <w:ind w:firstLine="420" w:firstLineChars="200"/>
              <w:jc w:val="left"/>
              <w:rPr>
                <w:color w:val="000000"/>
                <w:u w:val="single"/>
              </w:rPr>
            </w:pPr>
            <w:r>
              <w:rPr>
                <w:color w:val="000000"/>
                <w:u w:val="single"/>
              </w:rPr>
              <w:t>③按照要求填写由国家环境保护总局（现已更名“中华人民共和国生态环境部”）统一印制的《中华人民共和国规范化排污口标志登记证》；</w:t>
            </w:r>
          </w:p>
          <w:p w14:paraId="288B164B">
            <w:pPr>
              <w:pStyle w:val="352"/>
              <w:ind w:firstLine="420" w:firstLineChars="200"/>
              <w:jc w:val="left"/>
              <w:rPr>
                <w:color w:val="000000"/>
                <w:u w:val="single"/>
              </w:rPr>
            </w:pPr>
            <w:r>
              <w:rPr>
                <w:color w:val="000000"/>
                <w:u w:val="single"/>
              </w:rPr>
              <w:t>④规范化整治的排污口有关设施属环境保护设施，应将其纳入本单位设备管理，并选派具有专业知识的专职或兼职人员对排污口进行管理。</w:t>
            </w:r>
          </w:p>
          <w:p w14:paraId="255065C3">
            <w:pPr>
              <w:pStyle w:val="352"/>
              <w:ind w:firstLine="420" w:firstLineChars="200"/>
              <w:jc w:val="left"/>
              <w:rPr>
                <w:color w:val="000000"/>
                <w:u w:val="single"/>
              </w:rPr>
            </w:pPr>
            <w:r>
              <w:rPr>
                <w:color w:val="000000"/>
                <w:u w:val="single"/>
              </w:rPr>
              <w:t>本项目环境保护图形符号见表5-</w:t>
            </w:r>
            <w:r>
              <w:rPr>
                <w:rFonts w:hint="eastAsia"/>
                <w:color w:val="000000"/>
                <w:u w:val="single"/>
              </w:rPr>
              <w:t>1</w:t>
            </w:r>
            <w:r>
              <w:rPr>
                <w:color w:val="000000"/>
                <w:u w:val="single"/>
              </w:rPr>
              <w:t>。</w:t>
            </w:r>
          </w:p>
          <w:p w14:paraId="50EA675A">
            <w:pPr>
              <w:adjustRightInd w:val="0"/>
              <w:snapToGrid w:val="0"/>
              <w:ind w:firstLine="422" w:firstLineChars="200"/>
              <w:jc w:val="center"/>
              <w:rPr>
                <w:b/>
                <w:color w:val="000000"/>
                <w:szCs w:val="21"/>
                <w:u w:val="single"/>
              </w:rPr>
            </w:pPr>
            <w:r>
              <w:rPr>
                <w:b/>
                <w:color w:val="000000"/>
                <w:szCs w:val="21"/>
                <w:u w:val="single"/>
              </w:rPr>
              <w:t>表5-</w:t>
            </w:r>
            <w:r>
              <w:rPr>
                <w:rFonts w:hint="eastAsia"/>
                <w:b/>
                <w:color w:val="000000"/>
                <w:szCs w:val="21"/>
                <w:u w:val="single"/>
              </w:rPr>
              <w:t>1</w:t>
            </w:r>
            <w:r>
              <w:rPr>
                <w:b/>
                <w:color w:val="000000"/>
                <w:szCs w:val="21"/>
                <w:u w:val="single"/>
              </w:rPr>
              <w:t xml:space="preserve"> 环境保护图形符号一览表</w:t>
            </w:r>
          </w:p>
          <w:tbl>
            <w:tblPr>
              <w:tblStyle w:val="51"/>
              <w:tblW w:w="4997"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49"/>
              <w:gridCol w:w="1566"/>
              <w:gridCol w:w="1729"/>
              <w:gridCol w:w="1268"/>
              <w:gridCol w:w="1893"/>
            </w:tblGrid>
            <w:tr w14:paraId="7C472E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3" w:type="pct"/>
                  <w:noWrap w:val="0"/>
                  <w:vAlign w:val="center"/>
                </w:tcPr>
                <w:p w14:paraId="2B30A989">
                  <w:pPr>
                    <w:adjustRightInd w:val="0"/>
                    <w:snapToGrid w:val="0"/>
                    <w:jc w:val="center"/>
                    <w:rPr>
                      <w:b/>
                      <w:bCs/>
                      <w:color w:val="000000"/>
                      <w:szCs w:val="21"/>
                      <w:u w:val="single"/>
                    </w:rPr>
                  </w:pPr>
                  <w:r>
                    <w:rPr>
                      <w:b/>
                      <w:bCs/>
                      <w:color w:val="000000"/>
                      <w:szCs w:val="21"/>
                      <w:u w:val="single"/>
                    </w:rPr>
                    <w:t>序号</w:t>
                  </w:r>
                </w:p>
              </w:tc>
              <w:tc>
                <w:tcPr>
                  <w:tcW w:w="1111" w:type="pct"/>
                  <w:noWrap w:val="0"/>
                  <w:vAlign w:val="center"/>
                </w:tcPr>
                <w:p w14:paraId="013F3FF4">
                  <w:pPr>
                    <w:adjustRightInd w:val="0"/>
                    <w:snapToGrid w:val="0"/>
                    <w:jc w:val="center"/>
                    <w:rPr>
                      <w:b/>
                      <w:bCs/>
                      <w:color w:val="000000"/>
                      <w:szCs w:val="21"/>
                      <w:u w:val="single"/>
                    </w:rPr>
                  </w:pPr>
                  <w:r>
                    <w:rPr>
                      <w:b/>
                      <w:bCs/>
                      <w:color w:val="000000"/>
                      <w:szCs w:val="21"/>
                      <w:u w:val="single"/>
                    </w:rPr>
                    <w:t>提示图形符号</w:t>
                  </w:r>
                </w:p>
              </w:tc>
              <w:tc>
                <w:tcPr>
                  <w:tcW w:w="1235" w:type="pct"/>
                  <w:noWrap w:val="0"/>
                  <w:vAlign w:val="center"/>
                </w:tcPr>
                <w:p w14:paraId="5007DCE1">
                  <w:pPr>
                    <w:adjustRightInd w:val="0"/>
                    <w:snapToGrid w:val="0"/>
                    <w:jc w:val="center"/>
                    <w:rPr>
                      <w:b/>
                      <w:bCs/>
                      <w:color w:val="000000"/>
                      <w:szCs w:val="21"/>
                      <w:u w:val="single"/>
                    </w:rPr>
                  </w:pPr>
                  <w:r>
                    <w:rPr>
                      <w:b/>
                      <w:bCs/>
                      <w:color w:val="000000"/>
                      <w:szCs w:val="21"/>
                      <w:u w:val="single"/>
                    </w:rPr>
                    <w:t>警告图形符号</w:t>
                  </w:r>
                </w:p>
              </w:tc>
              <w:tc>
                <w:tcPr>
                  <w:tcW w:w="906" w:type="pct"/>
                  <w:noWrap w:val="0"/>
                  <w:vAlign w:val="center"/>
                </w:tcPr>
                <w:p w14:paraId="6D2517C1">
                  <w:pPr>
                    <w:adjustRightInd w:val="0"/>
                    <w:snapToGrid w:val="0"/>
                    <w:jc w:val="center"/>
                    <w:rPr>
                      <w:b/>
                      <w:bCs/>
                      <w:color w:val="000000"/>
                      <w:szCs w:val="21"/>
                      <w:u w:val="single"/>
                    </w:rPr>
                  </w:pPr>
                  <w:r>
                    <w:rPr>
                      <w:b/>
                      <w:bCs/>
                      <w:color w:val="000000"/>
                      <w:szCs w:val="21"/>
                      <w:u w:val="single"/>
                    </w:rPr>
                    <w:t>名称</w:t>
                  </w:r>
                </w:p>
              </w:tc>
              <w:tc>
                <w:tcPr>
                  <w:tcW w:w="1352" w:type="pct"/>
                  <w:noWrap w:val="0"/>
                  <w:vAlign w:val="center"/>
                </w:tcPr>
                <w:p w14:paraId="563835D5">
                  <w:pPr>
                    <w:adjustRightInd w:val="0"/>
                    <w:snapToGrid w:val="0"/>
                    <w:jc w:val="center"/>
                    <w:rPr>
                      <w:b/>
                      <w:bCs/>
                      <w:color w:val="000000"/>
                      <w:szCs w:val="21"/>
                      <w:u w:val="single"/>
                    </w:rPr>
                  </w:pPr>
                  <w:r>
                    <w:rPr>
                      <w:b/>
                      <w:bCs/>
                      <w:color w:val="000000"/>
                      <w:szCs w:val="21"/>
                      <w:u w:val="single"/>
                    </w:rPr>
                    <w:t>功能</w:t>
                  </w:r>
                </w:p>
              </w:tc>
            </w:tr>
            <w:tr w14:paraId="0635BD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4" w:hRule="atLeast"/>
              </w:trPr>
              <w:tc>
                <w:tcPr>
                  <w:tcW w:w="393" w:type="pct"/>
                  <w:noWrap w:val="0"/>
                  <w:vAlign w:val="center"/>
                </w:tcPr>
                <w:p w14:paraId="6CE7508D">
                  <w:pPr>
                    <w:pStyle w:val="352"/>
                    <w:widowControl w:val="0"/>
                    <w:snapToGrid w:val="0"/>
                    <w:rPr>
                      <w:color w:val="000000"/>
                      <w:u w:val="single"/>
                    </w:rPr>
                  </w:pPr>
                  <w:r>
                    <w:rPr>
                      <w:color w:val="000000"/>
                      <w:u w:val="single"/>
                    </w:rPr>
                    <w:t>1</w:t>
                  </w:r>
                </w:p>
              </w:tc>
              <w:tc>
                <w:tcPr>
                  <w:tcW w:w="1111" w:type="pct"/>
                  <w:noWrap w:val="0"/>
                  <w:vAlign w:val="center"/>
                </w:tcPr>
                <w:p w14:paraId="0A2D40CD">
                  <w:pPr>
                    <w:pStyle w:val="352"/>
                    <w:widowControl w:val="0"/>
                    <w:snapToGrid w:val="0"/>
                    <w:rPr>
                      <w:color w:val="000000"/>
                      <w:u w:val="single"/>
                    </w:rPr>
                  </w:pPr>
                  <w:r>
                    <w:rPr>
                      <w:color w:val="000000"/>
                      <w:u w:val="single"/>
                    </w:rPr>
                    <w:drawing>
                      <wp:inline distT="0" distB="0" distL="114300" distR="114300">
                        <wp:extent cx="846455" cy="777240"/>
                        <wp:effectExtent l="0" t="0" r="10795" b="3810"/>
                        <wp:docPr id="47" name="图片 4"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废气排放口"/>
                                <pic:cNvPicPr>
                                  <a:picLocks noChangeAspect="1"/>
                                </pic:cNvPicPr>
                              </pic:nvPicPr>
                              <pic:blipFill>
                                <a:blip r:embed="rId20"/>
                                <a:stretch>
                                  <a:fillRect/>
                                </a:stretch>
                              </pic:blipFill>
                              <pic:spPr>
                                <a:xfrm>
                                  <a:off x="0" y="0"/>
                                  <a:ext cx="846455" cy="777240"/>
                                </a:xfrm>
                                <a:prstGeom prst="rect">
                                  <a:avLst/>
                                </a:prstGeom>
                                <a:noFill/>
                                <a:ln>
                                  <a:noFill/>
                                </a:ln>
                              </pic:spPr>
                            </pic:pic>
                          </a:graphicData>
                        </a:graphic>
                      </wp:inline>
                    </w:drawing>
                  </w:r>
                </w:p>
              </w:tc>
              <w:tc>
                <w:tcPr>
                  <w:tcW w:w="1235" w:type="pct"/>
                  <w:noWrap w:val="0"/>
                  <w:vAlign w:val="center"/>
                </w:tcPr>
                <w:p w14:paraId="74D399A2">
                  <w:pPr>
                    <w:pStyle w:val="352"/>
                    <w:widowControl w:val="0"/>
                    <w:snapToGrid w:val="0"/>
                    <w:rPr>
                      <w:color w:val="000000"/>
                      <w:u w:val="single"/>
                    </w:rPr>
                  </w:pPr>
                  <w:r>
                    <w:rPr>
                      <w:color w:val="000000"/>
                      <w:u w:val="single"/>
                    </w:rPr>
                    <w:drawing>
                      <wp:inline distT="0" distB="0" distL="114300" distR="114300">
                        <wp:extent cx="866140" cy="771525"/>
                        <wp:effectExtent l="0" t="0" r="10160" b="9525"/>
                        <wp:docPr id="18" name="图片 5"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废气排放口"/>
                                <pic:cNvPicPr>
                                  <a:picLocks noChangeAspect="1"/>
                                </pic:cNvPicPr>
                              </pic:nvPicPr>
                              <pic:blipFill>
                                <a:blip r:embed="rId21"/>
                                <a:stretch>
                                  <a:fillRect/>
                                </a:stretch>
                              </pic:blipFill>
                              <pic:spPr>
                                <a:xfrm>
                                  <a:off x="0" y="0"/>
                                  <a:ext cx="866140" cy="771525"/>
                                </a:xfrm>
                                <a:prstGeom prst="rect">
                                  <a:avLst/>
                                </a:prstGeom>
                                <a:noFill/>
                                <a:ln>
                                  <a:noFill/>
                                </a:ln>
                              </pic:spPr>
                            </pic:pic>
                          </a:graphicData>
                        </a:graphic>
                      </wp:inline>
                    </w:drawing>
                  </w:r>
                </w:p>
              </w:tc>
              <w:tc>
                <w:tcPr>
                  <w:tcW w:w="906" w:type="pct"/>
                  <w:noWrap w:val="0"/>
                  <w:vAlign w:val="center"/>
                </w:tcPr>
                <w:p w14:paraId="55B46D09">
                  <w:pPr>
                    <w:pStyle w:val="352"/>
                    <w:widowControl w:val="0"/>
                    <w:snapToGrid w:val="0"/>
                    <w:rPr>
                      <w:color w:val="000000"/>
                      <w:u w:val="single"/>
                    </w:rPr>
                  </w:pPr>
                  <w:r>
                    <w:rPr>
                      <w:color w:val="000000"/>
                      <w:u w:val="single"/>
                    </w:rPr>
                    <w:t>废气排放口</w:t>
                  </w:r>
                </w:p>
              </w:tc>
              <w:tc>
                <w:tcPr>
                  <w:tcW w:w="1352" w:type="pct"/>
                  <w:noWrap w:val="0"/>
                  <w:vAlign w:val="center"/>
                </w:tcPr>
                <w:p w14:paraId="298ABD41">
                  <w:pPr>
                    <w:pStyle w:val="352"/>
                    <w:widowControl w:val="0"/>
                    <w:snapToGrid w:val="0"/>
                    <w:rPr>
                      <w:color w:val="000000"/>
                      <w:u w:val="single"/>
                    </w:rPr>
                  </w:pPr>
                  <w:r>
                    <w:rPr>
                      <w:color w:val="000000"/>
                      <w:u w:val="single"/>
                    </w:rPr>
                    <w:t>表示废气向大气环境排放</w:t>
                  </w:r>
                </w:p>
              </w:tc>
            </w:tr>
            <w:tr w14:paraId="3FEF3E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17" w:hRule="atLeast"/>
              </w:trPr>
              <w:tc>
                <w:tcPr>
                  <w:tcW w:w="393" w:type="pct"/>
                  <w:noWrap w:val="0"/>
                  <w:vAlign w:val="center"/>
                </w:tcPr>
                <w:p w14:paraId="04F0F1BC">
                  <w:pPr>
                    <w:adjustRightInd w:val="0"/>
                    <w:snapToGrid w:val="0"/>
                    <w:jc w:val="center"/>
                    <w:rPr>
                      <w:color w:val="000000"/>
                      <w:szCs w:val="21"/>
                      <w:u w:val="single"/>
                    </w:rPr>
                  </w:pPr>
                  <w:r>
                    <w:rPr>
                      <w:color w:val="000000"/>
                      <w:szCs w:val="21"/>
                      <w:u w:val="single"/>
                    </w:rPr>
                    <w:t>2</w:t>
                  </w:r>
                </w:p>
              </w:tc>
              <w:tc>
                <w:tcPr>
                  <w:tcW w:w="1111" w:type="pct"/>
                  <w:noWrap w:val="0"/>
                  <w:vAlign w:val="center"/>
                </w:tcPr>
                <w:p w14:paraId="1BCF11FD">
                  <w:pPr>
                    <w:adjustRightInd w:val="0"/>
                    <w:snapToGrid w:val="0"/>
                    <w:jc w:val="center"/>
                    <w:rPr>
                      <w:color w:val="000000"/>
                      <w:szCs w:val="21"/>
                      <w:u w:val="single"/>
                    </w:rPr>
                  </w:pPr>
                  <w:r>
                    <w:rPr>
                      <w:color w:val="000000"/>
                      <w:szCs w:val="21"/>
                      <w:u w:val="single"/>
                    </w:rPr>
                    <w:drawing>
                      <wp:inline distT="0" distB="0" distL="114300" distR="114300">
                        <wp:extent cx="836295" cy="836295"/>
                        <wp:effectExtent l="0" t="0" r="1905" b="190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2"/>
                                <a:stretch>
                                  <a:fillRect/>
                                </a:stretch>
                              </pic:blipFill>
                              <pic:spPr>
                                <a:xfrm>
                                  <a:off x="0" y="0"/>
                                  <a:ext cx="836295" cy="836295"/>
                                </a:xfrm>
                                <a:prstGeom prst="rect">
                                  <a:avLst/>
                                </a:prstGeom>
                                <a:noFill/>
                                <a:ln>
                                  <a:noFill/>
                                </a:ln>
                              </pic:spPr>
                            </pic:pic>
                          </a:graphicData>
                        </a:graphic>
                      </wp:inline>
                    </w:drawing>
                  </w:r>
                </w:p>
              </w:tc>
              <w:tc>
                <w:tcPr>
                  <w:tcW w:w="1235" w:type="pct"/>
                  <w:noWrap w:val="0"/>
                  <w:vAlign w:val="center"/>
                </w:tcPr>
                <w:p w14:paraId="6917F589">
                  <w:pPr>
                    <w:adjustRightInd w:val="0"/>
                    <w:snapToGrid w:val="0"/>
                    <w:jc w:val="center"/>
                    <w:rPr>
                      <w:color w:val="000000"/>
                      <w:szCs w:val="21"/>
                      <w:u w:val="single"/>
                    </w:rPr>
                  </w:pPr>
                  <w:r>
                    <w:rPr>
                      <w:color w:val="000000"/>
                      <w:szCs w:val="21"/>
                      <w:u w:val="single"/>
                    </w:rPr>
                    <w:drawing>
                      <wp:inline distT="0" distB="0" distL="114300" distR="114300">
                        <wp:extent cx="849630" cy="754380"/>
                        <wp:effectExtent l="0" t="0" r="7620" b="762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3"/>
                                <a:stretch>
                                  <a:fillRect/>
                                </a:stretch>
                              </pic:blipFill>
                              <pic:spPr>
                                <a:xfrm>
                                  <a:off x="0" y="0"/>
                                  <a:ext cx="849630" cy="754380"/>
                                </a:xfrm>
                                <a:prstGeom prst="rect">
                                  <a:avLst/>
                                </a:prstGeom>
                                <a:noFill/>
                                <a:ln>
                                  <a:noFill/>
                                </a:ln>
                              </pic:spPr>
                            </pic:pic>
                          </a:graphicData>
                        </a:graphic>
                      </wp:inline>
                    </w:drawing>
                  </w:r>
                </w:p>
              </w:tc>
              <w:tc>
                <w:tcPr>
                  <w:tcW w:w="906" w:type="pct"/>
                  <w:noWrap w:val="0"/>
                  <w:vAlign w:val="center"/>
                </w:tcPr>
                <w:p w14:paraId="03BEB8B4">
                  <w:pPr>
                    <w:adjustRightInd w:val="0"/>
                    <w:snapToGrid w:val="0"/>
                    <w:jc w:val="center"/>
                    <w:rPr>
                      <w:color w:val="000000"/>
                      <w:szCs w:val="21"/>
                      <w:u w:val="single"/>
                    </w:rPr>
                  </w:pPr>
                  <w:r>
                    <w:rPr>
                      <w:color w:val="000000"/>
                      <w:szCs w:val="21"/>
                      <w:u w:val="single"/>
                    </w:rPr>
                    <w:t>噪声排放源</w:t>
                  </w:r>
                </w:p>
              </w:tc>
              <w:tc>
                <w:tcPr>
                  <w:tcW w:w="1352" w:type="pct"/>
                  <w:noWrap w:val="0"/>
                  <w:vAlign w:val="center"/>
                </w:tcPr>
                <w:p w14:paraId="421E4171">
                  <w:pPr>
                    <w:adjustRightInd w:val="0"/>
                    <w:snapToGrid w:val="0"/>
                    <w:jc w:val="center"/>
                    <w:rPr>
                      <w:color w:val="000000"/>
                      <w:szCs w:val="21"/>
                      <w:u w:val="single"/>
                    </w:rPr>
                  </w:pPr>
                  <w:r>
                    <w:rPr>
                      <w:color w:val="000000"/>
                      <w:szCs w:val="21"/>
                      <w:u w:val="single"/>
                    </w:rPr>
                    <w:t>表示噪声向外环境排放</w:t>
                  </w:r>
                </w:p>
              </w:tc>
            </w:tr>
            <w:tr w14:paraId="6F5277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4" w:hRule="atLeast"/>
              </w:trPr>
              <w:tc>
                <w:tcPr>
                  <w:tcW w:w="393" w:type="pct"/>
                  <w:noWrap w:val="0"/>
                  <w:vAlign w:val="center"/>
                </w:tcPr>
                <w:p w14:paraId="54774B96">
                  <w:pPr>
                    <w:adjustRightInd w:val="0"/>
                    <w:snapToGrid w:val="0"/>
                    <w:jc w:val="center"/>
                    <w:rPr>
                      <w:color w:val="000000"/>
                      <w:szCs w:val="21"/>
                      <w:u w:val="single"/>
                    </w:rPr>
                  </w:pPr>
                  <w:r>
                    <w:rPr>
                      <w:color w:val="000000"/>
                      <w:szCs w:val="21"/>
                      <w:u w:val="single"/>
                    </w:rPr>
                    <w:t>3</w:t>
                  </w:r>
                </w:p>
              </w:tc>
              <w:tc>
                <w:tcPr>
                  <w:tcW w:w="1111" w:type="pct"/>
                  <w:noWrap w:val="0"/>
                  <w:vAlign w:val="center"/>
                </w:tcPr>
                <w:p w14:paraId="4E29C86A">
                  <w:pPr>
                    <w:adjustRightInd w:val="0"/>
                    <w:snapToGrid w:val="0"/>
                    <w:jc w:val="center"/>
                    <w:rPr>
                      <w:color w:val="000000"/>
                      <w:szCs w:val="21"/>
                      <w:u w:val="single"/>
                    </w:rPr>
                  </w:pPr>
                  <w:r>
                    <w:rPr>
                      <w:color w:val="000000"/>
                      <w:szCs w:val="21"/>
                      <w:u w:val="single"/>
                    </w:rPr>
                    <w:drawing>
                      <wp:inline distT="0" distB="0" distL="114300" distR="114300">
                        <wp:extent cx="808355" cy="775335"/>
                        <wp:effectExtent l="0" t="0" r="10795" b="5715"/>
                        <wp:docPr id="41"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111"/>
                                <pic:cNvPicPr>
                                  <a:picLocks noChangeAspect="1"/>
                                </pic:cNvPicPr>
                              </pic:nvPicPr>
                              <pic:blipFill>
                                <a:blip r:embed="rId24"/>
                                <a:stretch>
                                  <a:fillRect/>
                                </a:stretch>
                              </pic:blipFill>
                              <pic:spPr>
                                <a:xfrm>
                                  <a:off x="0" y="0"/>
                                  <a:ext cx="808355" cy="775335"/>
                                </a:xfrm>
                                <a:prstGeom prst="rect">
                                  <a:avLst/>
                                </a:prstGeom>
                                <a:noFill/>
                                <a:ln>
                                  <a:noFill/>
                                </a:ln>
                              </pic:spPr>
                            </pic:pic>
                          </a:graphicData>
                        </a:graphic>
                      </wp:inline>
                    </w:drawing>
                  </w:r>
                </w:p>
              </w:tc>
              <w:tc>
                <w:tcPr>
                  <w:tcW w:w="1235" w:type="pct"/>
                  <w:noWrap w:val="0"/>
                  <w:vAlign w:val="center"/>
                </w:tcPr>
                <w:p w14:paraId="4D8EA53E">
                  <w:pPr>
                    <w:adjustRightInd w:val="0"/>
                    <w:snapToGrid w:val="0"/>
                    <w:jc w:val="center"/>
                    <w:rPr>
                      <w:color w:val="000000"/>
                      <w:szCs w:val="21"/>
                      <w:u w:val="single"/>
                    </w:rPr>
                  </w:pPr>
                  <w:r>
                    <w:rPr>
                      <w:color w:val="000000"/>
                      <w:szCs w:val="21"/>
                      <w:u w:val="single"/>
                    </w:rPr>
                    <w:drawing>
                      <wp:inline distT="0" distB="0" distL="114300" distR="114300">
                        <wp:extent cx="888365" cy="758825"/>
                        <wp:effectExtent l="0" t="0" r="6985" b="3175"/>
                        <wp:docPr id="13" name="图片 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333"/>
                                <pic:cNvPicPr>
                                  <a:picLocks noChangeAspect="1"/>
                                </pic:cNvPicPr>
                              </pic:nvPicPr>
                              <pic:blipFill>
                                <a:blip r:embed="rId25"/>
                                <a:stretch>
                                  <a:fillRect/>
                                </a:stretch>
                              </pic:blipFill>
                              <pic:spPr>
                                <a:xfrm>
                                  <a:off x="0" y="0"/>
                                  <a:ext cx="888365" cy="758825"/>
                                </a:xfrm>
                                <a:prstGeom prst="rect">
                                  <a:avLst/>
                                </a:prstGeom>
                                <a:noFill/>
                                <a:ln>
                                  <a:noFill/>
                                </a:ln>
                              </pic:spPr>
                            </pic:pic>
                          </a:graphicData>
                        </a:graphic>
                      </wp:inline>
                    </w:drawing>
                  </w:r>
                </w:p>
              </w:tc>
              <w:tc>
                <w:tcPr>
                  <w:tcW w:w="906" w:type="pct"/>
                  <w:noWrap w:val="0"/>
                  <w:vAlign w:val="center"/>
                </w:tcPr>
                <w:p w14:paraId="1F8599B7">
                  <w:pPr>
                    <w:adjustRightInd w:val="0"/>
                    <w:snapToGrid w:val="0"/>
                    <w:jc w:val="center"/>
                    <w:rPr>
                      <w:color w:val="000000"/>
                      <w:szCs w:val="21"/>
                      <w:u w:val="single"/>
                    </w:rPr>
                  </w:pPr>
                  <w:r>
                    <w:rPr>
                      <w:color w:val="000000"/>
                      <w:szCs w:val="21"/>
                      <w:u w:val="single"/>
                    </w:rPr>
                    <w:t>污水排放口</w:t>
                  </w:r>
                </w:p>
              </w:tc>
              <w:tc>
                <w:tcPr>
                  <w:tcW w:w="1352" w:type="pct"/>
                  <w:noWrap w:val="0"/>
                  <w:vAlign w:val="center"/>
                </w:tcPr>
                <w:p w14:paraId="69FF085F">
                  <w:pPr>
                    <w:adjustRightInd w:val="0"/>
                    <w:snapToGrid w:val="0"/>
                    <w:jc w:val="center"/>
                    <w:rPr>
                      <w:color w:val="000000"/>
                      <w:szCs w:val="21"/>
                      <w:u w:val="single"/>
                    </w:rPr>
                  </w:pPr>
                  <w:r>
                    <w:rPr>
                      <w:color w:val="000000"/>
                      <w:szCs w:val="21"/>
                      <w:u w:val="single"/>
                    </w:rPr>
                    <w:t>表示污水向外环境排放</w:t>
                  </w:r>
                </w:p>
              </w:tc>
            </w:tr>
            <w:tr w14:paraId="5A52D6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0" w:hRule="atLeast"/>
              </w:trPr>
              <w:tc>
                <w:tcPr>
                  <w:tcW w:w="393" w:type="pct"/>
                  <w:vMerge w:val="restart"/>
                  <w:noWrap w:val="0"/>
                  <w:vAlign w:val="center"/>
                </w:tcPr>
                <w:p w14:paraId="74A1BB4F">
                  <w:pPr>
                    <w:adjustRightInd w:val="0"/>
                    <w:snapToGrid w:val="0"/>
                    <w:jc w:val="center"/>
                    <w:rPr>
                      <w:color w:val="000000"/>
                      <w:szCs w:val="21"/>
                      <w:u w:val="single"/>
                    </w:rPr>
                  </w:pPr>
                  <w:r>
                    <w:rPr>
                      <w:color w:val="000000"/>
                      <w:szCs w:val="21"/>
                      <w:u w:val="single"/>
                    </w:rPr>
                    <w:t>4</w:t>
                  </w:r>
                </w:p>
              </w:tc>
              <w:tc>
                <w:tcPr>
                  <w:tcW w:w="1111" w:type="pct"/>
                  <w:vMerge w:val="restart"/>
                  <w:noWrap w:val="0"/>
                  <w:vAlign w:val="center"/>
                </w:tcPr>
                <w:p w14:paraId="395AB029">
                  <w:pPr>
                    <w:adjustRightInd w:val="0"/>
                    <w:snapToGrid w:val="0"/>
                    <w:jc w:val="center"/>
                    <w:rPr>
                      <w:color w:val="000000"/>
                      <w:szCs w:val="21"/>
                      <w:u w:val="single"/>
                    </w:rPr>
                  </w:pPr>
                  <w:r>
                    <w:rPr>
                      <w:color w:val="000000"/>
                      <w:szCs w:val="21"/>
                      <w:u w:val="single"/>
                    </w:rPr>
                    <w:drawing>
                      <wp:inline distT="0" distB="0" distL="114300" distR="114300">
                        <wp:extent cx="847725" cy="854075"/>
                        <wp:effectExtent l="0" t="0" r="9525" b="317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6"/>
                                <a:stretch>
                                  <a:fillRect/>
                                </a:stretch>
                              </pic:blipFill>
                              <pic:spPr>
                                <a:xfrm>
                                  <a:off x="0" y="0"/>
                                  <a:ext cx="847725" cy="854075"/>
                                </a:xfrm>
                                <a:prstGeom prst="rect">
                                  <a:avLst/>
                                </a:prstGeom>
                                <a:noFill/>
                                <a:ln>
                                  <a:noFill/>
                                </a:ln>
                              </pic:spPr>
                            </pic:pic>
                          </a:graphicData>
                        </a:graphic>
                      </wp:inline>
                    </w:drawing>
                  </w:r>
                </w:p>
              </w:tc>
              <w:tc>
                <w:tcPr>
                  <w:tcW w:w="1235" w:type="pct"/>
                  <w:noWrap w:val="0"/>
                  <w:vAlign w:val="center"/>
                </w:tcPr>
                <w:p w14:paraId="7B27EB9B">
                  <w:pPr>
                    <w:adjustRightInd w:val="0"/>
                    <w:snapToGrid w:val="0"/>
                    <w:jc w:val="center"/>
                    <w:rPr>
                      <w:color w:val="000000"/>
                      <w:szCs w:val="21"/>
                      <w:u w:val="single"/>
                    </w:rPr>
                  </w:pPr>
                  <w:r>
                    <w:rPr>
                      <w:color w:val="000000"/>
                      <w:szCs w:val="21"/>
                      <w:u w:val="single"/>
                    </w:rPr>
                    <w:drawing>
                      <wp:inline distT="0" distB="0" distL="114300" distR="114300">
                        <wp:extent cx="735330" cy="657225"/>
                        <wp:effectExtent l="0" t="0" r="762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7"/>
                                <a:stretch>
                                  <a:fillRect/>
                                </a:stretch>
                              </pic:blipFill>
                              <pic:spPr>
                                <a:xfrm>
                                  <a:off x="0" y="0"/>
                                  <a:ext cx="735330" cy="657225"/>
                                </a:xfrm>
                                <a:prstGeom prst="rect">
                                  <a:avLst/>
                                </a:prstGeom>
                                <a:noFill/>
                                <a:ln>
                                  <a:noFill/>
                                </a:ln>
                              </pic:spPr>
                            </pic:pic>
                          </a:graphicData>
                        </a:graphic>
                      </wp:inline>
                    </w:drawing>
                  </w:r>
                </w:p>
              </w:tc>
              <w:tc>
                <w:tcPr>
                  <w:tcW w:w="906" w:type="pct"/>
                  <w:noWrap w:val="0"/>
                  <w:vAlign w:val="center"/>
                </w:tcPr>
                <w:p w14:paraId="6838A129">
                  <w:pPr>
                    <w:adjustRightInd w:val="0"/>
                    <w:snapToGrid w:val="0"/>
                    <w:jc w:val="center"/>
                    <w:rPr>
                      <w:color w:val="000000"/>
                      <w:szCs w:val="21"/>
                      <w:u w:val="single"/>
                    </w:rPr>
                  </w:pPr>
                  <w:r>
                    <w:rPr>
                      <w:color w:val="000000"/>
                      <w:szCs w:val="21"/>
                      <w:u w:val="single"/>
                    </w:rPr>
                    <w:t>一般固体废物</w:t>
                  </w:r>
                </w:p>
              </w:tc>
              <w:tc>
                <w:tcPr>
                  <w:tcW w:w="1352" w:type="pct"/>
                  <w:noWrap w:val="0"/>
                  <w:vAlign w:val="center"/>
                </w:tcPr>
                <w:p w14:paraId="3D0B1E00">
                  <w:pPr>
                    <w:adjustRightInd w:val="0"/>
                    <w:snapToGrid w:val="0"/>
                    <w:jc w:val="center"/>
                    <w:rPr>
                      <w:color w:val="000000"/>
                      <w:szCs w:val="21"/>
                      <w:u w:val="single"/>
                    </w:rPr>
                  </w:pPr>
                  <w:r>
                    <w:rPr>
                      <w:color w:val="000000"/>
                      <w:szCs w:val="21"/>
                      <w:u w:val="single"/>
                    </w:rPr>
                    <w:t>表示一般固体废物贮存、处置场</w:t>
                  </w:r>
                </w:p>
              </w:tc>
            </w:tr>
            <w:tr w14:paraId="02899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393" w:type="pct"/>
                  <w:vMerge w:val="continue"/>
                  <w:noWrap w:val="0"/>
                  <w:vAlign w:val="center"/>
                </w:tcPr>
                <w:p w14:paraId="307710BF">
                  <w:pPr>
                    <w:adjustRightInd w:val="0"/>
                    <w:snapToGrid w:val="0"/>
                    <w:jc w:val="center"/>
                    <w:rPr>
                      <w:color w:val="000000"/>
                      <w:szCs w:val="21"/>
                      <w:u w:val="single"/>
                    </w:rPr>
                  </w:pPr>
                </w:p>
              </w:tc>
              <w:tc>
                <w:tcPr>
                  <w:tcW w:w="1111" w:type="pct"/>
                  <w:vMerge w:val="continue"/>
                  <w:noWrap w:val="0"/>
                  <w:vAlign w:val="center"/>
                </w:tcPr>
                <w:p w14:paraId="7392F1F5">
                  <w:pPr>
                    <w:adjustRightInd w:val="0"/>
                    <w:snapToGrid w:val="0"/>
                    <w:jc w:val="center"/>
                    <w:rPr>
                      <w:color w:val="000000"/>
                      <w:szCs w:val="21"/>
                      <w:u w:val="single"/>
                    </w:rPr>
                  </w:pPr>
                </w:p>
              </w:tc>
              <w:tc>
                <w:tcPr>
                  <w:tcW w:w="1235" w:type="pct"/>
                  <w:noWrap w:val="0"/>
                  <w:vAlign w:val="center"/>
                </w:tcPr>
                <w:p w14:paraId="73EA8EB2">
                  <w:pPr>
                    <w:adjustRightInd w:val="0"/>
                    <w:snapToGrid w:val="0"/>
                    <w:jc w:val="center"/>
                    <w:rPr>
                      <w:color w:val="000000"/>
                      <w:szCs w:val="21"/>
                      <w:u w:val="single"/>
                    </w:rPr>
                  </w:pPr>
                  <w:r>
                    <w:rPr>
                      <w:rFonts w:hint="eastAsia"/>
                      <w:color w:val="000000"/>
                      <w:szCs w:val="21"/>
                      <w:u w:val="single"/>
                    </w:rPr>
                    <w:drawing>
                      <wp:inline distT="0" distB="0" distL="114300" distR="114300">
                        <wp:extent cx="685800" cy="718820"/>
                        <wp:effectExtent l="0" t="0" r="0" b="5080"/>
                        <wp:docPr id="17" name="图片 12" descr="16847448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1684744841316"/>
                                <pic:cNvPicPr>
                                  <a:picLocks noChangeAspect="1"/>
                                </pic:cNvPicPr>
                              </pic:nvPicPr>
                              <pic:blipFill>
                                <a:blip r:embed="rId28"/>
                                <a:stretch>
                                  <a:fillRect/>
                                </a:stretch>
                              </pic:blipFill>
                              <pic:spPr>
                                <a:xfrm>
                                  <a:off x="0" y="0"/>
                                  <a:ext cx="685800" cy="718820"/>
                                </a:xfrm>
                                <a:prstGeom prst="rect">
                                  <a:avLst/>
                                </a:prstGeom>
                                <a:noFill/>
                                <a:ln>
                                  <a:noFill/>
                                </a:ln>
                              </pic:spPr>
                            </pic:pic>
                          </a:graphicData>
                        </a:graphic>
                      </wp:inline>
                    </w:drawing>
                  </w:r>
                </w:p>
              </w:tc>
              <w:tc>
                <w:tcPr>
                  <w:tcW w:w="906" w:type="pct"/>
                  <w:noWrap w:val="0"/>
                  <w:vAlign w:val="center"/>
                </w:tcPr>
                <w:p w14:paraId="6DC6C5B4">
                  <w:pPr>
                    <w:adjustRightInd w:val="0"/>
                    <w:snapToGrid w:val="0"/>
                    <w:jc w:val="center"/>
                    <w:rPr>
                      <w:color w:val="000000"/>
                      <w:szCs w:val="21"/>
                      <w:u w:val="single"/>
                    </w:rPr>
                  </w:pPr>
                  <w:r>
                    <w:rPr>
                      <w:color w:val="000000"/>
                      <w:szCs w:val="21"/>
                      <w:u w:val="single"/>
                    </w:rPr>
                    <w:t>危险废物</w:t>
                  </w:r>
                </w:p>
              </w:tc>
              <w:tc>
                <w:tcPr>
                  <w:tcW w:w="1352" w:type="pct"/>
                  <w:noWrap w:val="0"/>
                  <w:vAlign w:val="center"/>
                </w:tcPr>
                <w:p w14:paraId="5C1FA704">
                  <w:pPr>
                    <w:adjustRightInd w:val="0"/>
                    <w:snapToGrid w:val="0"/>
                    <w:jc w:val="center"/>
                    <w:rPr>
                      <w:color w:val="000000"/>
                      <w:szCs w:val="21"/>
                      <w:u w:val="single"/>
                    </w:rPr>
                  </w:pPr>
                  <w:r>
                    <w:rPr>
                      <w:color w:val="000000"/>
                      <w:szCs w:val="21"/>
                      <w:u w:val="single"/>
                    </w:rPr>
                    <w:t>表示危险废物贮存、处置场</w:t>
                  </w:r>
                </w:p>
              </w:tc>
            </w:tr>
          </w:tbl>
          <w:p w14:paraId="401F4686">
            <w:pPr>
              <w:pStyle w:val="352"/>
              <w:ind w:firstLine="420" w:firstLineChars="200"/>
              <w:jc w:val="left"/>
              <w:rPr>
                <w:color w:val="000000"/>
                <w:u w:val="single"/>
              </w:rPr>
            </w:pPr>
            <w:r>
              <w:rPr>
                <w:color w:val="000000"/>
                <w:u w:val="single"/>
              </w:rPr>
              <w:t>3、本项目竣工后，建设单位应当按照国务院环境保护行政主管部门规定的标准和程序，</w:t>
            </w:r>
            <w:r>
              <w:rPr>
                <w:rFonts w:hint="eastAsia"/>
                <w:color w:val="000000"/>
                <w:u w:val="single"/>
              </w:rPr>
              <w:t>按照《湖南省突发环境事件应急预案管理办法（修订版）》（湘环发〔2024〕49号），核实环境风险等级，并完善环境风险管控</w:t>
            </w:r>
            <w:r>
              <w:rPr>
                <w:color w:val="000000"/>
                <w:u w:val="single"/>
              </w:rPr>
              <w:t>；</w:t>
            </w:r>
          </w:p>
          <w:p w14:paraId="73FF0351">
            <w:pPr>
              <w:wordWrap w:val="0"/>
              <w:topLinePunct/>
              <w:adjustRightInd w:val="0"/>
              <w:snapToGrid w:val="0"/>
              <w:ind w:firstLine="420" w:firstLineChars="200"/>
              <w:rPr>
                <w:color w:val="000000"/>
                <w:szCs w:val="21"/>
                <w:u w:val="single"/>
              </w:rPr>
            </w:pPr>
            <w:r>
              <w:rPr>
                <w:color w:val="000000"/>
                <w:szCs w:val="21"/>
                <w:u w:val="single"/>
              </w:rPr>
              <w:t>4、本项目竣工后，建设单位应当按照国务院环境保护行政主管部门规定的标准和程序，对配套建设的环境保护设施进行自主验收，编制验收报告。</w:t>
            </w:r>
          </w:p>
          <w:p w14:paraId="257D9230">
            <w:pPr>
              <w:pStyle w:val="17"/>
              <w:rPr>
                <w:color w:val="000000"/>
                <w:szCs w:val="21"/>
                <w:u w:val="single"/>
              </w:rPr>
            </w:pPr>
          </w:p>
          <w:p w14:paraId="2C37215E">
            <w:pPr>
              <w:pStyle w:val="16"/>
              <w:rPr>
                <w:color w:val="000000"/>
                <w:szCs w:val="21"/>
                <w:u w:val="single"/>
              </w:rPr>
            </w:pPr>
          </w:p>
          <w:p w14:paraId="3A35EB3C">
            <w:pPr>
              <w:pStyle w:val="17"/>
              <w:rPr>
                <w:color w:val="000000"/>
                <w:szCs w:val="21"/>
                <w:u w:val="single"/>
              </w:rPr>
            </w:pPr>
          </w:p>
          <w:p w14:paraId="7E763484">
            <w:pPr>
              <w:pStyle w:val="16"/>
              <w:rPr>
                <w:color w:val="000000"/>
                <w:szCs w:val="21"/>
                <w:u w:val="single"/>
              </w:rPr>
            </w:pPr>
          </w:p>
          <w:p w14:paraId="41A8F936">
            <w:pPr>
              <w:pStyle w:val="17"/>
              <w:rPr>
                <w:color w:val="000000"/>
                <w:szCs w:val="21"/>
                <w:u w:val="single"/>
              </w:rPr>
            </w:pPr>
          </w:p>
          <w:p w14:paraId="0BEE1E92">
            <w:pPr>
              <w:pStyle w:val="16"/>
              <w:rPr>
                <w:color w:val="000000"/>
                <w:szCs w:val="21"/>
                <w:u w:val="single"/>
              </w:rPr>
            </w:pPr>
          </w:p>
          <w:p w14:paraId="26824DE6">
            <w:pPr>
              <w:pStyle w:val="17"/>
              <w:rPr>
                <w:color w:val="000000"/>
                <w:szCs w:val="21"/>
                <w:u w:val="single"/>
              </w:rPr>
            </w:pPr>
          </w:p>
          <w:p w14:paraId="4BD435A5">
            <w:pPr>
              <w:pStyle w:val="16"/>
              <w:rPr>
                <w:color w:val="000000"/>
                <w:szCs w:val="21"/>
                <w:u w:val="single"/>
              </w:rPr>
            </w:pPr>
          </w:p>
          <w:p w14:paraId="09E48B9A">
            <w:pPr>
              <w:pStyle w:val="17"/>
              <w:rPr>
                <w:color w:val="000000"/>
                <w:szCs w:val="21"/>
                <w:u w:val="single"/>
              </w:rPr>
            </w:pPr>
          </w:p>
          <w:p w14:paraId="1B29A6BC">
            <w:pPr>
              <w:pStyle w:val="16"/>
              <w:rPr>
                <w:color w:val="000000"/>
                <w:szCs w:val="21"/>
                <w:u w:val="single"/>
              </w:rPr>
            </w:pPr>
          </w:p>
          <w:p w14:paraId="38CCD4CA">
            <w:pPr>
              <w:pStyle w:val="17"/>
              <w:rPr>
                <w:color w:val="000000"/>
                <w:szCs w:val="21"/>
                <w:u w:val="single"/>
              </w:rPr>
            </w:pPr>
          </w:p>
          <w:p w14:paraId="444CF19B">
            <w:pPr>
              <w:pStyle w:val="16"/>
              <w:rPr>
                <w:color w:val="000000"/>
                <w:szCs w:val="21"/>
                <w:u w:val="single"/>
              </w:rPr>
            </w:pPr>
          </w:p>
          <w:p w14:paraId="2F39A0D6">
            <w:pPr>
              <w:pStyle w:val="17"/>
              <w:rPr>
                <w:color w:val="000000"/>
                <w:szCs w:val="21"/>
                <w:u w:val="single"/>
              </w:rPr>
            </w:pPr>
          </w:p>
          <w:p w14:paraId="2378B9AA">
            <w:pPr>
              <w:pStyle w:val="16"/>
              <w:rPr>
                <w:color w:val="000000"/>
                <w:szCs w:val="21"/>
                <w:u w:val="single"/>
              </w:rPr>
            </w:pPr>
          </w:p>
          <w:p w14:paraId="5B719AA3">
            <w:pPr>
              <w:pStyle w:val="17"/>
              <w:rPr>
                <w:color w:val="000000"/>
                <w:szCs w:val="21"/>
                <w:u w:val="single"/>
              </w:rPr>
            </w:pPr>
          </w:p>
          <w:p w14:paraId="1FD5E317">
            <w:pPr>
              <w:pStyle w:val="16"/>
              <w:rPr>
                <w:color w:val="000000"/>
                <w:szCs w:val="21"/>
                <w:u w:val="single"/>
              </w:rPr>
            </w:pPr>
          </w:p>
          <w:p w14:paraId="5686B6B4">
            <w:pPr>
              <w:pStyle w:val="17"/>
              <w:rPr>
                <w:color w:val="000000"/>
                <w:szCs w:val="21"/>
                <w:u w:val="single"/>
              </w:rPr>
            </w:pPr>
          </w:p>
          <w:p w14:paraId="2B959544">
            <w:pPr>
              <w:pStyle w:val="16"/>
              <w:rPr>
                <w:color w:val="000000"/>
                <w:szCs w:val="21"/>
                <w:u w:val="single"/>
              </w:rPr>
            </w:pPr>
          </w:p>
          <w:p w14:paraId="36A24BD7">
            <w:pPr>
              <w:pStyle w:val="17"/>
              <w:rPr>
                <w:color w:val="000000"/>
                <w:szCs w:val="21"/>
                <w:u w:val="single"/>
              </w:rPr>
            </w:pPr>
          </w:p>
          <w:p w14:paraId="4176CAE6">
            <w:pPr>
              <w:pStyle w:val="16"/>
              <w:rPr>
                <w:color w:val="000000"/>
                <w:szCs w:val="21"/>
                <w:u w:val="single"/>
              </w:rPr>
            </w:pPr>
          </w:p>
          <w:p w14:paraId="3A1CCFC4">
            <w:pPr>
              <w:pStyle w:val="17"/>
              <w:rPr>
                <w:color w:val="000000"/>
                <w:szCs w:val="21"/>
                <w:u w:val="single"/>
              </w:rPr>
            </w:pPr>
          </w:p>
          <w:p w14:paraId="6521B227">
            <w:pPr>
              <w:pStyle w:val="16"/>
              <w:rPr>
                <w:color w:val="000000"/>
                <w:szCs w:val="21"/>
                <w:u w:val="single"/>
              </w:rPr>
            </w:pPr>
          </w:p>
          <w:p w14:paraId="7047E7F8">
            <w:pPr>
              <w:pStyle w:val="17"/>
              <w:rPr>
                <w:color w:val="000000"/>
                <w:szCs w:val="21"/>
                <w:u w:val="single"/>
              </w:rPr>
            </w:pPr>
          </w:p>
          <w:p w14:paraId="3ED907FF">
            <w:pPr>
              <w:pStyle w:val="16"/>
              <w:rPr>
                <w:color w:val="000000"/>
                <w:szCs w:val="21"/>
                <w:u w:val="single"/>
              </w:rPr>
            </w:pPr>
          </w:p>
          <w:p w14:paraId="6169BFE7">
            <w:pPr>
              <w:pStyle w:val="17"/>
              <w:rPr>
                <w:color w:val="000000"/>
                <w:szCs w:val="21"/>
                <w:u w:val="single"/>
              </w:rPr>
            </w:pPr>
          </w:p>
          <w:p w14:paraId="093E8781">
            <w:pPr>
              <w:pStyle w:val="17"/>
              <w:rPr>
                <w:color w:val="000000"/>
                <w:szCs w:val="21"/>
                <w:u w:val="single"/>
              </w:rPr>
            </w:pPr>
          </w:p>
          <w:p w14:paraId="49095A56">
            <w:pPr>
              <w:pStyle w:val="16"/>
              <w:rPr>
                <w:color w:val="000000"/>
                <w:szCs w:val="21"/>
                <w:u w:val="single"/>
              </w:rPr>
            </w:pPr>
          </w:p>
          <w:p w14:paraId="7AFE9413">
            <w:pPr>
              <w:pStyle w:val="17"/>
              <w:rPr>
                <w:u w:val="single"/>
              </w:rPr>
            </w:pPr>
          </w:p>
        </w:tc>
      </w:tr>
    </w:tbl>
    <w:p w14:paraId="2B430118">
      <w:pPr>
        <w:pStyle w:val="47"/>
        <w:jc w:val="center"/>
        <w:outlineLvl w:val="0"/>
        <w:rPr>
          <w:rFonts w:ascii="黑体" w:hAnsi="黑体" w:eastAsia="黑体"/>
          <w:snapToGrid w:val="0"/>
          <w:sz w:val="30"/>
          <w:szCs w:val="30"/>
        </w:rPr>
      </w:pPr>
      <w:r>
        <w:rPr>
          <w:rFonts w:ascii="Times New Roman" w:hAnsi="Times New Roman"/>
          <w:snapToGrid w:val="0"/>
        </w:rPr>
        <w:br w:type="page"/>
      </w:r>
      <w:bookmarkStart w:id="46" w:name="_Toc13950"/>
      <w:r>
        <w:rPr>
          <w:rFonts w:ascii="黑体" w:hAnsi="黑体" w:eastAsia="黑体"/>
          <w:snapToGrid w:val="0"/>
          <w:sz w:val="30"/>
          <w:szCs w:val="30"/>
        </w:rPr>
        <w:t>六、结论</w:t>
      </w:r>
      <w:bookmarkEnd w:id="46"/>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20DE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421D329">
            <w:pPr>
              <w:spacing w:line="360" w:lineRule="auto"/>
              <w:ind w:firstLine="480" w:firstLineChars="200"/>
              <w:rPr>
                <w:sz w:val="24"/>
              </w:rPr>
            </w:pPr>
            <w:r>
              <w:rPr>
                <w:sz w:val="24"/>
              </w:rPr>
              <w:t>“</w:t>
            </w:r>
            <w:r>
              <w:rPr>
                <w:rFonts w:hint="eastAsia"/>
                <w:sz w:val="24"/>
                <w:lang w:eastAsia="zh-CN"/>
              </w:rPr>
              <w:t>祁阳市绕城公路加油站有限公司</w:t>
            </w:r>
            <w:r>
              <w:rPr>
                <w:rFonts w:hint="eastAsia"/>
                <w:sz w:val="24"/>
              </w:rPr>
              <w:t>祁阳市绕城公路加油站项目</w:t>
            </w:r>
            <w:r>
              <w:rPr>
                <w:sz w:val="24"/>
              </w:rPr>
              <w:t>”符合国家产业政策；项目选址符合相关规划要求，通过采取有效的环保措施可实现达标排放，对周边环境的影响也能控制在可接受程度。因此，建设单位在严格执行环保“三同时”制度，严格落实本报告提出的各项环保措施后，项目建设对环境的影响是可接受的。因此，从环保的角度分析，本项目的建设是可行的。</w:t>
            </w:r>
          </w:p>
        </w:tc>
      </w:tr>
    </w:tbl>
    <w:p w14:paraId="784580B6">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BE5D84">
      <w:pPr>
        <w:pStyle w:val="47"/>
        <w:adjustRightInd w:val="0"/>
        <w:snapToGrid w:val="0"/>
        <w:spacing w:before="0" w:beforeAutospacing="0" w:after="0" w:afterAutospacing="0"/>
        <w:outlineLvl w:val="9"/>
        <w:rPr>
          <w:rFonts w:ascii="Times New Roman" w:hAnsi="Times New Roman"/>
          <w:snapToGrid w:val="0"/>
          <w:sz w:val="32"/>
          <w:szCs w:val="32"/>
        </w:rPr>
      </w:pPr>
      <w:bookmarkStart w:id="47" w:name="_Toc67408764"/>
      <w:bookmarkStart w:id="48" w:name="_Toc129615035"/>
      <w:r>
        <w:rPr>
          <w:rFonts w:ascii="Times New Roman" w:hAnsi="Times New Roman"/>
          <w:snapToGrid w:val="0"/>
          <w:sz w:val="32"/>
          <w:szCs w:val="32"/>
        </w:rPr>
        <w:t>附表</w:t>
      </w:r>
      <w:bookmarkEnd w:id="47"/>
      <w:r>
        <w:rPr>
          <w:rFonts w:ascii="Times New Roman" w:hAnsi="Times New Roman"/>
          <w:snapToGrid w:val="0"/>
          <w:sz w:val="32"/>
          <w:szCs w:val="32"/>
        </w:rPr>
        <w:t>1</w:t>
      </w:r>
      <w:bookmarkEnd w:id="48"/>
    </w:p>
    <w:p w14:paraId="6848C8A3">
      <w:pPr>
        <w:pStyle w:val="47"/>
        <w:adjustRightInd w:val="0"/>
        <w:snapToGrid w:val="0"/>
        <w:spacing w:before="0" w:beforeAutospacing="0" w:after="0" w:afterAutospacing="0" w:line="360" w:lineRule="auto"/>
        <w:jc w:val="center"/>
        <w:outlineLvl w:val="9"/>
        <w:rPr>
          <w:rFonts w:ascii="Times New Roman" w:hAnsi="Times New Roman"/>
          <w:b/>
          <w:bCs/>
          <w:snapToGrid w:val="0"/>
          <w:sz w:val="38"/>
          <w:szCs w:val="38"/>
        </w:rPr>
      </w:pPr>
      <w:bookmarkStart w:id="49" w:name="_Toc129615036"/>
      <w:r>
        <w:rPr>
          <w:rFonts w:ascii="Times New Roman" w:hAnsi="Times New Roman"/>
          <w:b/>
          <w:bCs/>
          <w:snapToGrid w:val="0"/>
          <w:sz w:val="38"/>
          <w:szCs w:val="38"/>
        </w:rPr>
        <w:t>建设项目污染物排放量汇总表</w:t>
      </w:r>
      <w:bookmarkEnd w:id="49"/>
    </w:p>
    <w:tbl>
      <w:tblPr>
        <w:tblStyle w:val="5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072"/>
        <w:gridCol w:w="1802"/>
        <w:gridCol w:w="1099"/>
        <w:gridCol w:w="1802"/>
        <w:gridCol w:w="1880"/>
        <w:gridCol w:w="1596"/>
        <w:gridCol w:w="2096"/>
        <w:gridCol w:w="1227"/>
      </w:tblGrid>
      <w:tr w14:paraId="6F44E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40" w:type="pct"/>
            <w:tcBorders>
              <w:tl2br w:val="single" w:color="auto" w:sz="4" w:space="0"/>
            </w:tcBorders>
            <w:tcMar>
              <w:left w:w="28" w:type="dxa"/>
              <w:right w:w="28" w:type="dxa"/>
            </w:tcMar>
            <w:vAlign w:val="center"/>
          </w:tcPr>
          <w:p w14:paraId="6CDF8949">
            <w:pPr>
              <w:pStyle w:val="115"/>
              <w:spacing w:beforeLines="0" w:afterLines="0" w:line="240" w:lineRule="auto"/>
              <w:jc w:val="right"/>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项目</w:t>
            </w:r>
          </w:p>
          <w:p w14:paraId="448A1E4A">
            <w:pPr>
              <w:pStyle w:val="115"/>
              <w:spacing w:beforeLines="0" w:afterLines="0" w:line="240" w:lineRule="auto"/>
              <w:jc w:val="left"/>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分类</w:t>
            </w:r>
          </w:p>
        </w:tc>
        <w:tc>
          <w:tcPr>
            <w:tcW w:w="397" w:type="pct"/>
            <w:tcMar>
              <w:left w:w="28" w:type="dxa"/>
              <w:right w:w="28" w:type="dxa"/>
            </w:tcMar>
            <w:vAlign w:val="center"/>
          </w:tcPr>
          <w:p w14:paraId="03C51595">
            <w:pPr>
              <w:pStyle w:val="115"/>
              <w:spacing w:beforeLines="0" w:afterLines="0" w:line="240" w:lineRule="auto"/>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污染物名称</w:t>
            </w:r>
          </w:p>
        </w:tc>
        <w:tc>
          <w:tcPr>
            <w:tcW w:w="667" w:type="pct"/>
            <w:tcMar>
              <w:left w:w="28" w:type="dxa"/>
              <w:right w:w="28" w:type="dxa"/>
            </w:tcMar>
            <w:vAlign w:val="center"/>
          </w:tcPr>
          <w:p w14:paraId="37D7BFA2">
            <w:pPr>
              <w:pStyle w:val="115"/>
              <w:spacing w:beforeLines="0" w:afterLines="0" w:line="240" w:lineRule="auto"/>
              <w:ind w:left="0" w:leftChars="0" w:firstLine="0" w:firstLineChars="0"/>
              <w:jc w:val="both"/>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现有工程排放量（固体废物产生量）</w:t>
            </w:r>
            <w:r>
              <w:rPr>
                <w:rFonts w:hint="default" w:ascii="Times New Roman" w:hAnsi="Times New Roman" w:cs="Times New Roman"/>
                <w:b/>
                <w:bCs/>
                <w:snapToGrid w:val="0"/>
                <w:spacing w:val="-6"/>
                <w:kern w:val="21"/>
                <w:szCs w:val="21"/>
              </w:rPr>
              <w:fldChar w:fldCharType="begin"/>
            </w:r>
            <w:r>
              <w:rPr>
                <w:rFonts w:hint="default" w:ascii="Times New Roman" w:hAnsi="Times New Roman" w:cs="Times New Roman"/>
                <w:b/>
                <w:bCs/>
                <w:snapToGrid w:val="0"/>
                <w:spacing w:val="-6"/>
                <w:kern w:val="21"/>
                <w:szCs w:val="21"/>
              </w:rPr>
              <w:instrText xml:space="preserve"> = 1 \* GB3 \* MERGEFORMAT </w:instrText>
            </w:r>
            <w:r>
              <w:rPr>
                <w:rFonts w:hint="default" w:ascii="Times New Roman" w:hAnsi="Times New Roman" w:cs="Times New Roman"/>
                <w:b/>
                <w:bCs/>
                <w:snapToGrid w:val="0"/>
                <w:spacing w:val="-6"/>
                <w:kern w:val="21"/>
                <w:szCs w:val="21"/>
              </w:rPr>
              <w:fldChar w:fldCharType="separate"/>
            </w:r>
            <w:r>
              <w:rPr>
                <w:rFonts w:hint="default" w:ascii="Times New Roman" w:hAnsi="Times New Roman" w:cs="Times New Roman"/>
                <w:b/>
                <w:bCs/>
                <w:kern w:val="2"/>
                <w:szCs w:val="21"/>
              </w:rPr>
              <w:t>①</w:t>
            </w:r>
            <w:r>
              <w:rPr>
                <w:rFonts w:hint="default" w:ascii="Times New Roman" w:hAnsi="Times New Roman" w:cs="Times New Roman"/>
                <w:b/>
                <w:bCs/>
                <w:snapToGrid w:val="0"/>
                <w:spacing w:val="-6"/>
                <w:kern w:val="21"/>
                <w:szCs w:val="21"/>
              </w:rPr>
              <w:fldChar w:fldCharType="end"/>
            </w:r>
          </w:p>
        </w:tc>
        <w:tc>
          <w:tcPr>
            <w:tcW w:w="407" w:type="pct"/>
            <w:tcMar>
              <w:left w:w="28" w:type="dxa"/>
              <w:right w:w="28" w:type="dxa"/>
            </w:tcMar>
            <w:vAlign w:val="center"/>
          </w:tcPr>
          <w:p w14:paraId="7C6A18D8">
            <w:pPr>
              <w:pStyle w:val="115"/>
              <w:spacing w:beforeLines="0" w:afterLines="0" w:line="240" w:lineRule="auto"/>
              <w:ind w:left="0" w:leftChars="0" w:firstLine="0" w:firstLineChars="0"/>
              <w:jc w:val="both"/>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现有工程许可排放量</w:t>
            </w:r>
          </w:p>
          <w:p w14:paraId="1E40BC8B">
            <w:pPr>
              <w:pStyle w:val="115"/>
              <w:spacing w:beforeLines="0" w:afterLines="0" w:line="240" w:lineRule="auto"/>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fldChar w:fldCharType="begin"/>
            </w:r>
            <w:r>
              <w:rPr>
                <w:rFonts w:hint="default" w:ascii="Times New Roman" w:hAnsi="Times New Roman" w:cs="Times New Roman"/>
                <w:b/>
                <w:bCs/>
                <w:snapToGrid w:val="0"/>
                <w:spacing w:val="-6"/>
                <w:kern w:val="21"/>
                <w:szCs w:val="21"/>
              </w:rPr>
              <w:instrText xml:space="preserve"> = 2 \* GB3 \* MERGEFORMAT </w:instrText>
            </w:r>
            <w:r>
              <w:rPr>
                <w:rFonts w:hint="default" w:ascii="Times New Roman" w:hAnsi="Times New Roman" w:cs="Times New Roman"/>
                <w:b/>
                <w:bCs/>
                <w:snapToGrid w:val="0"/>
                <w:spacing w:val="-6"/>
                <w:kern w:val="21"/>
                <w:szCs w:val="21"/>
              </w:rPr>
              <w:fldChar w:fldCharType="separate"/>
            </w:r>
            <w:r>
              <w:rPr>
                <w:rFonts w:hint="default" w:ascii="Times New Roman" w:hAnsi="Times New Roman" w:cs="Times New Roman"/>
                <w:b/>
                <w:bCs/>
                <w:snapToGrid w:val="0"/>
                <w:spacing w:val="-6"/>
                <w:kern w:val="21"/>
                <w:szCs w:val="21"/>
              </w:rPr>
              <w:t>②</w:t>
            </w:r>
            <w:r>
              <w:rPr>
                <w:rFonts w:hint="default" w:ascii="Times New Roman" w:hAnsi="Times New Roman" w:cs="Times New Roman"/>
                <w:b/>
                <w:bCs/>
                <w:snapToGrid w:val="0"/>
                <w:spacing w:val="-6"/>
                <w:kern w:val="21"/>
                <w:szCs w:val="21"/>
              </w:rPr>
              <w:fldChar w:fldCharType="end"/>
            </w:r>
          </w:p>
        </w:tc>
        <w:tc>
          <w:tcPr>
            <w:tcW w:w="667" w:type="pct"/>
            <w:tcMar>
              <w:left w:w="28" w:type="dxa"/>
              <w:right w:w="28" w:type="dxa"/>
            </w:tcMar>
            <w:vAlign w:val="center"/>
          </w:tcPr>
          <w:p w14:paraId="12F141D0">
            <w:pPr>
              <w:pStyle w:val="115"/>
              <w:spacing w:beforeLines="0" w:afterLines="0" w:line="240" w:lineRule="auto"/>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在建工程排放量（固体废物产生量）</w:t>
            </w:r>
            <w:r>
              <w:rPr>
                <w:rFonts w:hint="default" w:ascii="Times New Roman" w:hAnsi="Times New Roman" w:cs="Times New Roman"/>
                <w:b/>
                <w:bCs/>
                <w:snapToGrid w:val="0"/>
                <w:spacing w:val="-6"/>
                <w:kern w:val="21"/>
                <w:szCs w:val="21"/>
              </w:rPr>
              <w:fldChar w:fldCharType="begin"/>
            </w:r>
            <w:r>
              <w:rPr>
                <w:rFonts w:hint="default" w:ascii="Times New Roman" w:hAnsi="Times New Roman" w:cs="Times New Roman"/>
                <w:b/>
                <w:bCs/>
                <w:snapToGrid w:val="0"/>
                <w:spacing w:val="-6"/>
                <w:kern w:val="21"/>
                <w:szCs w:val="21"/>
              </w:rPr>
              <w:instrText xml:space="preserve"> = 3 \* GB3 \* MERGEFORMAT </w:instrText>
            </w:r>
            <w:r>
              <w:rPr>
                <w:rFonts w:hint="default" w:ascii="Times New Roman" w:hAnsi="Times New Roman" w:cs="Times New Roman"/>
                <w:b/>
                <w:bCs/>
                <w:snapToGrid w:val="0"/>
                <w:spacing w:val="-6"/>
                <w:kern w:val="21"/>
                <w:szCs w:val="21"/>
              </w:rPr>
              <w:fldChar w:fldCharType="separate"/>
            </w:r>
            <w:r>
              <w:rPr>
                <w:rFonts w:hint="default" w:ascii="Times New Roman" w:hAnsi="Times New Roman" w:cs="Times New Roman"/>
                <w:b/>
                <w:bCs/>
                <w:kern w:val="2"/>
                <w:szCs w:val="21"/>
              </w:rPr>
              <w:t>③</w:t>
            </w:r>
            <w:r>
              <w:rPr>
                <w:rFonts w:hint="default" w:ascii="Times New Roman" w:hAnsi="Times New Roman" w:cs="Times New Roman"/>
                <w:b/>
                <w:bCs/>
                <w:snapToGrid w:val="0"/>
                <w:spacing w:val="-6"/>
                <w:kern w:val="21"/>
                <w:szCs w:val="21"/>
              </w:rPr>
              <w:fldChar w:fldCharType="end"/>
            </w:r>
          </w:p>
        </w:tc>
        <w:tc>
          <w:tcPr>
            <w:tcW w:w="696" w:type="pct"/>
            <w:tcMar>
              <w:left w:w="28" w:type="dxa"/>
              <w:right w:w="28" w:type="dxa"/>
            </w:tcMar>
            <w:vAlign w:val="center"/>
          </w:tcPr>
          <w:p w14:paraId="77A72669">
            <w:pPr>
              <w:pStyle w:val="115"/>
              <w:spacing w:beforeLines="0" w:afterLines="0" w:line="240" w:lineRule="auto"/>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本项目排放量（固体废物产生量）</w:t>
            </w:r>
            <w:r>
              <w:rPr>
                <w:rFonts w:hint="default" w:ascii="Times New Roman" w:hAnsi="Times New Roman" w:cs="Times New Roman"/>
                <w:b/>
                <w:bCs/>
                <w:snapToGrid w:val="0"/>
                <w:spacing w:val="-6"/>
                <w:kern w:val="21"/>
                <w:szCs w:val="21"/>
              </w:rPr>
              <w:fldChar w:fldCharType="begin"/>
            </w:r>
            <w:r>
              <w:rPr>
                <w:rFonts w:hint="default" w:ascii="Times New Roman" w:hAnsi="Times New Roman" w:cs="Times New Roman"/>
                <w:b/>
                <w:bCs/>
                <w:snapToGrid w:val="0"/>
                <w:spacing w:val="-6"/>
                <w:kern w:val="21"/>
                <w:szCs w:val="21"/>
              </w:rPr>
              <w:instrText xml:space="preserve"> = 4 \* GB3 \* MERGEFORMAT </w:instrText>
            </w:r>
            <w:r>
              <w:rPr>
                <w:rFonts w:hint="default" w:ascii="Times New Roman" w:hAnsi="Times New Roman" w:cs="Times New Roman"/>
                <w:b/>
                <w:bCs/>
                <w:snapToGrid w:val="0"/>
                <w:spacing w:val="-6"/>
                <w:kern w:val="21"/>
                <w:szCs w:val="21"/>
              </w:rPr>
              <w:fldChar w:fldCharType="separate"/>
            </w:r>
            <w:r>
              <w:rPr>
                <w:rFonts w:hint="default" w:ascii="Times New Roman" w:hAnsi="Times New Roman" w:cs="Times New Roman"/>
                <w:b/>
                <w:bCs/>
                <w:kern w:val="2"/>
                <w:szCs w:val="21"/>
              </w:rPr>
              <w:t>④</w:t>
            </w:r>
            <w:r>
              <w:rPr>
                <w:rFonts w:hint="default" w:ascii="Times New Roman" w:hAnsi="Times New Roman" w:cs="Times New Roman"/>
                <w:b/>
                <w:bCs/>
                <w:snapToGrid w:val="0"/>
                <w:spacing w:val="-6"/>
                <w:kern w:val="21"/>
                <w:szCs w:val="21"/>
              </w:rPr>
              <w:fldChar w:fldCharType="end"/>
            </w:r>
          </w:p>
        </w:tc>
        <w:tc>
          <w:tcPr>
            <w:tcW w:w="591" w:type="pct"/>
            <w:tcMar>
              <w:left w:w="28" w:type="dxa"/>
              <w:right w:w="28" w:type="dxa"/>
            </w:tcMar>
            <w:vAlign w:val="center"/>
          </w:tcPr>
          <w:p w14:paraId="45ADF9C7">
            <w:pPr>
              <w:pStyle w:val="115"/>
              <w:spacing w:beforeLines="0" w:afterLines="0" w:line="240" w:lineRule="auto"/>
              <w:rPr>
                <w:rFonts w:hint="default" w:ascii="Times New Roman" w:hAnsi="Times New Roman" w:cs="Times New Roman"/>
                <w:b/>
                <w:bCs/>
                <w:snapToGrid w:val="0"/>
                <w:spacing w:val="-16"/>
                <w:kern w:val="21"/>
                <w:szCs w:val="21"/>
              </w:rPr>
            </w:pPr>
            <w:r>
              <w:rPr>
                <w:rFonts w:hint="default" w:ascii="Times New Roman" w:hAnsi="Times New Roman" w:cs="Times New Roman"/>
                <w:b/>
                <w:bCs/>
                <w:snapToGrid w:val="0"/>
                <w:spacing w:val="-16"/>
                <w:kern w:val="21"/>
                <w:szCs w:val="21"/>
              </w:rPr>
              <w:t>以新带老削减量（新建项目不填）</w:t>
            </w:r>
            <w:r>
              <w:rPr>
                <w:rFonts w:hint="default" w:ascii="Times New Roman" w:hAnsi="Times New Roman" w:cs="Times New Roman"/>
                <w:b/>
                <w:bCs/>
                <w:snapToGrid w:val="0"/>
                <w:spacing w:val="-16"/>
                <w:kern w:val="21"/>
                <w:szCs w:val="21"/>
              </w:rPr>
              <w:fldChar w:fldCharType="begin"/>
            </w:r>
            <w:r>
              <w:rPr>
                <w:rFonts w:hint="default" w:ascii="Times New Roman" w:hAnsi="Times New Roman" w:cs="Times New Roman"/>
                <w:b/>
                <w:bCs/>
                <w:snapToGrid w:val="0"/>
                <w:spacing w:val="-16"/>
                <w:kern w:val="21"/>
                <w:szCs w:val="21"/>
              </w:rPr>
              <w:instrText xml:space="preserve"> = 5 \* GB3 \* MERGEFORMAT </w:instrText>
            </w:r>
            <w:r>
              <w:rPr>
                <w:rFonts w:hint="default" w:ascii="Times New Roman" w:hAnsi="Times New Roman" w:cs="Times New Roman"/>
                <w:b/>
                <w:bCs/>
                <w:snapToGrid w:val="0"/>
                <w:spacing w:val="-16"/>
                <w:kern w:val="21"/>
                <w:szCs w:val="21"/>
              </w:rPr>
              <w:fldChar w:fldCharType="separate"/>
            </w:r>
            <w:r>
              <w:rPr>
                <w:rFonts w:hint="default" w:ascii="Times New Roman" w:hAnsi="Times New Roman" w:cs="Times New Roman"/>
                <w:b/>
                <w:bCs/>
                <w:kern w:val="2"/>
                <w:szCs w:val="21"/>
              </w:rPr>
              <w:t>⑤</w:t>
            </w:r>
            <w:r>
              <w:rPr>
                <w:rFonts w:hint="default" w:ascii="Times New Roman" w:hAnsi="Times New Roman" w:cs="Times New Roman"/>
                <w:b/>
                <w:bCs/>
                <w:snapToGrid w:val="0"/>
                <w:spacing w:val="-16"/>
                <w:kern w:val="21"/>
                <w:szCs w:val="21"/>
              </w:rPr>
              <w:fldChar w:fldCharType="end"/>
            </w:r>
          </w:p>
        </w:tc>
        <w:tc>
          <w:tcPr>
            <w:tcW w:w="776" w:type="pct"/>
            <w:tcMar>
              <w:left w:w="28" w:type="dxa"/>
              <w:right w:w="28" w:type="dxa"/>
            </w:tcMar>
            <w:vAlign w:val="center"/>
          </w:tcPr>
          <w:p w14:paraId="27B585D8">
            <w:pPr>
              <w:pStyle w:val="115"/>
              <w:spacing w:beforeLines="0" w:afterLines="0" w:line="240" w:lineRule="auto"/>
              <w:rPr>
                <w:rFonts w:hint="default" w:ascii="Times New Roman" w:hAnsi="Times New Roman" w:cs="Times New Roman"/>
                <w:b/>
                <w:bCs/>
                <w:snapToGrid w:val="0"/>
                <w:spacing w:val="-16"/>
                <w:kern w:val="21"/>
                <w:szCs w:val="21"/>
              </w:rPr>
            </w:pPr>
            <w:r>
              <w:rPr>
                <w:rFonts w:hint="default" w:ascii="Times New Roman" w:hAnsi="Times New Roman" w:cs="Times New Roman"/>
                <w:b/>
                <w:bCs/>
                <w:snapToGrid w:val="0"/>
                <w:spacing w:val="-16"/>
                <w:kern w:val="21"/>
                <w:szCs w:val="21"/>
              </w:rPr>
              <w:t>本项目建成后全厂排放量（固体废物产生量）</w:t>
            </w:r>
            <w:r>
              <w:rPr>
                <w:rFonts w:hint="default" w:ascii="Times New Roman" w:hAnsi="Times New Roman" w:cs="Times New Roman"/>
                <w:b/>
                <w:bCs/>
                <w:snapToGrid w:val="0"/>
                <w:spacing w:val="-16"/>
                <w:kern w:val="21"/>
                <w:szCs w:val="21"/>
              </w:rPr>
              <w:fldChar w:fldCharType="begin"/>
            </w:r>
            <w:r>
              <w:rPr>
                <w:rFonts w:hint="default" w:ascii="Times New Roman" w:hAnsi="Times New Roman" w:cs="Times New Roman"/>
                <w:b/>
                <w:bCs/>
                <w:snapToGrid w:val="0"/>
                <w:spacing w:val="-16"/>
                <w:kern w:val="21"/>
                <w:szCs w:val="21"/>
              </w:rPr>
              <w:instrText xml:space="preserve"> = 6 \* GB3 \* MERGEFORMAT </w:instrText>
            </w:r>
            <w:r>
              <w:rPr>
                <w:rFonts w:hint="default" w:ascii="Times New Roman" w:hAnsi="Times New Roman" w:cs="Times New Roman"/>
                <w:b/>
                <w:bCs/>
                <w:snapToGrid w:val="0"/>
                <w:spacing w:val="-16"/>
                <w:kern w:val="21"/>
                <w:szCs w:val="21"/>
              </w:rPr>
              <w:fldChar w:fldCharType="separate"/>
            </w:r>
            <w:r>
              <w:rPr>
                <w:rFonts w:hint="default" w:ascii="Times New Roman" w:hAnsi="Times New Roman" w:cs="Times New Roman"/>
                <w:b/>
                <w:bCs/>
                <w:kern w:val="2"/>
                <w:szCs w:val="21"/>
              </w:rPr>
              <w:t>⑥</w:t>
            </w:r>
            <w:r>
              <w:rPr>
                <w:rFonts w:hint="default" w:ascii="Times New Roman" w:hAnsi="Times New Roman" w:cs="Times New Roman"/>
                <w:b/>
                <w:bCs/>
                <w:snapToGrid w:val="0"/>
                <w:spacing w:val="-16"/>
                <w:kern w:val="21"/>
                <w:szCs w:val="21"/>
              </w:rPr>
              <w:fldChar w:fldCharType="end"/>
            </w:r>
          </w:p>
        </w:tc>
        <w:tc>
          <w:tcPr>
            <w:tcW w:w="454" w:type="pct"/>
            <w:tcMar>
              <w:left w:w="28" w:type="dxa"/>
              <w:right w:w="28" w:type="dxa"/>
            </w:tcMar>
            <w:vAlign w:val="center"/>
          </w:tcPr>
          <w:p w14:paraId="18996C84">
            <w:pPr>
              <w:pStyle w:val="115"/>
              <w:spacing w:beforeLines="0" w:afterLines="0" w:line="240" w:lineRule="auto"/>
              <w:rPr>
                <w:rFonts w:hint="default" w:ascii="Times New Roman" w:hAnsi="Times New Roman" w:cs="Times New Roman"/>
                <w:b/>
                <w:bCs/>
                <w:snapToGrid w:val="0"/>
                <w:spacing w:val="-6"/>
                <w:kern w:val="21"/>
                <w:szCs w:val="21"/>
              </w:rPr>
            </w:pPr>
            <w:r>
              <w:rPr>
                <w:rFonts w:hint="default" w:ascii="Times New Roman" w:hAnsi="Times New Roman" w:cs="Times New Roman"/>
                <w:b/>
                <w:bCs/>
                <w:snapToGrid w:val="0"/>
                <w:spacing w:val="-6"/>
                <w:kern w:val="21"/>
                <w:szCs w:val="21"/>
              </w:rPr>
              <w:t>变化量</w:t>
            </w:r>
            <w:r>
              <w:rPr>
                <w:rFonts w:hint="default" w:ascii="Times New Roman" w:hAnsi="Times New Roman" w:cs="Times New Roman"/>
                <w:b/>
                <w:bCs/>
                <w:snapToGrid w:val="0"/>
                <w:spacing w:val="-6"/>
                <w:kern w:val="21"/>
                <w:szCs w:val="21"/>
              </w:rPr>
              <w:fldChar w:fldCharType="begin"/>
            </w:r>
            <w:r>
              <w:rPr>
                <w:rFonts w:hint="default" w:ascii="Times New Roman" w:hAnsi="Times New Roman" w:cs="Times New Roman"/>
                <w:b/>
                <w:bCs/>
                <w:snapToGrid w:val="0"/>
                <w:spacing w:val="-6"/>
                <w:kern w:val="21"/>
                <w:szCs w:val="21"/>
              </w:rPr>
              <w:instrText xml:space="preserve"> = 7 \* GB3 \* MERGEFORMAT </w:instrText>
            </w:r>
            <w:r>
              <w:rPr>
                <w:rFonts w:hint="default" w:ascii="Times New Roman" w:hAnsi="Times New Roman" w:cs="Times New Roman"/>
                <w:b/>
                <w:bCs/>
                <w:snapToGrid w:val="0"/>
                <w:spacing w:val="-6"/>
                <w:kern w:val="21"/>
                <w:szCs w:val="21"/>
              </w:rPr>
              <w:fldChar w:fldCharType="separate"/>
            </w:r>
            <w:r>
              <w:rPr>
                <w:rFonts w:hint="default" w:ascii="Times New Roman" w:hAnsi="Times New Roman" w:cs="Times New Roman"/>
                <w:b/>
                <w:bCs/>
                <w:kern w:val="2"/>
                <w:szCs w:val="21"/>
              </w:rPr>
              <w:t>⑦</w:t>
            </w:r>
            <w:r>
              <w:rPr>
                <w:rFonts w:hint="default" w:ascii="Times New Roman" w:hAnsi="Times New Roman" w:cs="Times New Roman"/>
                <w:b/>
                <w:bCs/>
                <w:snapToGrid w:val="0"/>
                <w:spacing w:val="-6"/>
                <w:kern w:val="21"/>
                <w:szCs w:val="21"/>
              </w:rPr>
              <w:fldChar w:fldCharType="end"/>
            </w:r>
          </w:p>
        </w:tc>
      </w:tr>
      <w:tr w14:paraId="31700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340" w:type="pct"/>
            <w:vMerge w:val="restart"/>
            <w:vAlign w:val="center"/>
          </w:tcPr>
          <w:p w14:paraId="69D71414">
            <w:pPr>
              <w:pStyle w:val="115"/>
              <w:spacing w:beforeLines="0" w:afterLines="0" w:line="240" w:lineRule="auto"/>
              <w:ind w:left="0" w:leftChars="0" w:firstLine="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废水</w:t>
            </w:r>
          </w:p>
        </w:tc>
        <w:tc>
          <w:tcPr>
            <w:tcW w:w="397" w:type="pct"/>
            <w:vAlign w:val="center"/>
          </w:tcPr>
          <w:p w14:paraId="7FBED9CC">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COD</w:t>
            </w:r>
          </w:p>
        </w:tc>
        <w:tc>
          <w:tcPr>
            <w:tcW w:w="667" w:type="pct"/>
            <w:vAlign w:val="center"/>
          </w:tcPr>
          <w:p w14:paraId="56480371">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138715D8">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2D1B41D0">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009634F5">
            <w:pPr>
              <w:widowControl/>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0.0465</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c>
          <w:tcPr>
            <w:tcW w:w="591" w:type="pct"/>
            <w:vAlign w:val="center"/>
          </w:tcPr>
          <w:p w14:paraId="676F9768">
            <w:pPr>
              <w:widowControl/>
              <w:spacing w:line="240" w:lineRule="auto"/>
              <w:jc w:val="center"/>
              <w:textAlignment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w:t>
            </w:r>
          </w:p>
        </w:tc>
        <w:tc>
          <w:tcPr>
            <w:tcW w:w="2096" w:type="dxa"/>
            <w:vAlign w:val="center"/>
          </w:tcPr>
          <w:p w14:paraId="0965541B">
            <w:pPr>
              <w:widowControl/>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0.0465</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c>
          <w:tcPr>
            <w:tcW w:w="1227" w:type="dxa"/>
            <w:vAlign w:val="center"/>
          </w:tcPr>
          <w:p w14:paraId="37D73A68">
            <w:pPr>
              <w:widowControl/>
              <w:spacing w:line="240" w:lineRule="auto"/>
              <w:jc w:val="center"/>
              <w:textAlignment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w:t>
            </w:r>
            <w:r>
              <w:rPr>
                <w:rFonts w:hint="eastAsia" w:cs="Times New Roman"/>
                <w:kern w:val="0"/>
                <w:szCs w:val="21"/>
                <w:lang w:val="en-US" w:eastAsia="zh-CN" w:bidi="ar"/>
              </w:rPr>
              <w:t>0.0465</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r>
      <w:tr w14:paraId="1BFE8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vAlign w:val="center"/>
          </w:tcPr>
          <w:p w14:paraId="6138E3B7">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03726089">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氨氮</w:t>
            </w:r>
          </w:p>
        </w:tc>
        <w:tc>
          <w:tcPr>
            <w:tcW w:w="667" w:type="pct"/>
            <w:vAlign w:val="center"/>
          </w:tcPr>
          <w:p w14:paraId="76AB1E68">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5C7F0797">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7E0B888A">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39076014">
            <w:pPr>
              <w:widowControl/>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0.0058</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c>
          <w:tcPr>
            <w:tcW w:w="591" w:type="pct"/>
            <w:vAlign w:val="center"/>
          </w:tcPr>
          <w:p w14:paraId="4FA69347">
            <w:pPr>
              <w:widowControl/>
              <w:spacing w:line="240" w:lineRule="auto"/>
              <w:jc w:val="center"/>
              <w:textAlignment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w:t>
            </w:r>
          </w:p>
        </w:tc>
        <w:tc>
          <w:tcPr>
            <w:tcW w:w="2096" w:type="dxa"/>
            <w:vAlign w:val="center"/>
          </w:tcPr>
          <w:p w14:paraId="0940A4E0">
            <w:pPr>
              <w:widowControl/>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0.0058</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c>
          <w:tcPr>
            <w:tcW w:w="1227" w:type="dxa"/>
            <w:vAlign w:val="center"/>
          </w:tcPr>
          <w:p w14:paraId="19A81F04">
            <w:pPr>
              <w:widowControl/>
              <w:spacing w:line="240" w:lineRule="auto"/>
              <w:jc w:val="center"/>
              <w:textAlignment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w:t>
            </w:r>
            <w:r>
              <w:rPr>
                <w:rFonts w:hint="eastAsia" w:cs="Times New Roman"/>
                <w:kern w:val="0"/>
                <w:szCs w:val="21"/>
                <w:lang w:val="en-US" w:eastAsia="zh-CN" w:bidi="ar"/>
              </w:rPr>
              <w:t>0.0058</w:t>
            </w:r>
            <w:r>
              <w:rPr>
                <w:rFonts w:hint="default" w:ascii="Times New Roman" w:hAnsi="Times New Roman" w:cs="Times New Roman"/>
                <w:kern w:val="0"/>
                <w:szCs w:val="21"/>
                <w:lang w:val="en-US" w:eastAsia="zh-CN" w:bidi="ar"/>
              </w:rPr>
              <w:t>t/a</w:t>
            </w:r>
            <w:r>
              <w:rPr>
                <w:rFonts w:hint="eastAsia" w:ascii="Times New Roman" w:hAnsi="Times New Roman" w:cs="Times New Roman"/>
                <w:kern w:val="0"/>
                <w:szCs w:val="21"/>
                <w:lang w:val="en-US" w:eastAsia="zh-CN" w:bidi="ar"/>
              </w:rPr>
              <w:t xml:space="preserve"> </w:t>
            </w:r>
          </w:p>
        </w:tc>
      </w:tr>
      <w:tr w14:paraId="4BB09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restart"/>
            <w:vAlign w:val="center"/>
          </w:tcPr>
          <w:p w14:paraId="557819FE">
            <w:pPr>
              <w:pStyle w:val="115"/>
              <w:spacing w:beforeLines="0" w:afterLines="0" w:line="240" w:lineRule="auto"/>
              <w:ind w:left="0" w:leftChars="0" w:firstLine="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废气</w:t>
            </w:r>
          </w:p>
        </w:tc>
        <w:tc>
          <w:tcPr>
            <w:tcW w:w="397" w:type="pct"/>
            <w:vAlign w:val="center"/>
          </w:tcPr>
          <w:p w14:paraId="4488999E">
            <w:pPr>
              <w:pStyle w:val="115"/>
              <w:spacing w:beforeLines="0" w:afterLines="0" w:line="240" w:lineRule="auto"/>
              <w:ind w:left="0" w:leftChars="0" w:firstLine="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非甲烷总烃</w:t>
            </w:r>
          </w:p>
        </w:tc>
        <w:tc>
          <w:tcPr>
            <w:tcW w:w="667" w:type="pct"/>
            <w:vAlign w:val="center"/>
          </w:tcPr>
          <w:p w14:paraId="20DED83E">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76A4C318">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72940806">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1B5F7CBF">
            <w:pPr>
              <w:widowControl/>
              <w:spacing w:line="240" w:lineRule="auto"/>
              <w:jc w:val="center"/>
              <w:textAlignment w:val="center"/>
              <w:rPr>
                <w:rFonts w:hint="default" w:ascii="Times New Roman" w:hAnsi="Times New Roman" w:cs="Times New Roman"/>
                <w:kern w:val="0"/>
                <w:szCs w:val="21"/>
                <w:lang w:bidi="ar"/>
              </w:rPr>
            </w:pPr>
            <w:r>
              <w:rPr>
                <w:rFonts w:hint="eastAsia" w:cs="Times New Roman"/>
                <w:kern w:val="0"/>
                <w:szCs w:val="21"/>
                <w:lang w:eastAsia="zh-CN" w:bidi="ar"/>
              </w:rPr>
              <w:t>0.14716</w:t>
            </w:r>
            <w:r>
              <w:rPr>
                <w:rFonts w:hint="default" w:ascii="Times New Roman" w:hAnsi="Times New Roman" w:cs="Times New Roman"/>
                <w:kern w:val="0"/>
                <w:szCs w:val="21"/>
                <w:lang w:bidi="ar"/>
              </w:rPr>
              <w:t>t/a</w:t>
            </w:r>
          </w:p>
        </w:tc>
        <w:tc>
          <w:tcPr>
            <w:tcW w:w="591" w:type="pct"/>
            <w:vAlign w:val="center"/>
          </w:tcPr>
          <w:p w14:paraId="2849B5B2">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17C9AFF2">
            <w:pPr>
              <w:widowControl/>
              <w:spacing w:line="240" w:lineRule="auto"/>
              <w:jc w:val="center"/>
              <w:textAlignment w:val="center"/>
              <w:rPr>
                <w:rFonts w:hint="default" w:ascii="Times New Roman" w:hAnsi="Times New Roman" w:cs="Times New Roman"/>
                <w:kern w:val="0"/>
                <w:szCs w:val="21"/>
                <w:lang w:bidi="ar"/>
              </w:rPr>
            </w:pPr>
            <w:r>
              <w:rPr>
                <w:rFonts w:hint="eastAsia" w:cs="Times New Roman"/>
                <w:kern w:val="0"/>
                <w:szCs w:val="21"/>
                <w:lang w:eastAsia="zh-CN" w:bidi="ar"/>
              </w:rPr>
              <w:t>0.14716</w:t>
            </w:r>
            <w:r>
              <w:rPr>
                <w:rFonts w:hint="default" w:ascii="Times New Roman" w:hAnsi="Times New Roman" w:cs="Times New Roman"/>
                <w:kern w:val="0"/>
                <w:szCs w:val="21"/>
                <w:lang w:bidi="ar"/>
              </w:rPr>
              <w:t>t/a</w:t>
            </w:r>
          </w:p>
        </w:tc>
        <w:tc>
          <w:tcPr>
            <w:tcW w:w="454" w:type="pct"/>
            <w:vAlign w:val="center"/>
          </w:tcPr>
          <w:p w14:paraId="602FCFF0">
            <w:pPr>
              <w:widowControl/>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val="en-US" w:eastAsia="zh-CN" w:bidi="ar"/>
              </w:rPr>
              <w:t>+</w:t>
            </w:r>
            <w:r>
              <w:rPr>
                <w:rFonts w:hint="eastAsia" w:cs="Times New Roman"/>
                <w:kern w:val="0"/>
                <w:szCs w:val="21"/>
                <w:lang w:eastAsia="zh-CN" w:bidi="ar"/>
              </w:rPr>
              <w:t>0.14716</w:t>
            </w:r>
            <w:r>
              <w:rPr>
                <w:rFonts w:hint="default" w:ascii="Times New Roman" w:hAnsi="Times New Roman" w:cs="Times New Roman"/>
                <w:kern w:val="0"/>
                <w:szCs w:val="21"/>
                <w:lang w:bidi="ar"/>
              </w:rPr>
              <w:t>t/a</w:t>
            </w:r>
          </w:p>
        </w:tc>
      </w:tr>
      <w:tr w14:paraId="337D2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vAlign w:val="center"/>
          </w:tcPr>
          <w:p w14:paraId="2AF9B37D">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2846B019">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食堂油烟</w:t>
            </w:r>
          </w:p>
        </w:tc>
        <w:tc>
          <w:tcPr>
            <w:tcW w:w="667" w:type="pct"/>
            <w:vAlign w:val="center"/>
          </w:tcPr>
          <w:p w14:paraId="4F94A098">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2575C5DD">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582D3535">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619442C8">
            <w:pPr>
              <w:widowControl/>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color w:val="auto"/>
                <w:sz w:val="21"/>
                <w:szCs w:val="21"/>
                <w:highlight w:val="none"/>
                <w:lang w:val="en-US" w:eastAsia="zh-CN"/>
              </w:rPr>
              <w:t>0.00047</w:t>
            </w:r>
            <w:r>
              <w:rPr>
                <w:rFonts w:hint="default" w:ascii="Times New Roman" w:hAnsi="Times New Roman" w:cs="Times New Roman"/>
                <w:kern w:val="0"/>
                <w:szCs w:val="21"/>
                <w:lang w:bidi="ar"/>
              </w:rPr>
              <w:t>t/a</w:t>
            </w:r>
          </w:p>
        </w:tc>
        <w:tc>
          <w:tcPr>
            <w:tcW w:w="591" w:type="pct"/>
            <w:vAlign w:val="center"/>
          </w:tcPr>
          <w:p w14:paraId="512CC7A3">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1D231A7F">
            <w:pPr>
              <w:widowControl/>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color w:val="auto"/>
                <w:sz w:val="21"/>
                <w:szCs w:val="21"/>
                <w:highlight w:val="none"/>
                <w:lang w:val="en-US" w:eastAsia="zh-CN"/>
              </w:rPr>
              <w:t>0.00047</w:t>
            </w:r>
            <w:r>
              <w:rPr>
                <w:rFonts w:hint="default" w:ascii="Times New Roman" w:hAnsi="Times New Roman" w:cs="Times New Roman"/>
                <w:kern w:val="0"/>
                <w:szCs w:val="21"/>
                <w:lang w:bidi="ar"/>
              </w:rPr>
              <w:t>t/a</w:t>
            </w:r>
          </w:p>
        </w:tc>
        <w:tc>
          <w:tcPr>
            <w:tcW w:w="454" w:type="pct"/>
            <w:vAlign w:val="center"/>
          </w:tcPr>
          <w:p w14:paraId="7F72EA3A">
            <w:pPr>
              <w:widowControl/>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val="en-US" w:eastAsia="zh-CN" w:bidi="ar"/>
              </w:rPr>
              <w:t>+</w:t>
            </w:r>
            <w:r>
              <w:rPr>
                <w:rFonts w:hint="default" w:ascii="Times New Roman" w:hAnsi="Times New Roman" w:cs="Times New Roman"/>
                <w:color w:val="auto"/>
                <w:sz w:val="21"/>
                <w:szCs w:val="21"/>
                <w:highlight w:val="none"/>
                <w:lang w:val="en-US" w:eastAsia="zh-CN"/>
              </w:rPr>
              <w:t>0.00047</w:t>
            </w:r>
            <w:r>
              <w:rPr>
                <w:rFonts w:hint="default" w:ascii="Times New Roman" w:hAnsi="Times New Roman" w:cs="Times New Roman"/>
                <w:kern w:val="0"/>
                <w:szCs w:val="21"/>
                <w:lang w:bidi="ar"/>
              </w:rPr>
              <w:t>t/a</w:t>
            </w:r>
          </w:p>
        </w:tc>
      </w:tr>
      <w:tr w14:paraId="109D5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Align w:val="center"/>
          </w:tcPr>
          <w:p w14:paraId="6C1DAF18">
            <w:pPr>
              <w:pStyle w:val="115"/>
              <w:spacing w:beforeLines="0" w:afterLines="0" w:line="240" w:lineRule="auto"/>
              <w:ind w:left="0" w:leftChars="0" w:firstLine="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生活垃圾</w:t>
            </w:r>
          </w:p>
        </w:tc>
        <w:tc>
          <w:tcPr>
            <w:tcW w:w="397" w:type="pct"/>
            <w:vAlign w:val="center"/>
          </w:tcPr>
          <w:p w14:paraId="1CBCDEC2">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生活垃圾</w:t>
            </w:r>
          </w:p>
        </w:tc>
        <w:tc>
          <w:tcPr>
            <w:tcW w:w="667" w:type="pct"/>
            <w:vAlign w:val="center"/>
          </w:tcPr>
          <w:p w14:paraId="14B7586F">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66B836D6">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1EF5B075">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1F06D06B">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1.8615t/a</w:t>
            </w:r>
          </w:p>
        </w:tc>
        <w:tc>
          <w:tcPr>
            <w:tcW w:w="591" w:type="pct"/>
            <w:vAlign w:val="center"/>
          </w:tcPr>
          <w:p w14:paraId="44B847E0">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4B9EE875">
            <w:pPr>
              <w:pStyle w:val="115"/>
              <w:spacing w:beforeLines="0" w:afterLines="0" w:line="240" w:lineRule="auto"/>
              <w:ind w:left="420" w:leftChars="0" w:hanging="420" w:hangingChars="20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1.8615t/a</w:t>
            </w:r>
          </w:p>
        </w:tc>
        <w:tc>
          <w:tcPr>
            <w:tcW w:w="454" w:type="pct"/>
            <w:vAlign w:val="center"/>
          </w:tcPr>
          <w:p w14:paraId="14B2C26B">
            <w:pPr>
              <w:pStyle w:val="115"/>
              <w:spacing w:beforeLines="0" w:afterLines="0" w:line="240" w:lineRule="auto"/>
              <w:ind w:left="420" w:leftChars="0" w:hanging="420" w:hangingChars="200"/>
              <w:jc w:val="center"/>
              <w:rPr>
                <w:rFonts w:hint="default" w:ascii="Times New Roman" w:hAnsi="Times New Roman" w:cs="Times New Roman"/>
                <w:snapToGrid w:val="0"/>
                <w:kern w:val="21"/>
                <w:szCs w:val="21"/>
              </w:rPr>
            </w:pPr>
            <w:r>
              <w:rPr>
                <w:rFonts w:hint="default" w:ascii="Times New Roman" w:hAnsi="Times New Roman" w:cs="Times New Roman"/>
                <w:kern w:val="0"/>
                <w:szCs w:val="21"/>
                <w:lang w:val="en-US" w:eastAsia="zh-CN" w:bidi="ar"/>
              </w:rPr>
              <w:t>+</w:t>
            </w:r>
            <w:r>
              <w:rPr>
                <w:rFonts w:hint="default" w:ascii="Times New Roman" w:hAnsi="Times New Roman" w:cs="Times New Roman"/>
                <w:snapToGrid w:val="0"/>
                <w:kern w:val="21"/>
                <w:szCs w:val="21"/>
              </w:rPr>
              <w:t>1.8615t/a</w:t>
            </w:r>
          </w:p>
        </w:tc>
      </w:tr>
      <w:tr w14:paraId="59D40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restart"/>
            <w:vAlign w:val="center"/>
          </w:tcPr>
          <w:p w14:paraId="74DB381D">
            <w:pPr>
              <w:pStyle w:val="115"/>
              <w:spacing w:beforeLines="0" w:afterLines="0" w:line="240" w:lineRule="auto"/>
              <w:ind w:left="0" w:leftChars="0" w:firstLine="0" w:firstLineChars="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危险固废</w:t>
            </w:r>
          </w:p>
        </w:tc>
        <w:tc>
          <w:tcPr>
            <w:tcW w:w="397" w:type="pct"/>
            <w:vAlign w:val="center"/>
          </w:tcPr>
          <w:p w14:paraId="5FB28B91">
            <w:pPr>
              <w:wordWrap w:val="0"/>
              <w:topLinePunct/>
              <w:adjustRightInd w:val="0"/>
              <w:snapToGrid w:val="0"/>
              <w:spacing w:line="240" w:lineRule="auto"/>
              <w:ind w:left="-105" w:leftChars="-50" w:right="-105" w:rightChars="-50"/>
              <w:jc w:val="center"/>
              <w:rPr>
                <w:rFonts w:hint="default" w:ascii="Times New Roman" w:hAnsi="Times New Roman" w:cs="Times New Roman"/>
                <w:snapToGrid w:val="0"/>
                <w:kern w:val="21"/>
                <w:szCs w:val="21"/>
              </w:rPr>
            </w:pPr>
            <w:r>
              <w:rPr>
                <w:rFonts w:hint="default" w:ascii="Times New Roman" w:hAnsi="Times New Roman" w:cs="Times New Roman"/>
                <w:szCs w:val="21"/>
              </w:rPr>
              <w:t>储罐油泥</w:t>
            </w:r>
          </w:p>
        </w:tc>
        <w:tc>
          <w:tcPr>
            <w:tcW w:w="667" w:type="pct"/>
            <w:vAlign w:val="center"/>
          </w:tcPr>
          <w:p w14:paraId="34C24E4C">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6BECDE14">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5BC6EF34">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7B936D09">
            <w:pPr>
              <w:pStyle w:val="115"/>
              <w:spacing w:beforeLines="0" w:afterLines="0" w:line="240" w:lineRule="auto"/>
              <w:jc w:val="center"/>
              <w:rPr>
                <w:rFonts w:hint="default" w:ascii="Times New Roman" w:hAnsi="Times New Roman" w:cs="Times New Roman"/>
              </w:rPr>
            </w:pPr>
            <w:r>
              <w:rPr>
                <w:rFonts w:hint="default" w:ascii="Times New Roman" w:hAnsi="Times New Roman" w:cs="Times New Roman"/>
                <w:szCs w:val="16"/>
              </w:rPr>
              <w:t>0.5t/a</w:t>
            </w:r>
          </w:p>
        </w:tc>
        <w:tc>
          <w:tcPr>
            <w:tcW w:w="591" w:type="pct"/>
            <w:vAlign w:val="center"/>
          </w:tcPr>
          <w:p w14:paraId="413C18EE">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4464DD4F">
            <w:pPr>
              <w:pStyle w:val="115"/>
              <w:spacing w:beforeLines="0" w:afterLines="0" w:line="240" w:lineRule="auto"/>
              <w:ind w:left="420" w:leftChars="0" w:hanging="420" w:hangingChars="200"/>
              <w:jc w:val="center"/>
              <w:rPr>
                <w:rFonts w:hint="default" w:ascii="Times New Roman" w:hAnsi="Times New Roman" w:cs="Times New Roman"/>
              </w:rPr>
            </w:pPr>
            <w:r>
              <w:rPr>
                <w:rFonts w:hint="default" w:ascii="Times New Roman" w:hAnsi="Times New Roman" w:cs="Times New Roman"/>
                <w:szCs w:val="16"/>
              </w:rPr>
              <w:t>0.5t/a</w:t>
            </w:r>
          </w:p>
        </w:tc>
        <w:tc>
          <w:tcPr>
            <w:tcW w:w="454" w:type="pct"/>
            <w:vAlign w:val="center"/>
          </w:tcPr>
          <w:p w14:paraId="482EB32B">
            <w:pPr>
              <w:pStyle w:val="115"/>
              <w:spacing w:beforeLines="0" w:afterLines="0" w:line="240" w:lineRule="auto"/>
              <w:ind w:left="420" w:leftChars="0" w:hanging="420" w:hangingChars="200"/>
              <w:jc w:val="center"/>
              <w:rPr>
                <w:rFonts w:hint="default" w:ascii="Times New Roman" w:hAnsi="Times New Roman" w:cs="Times New Roman"/>
              </w:rPr>
            </w:pPr>
            <w:r>
              <w:rPr>
                <w:rFonts w:hint="default" w:ascii="Times New Roman" w:hAnsi="Times New Roman" w:cs="Times New Roman"/>
                <w:kern w:val="0"/>
                <w:szCs w:val="21"/>
                <w:lang w:val="en-US" w:eastAsia="zh-CN" w:bidi="ar"/>
              </w:rPr>
              <w:t>+</w:t>
            </w:r>
            <w:r>
              <w:rPr>
                <w:rFonts w:hint="default" w:ascii="Times New Roman" w:hAnsi="Times New Roman" w:cs="Times New Roman"/>
                <w:szCs w:val="16"/>
              </w:rPr>
              <w:t>0.5t/a</w:t>
            </w:r>
          </w:p>
        </w:tc>
      </w:tr>
      <w:tr w14:paraId="23893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340" w:type="pct"/>
            <w:vMerge w:val="continue"/>
            <w:vAlign w:val="center"/>
          </w:tcPr>
          <w:p w14:paraId="20D73FDD">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0CD38BB9">
            <w:pPr>
              <w:wordWrap w:val="0"/>
              <w:topLinePunct/>
              <w:adjustRightInd w:val="0"/>
              <w:snapToGrid w:val="0"/>
              <w:spacing w:line="240" w:lineRule="auto"/>
              <w:ind w:left="-105" w:leftChars="-50" w:right="-105" w:rightChars="-50"/>
              <w:jc w:val="center"/>
              <w:rPr>
                <w:rFonts w:hint="default" w:ascii="Times New Roman" w:hAnsi="Times New Roman" w:cs="Times New Roman"/>
                <w:snapToGrid w:val="0"/>
                <w:kern w:val="21"/>
                <w:szCs w:val="21"/>
              </w:rPr>
            </w:pPr>
            <w:r>
              <w:rPr>
                <w:rFonts w:hint="default" w:ascii="Times New Roman" w:hAnsi="Times New Roman" w:cs="Times New Roman"/>
                <w:szCs w:val="21"/>
              </w:rPr>
              <w:t>隔油沉淀池油泥</w:t>
            </w:r>
          </w:p>
        </w:tc>
        <w:tc>
          <w:tcPr>
            <w:tcW w:w="667" w:type="pct"/>
            <w:vAlign w:val="center"/>
          </w:tcPr>
          <w:p w14:paraId="3FB8AD0C">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1B200DAC">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0F890829">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5C71F54C">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0.4t/a</w:t>
            </w:r>
          </w:p>
        </w:tc>
        <w:tc>
          <w:tcPr>
            <w:tcW w:w="591" w:type="pct"/>
            <w:vAlign w:val="center"/>
          </w:tcPr>
          <w:p w14:paraId="4973CF37">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0656AB1B">
            <w:pPr>
              <w:pStyle w:val="115"/>
              <w:spacing w:beforeLines="0" w:afterLines="0" w:line="240" w:lineRule="auto"/>
              <w:ind w:left="420" w:leftChars="0" w:hanging="420" w:hangingChars="200"/>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0.4t/a</w:t>
            </w:r>
          </w:p>
        </w:tc>
        <w:tc>
          <w:tcPr>
            <w:tcW w:w="454" w:type="pct"/>
            <w:vAlign w:val="center"/>
          </w:tcPr>
          <w:p w14:paraId="1A41CC46">
            <w:pPr>
              <w:pStyle w:val="115"/>
              <w:spacing w:beforeLines="0" w:afterLines="0" w:line="240" w:lineRule="auto"/>
              <w:ind w:left="420" w:leftChars="0" w:hanging="420" w:hangingChars="200"/>
              <w:jc w:val="center"/>
              <w:rPr>
                <w:rFonts w:hint="default" w:ascii="Times New Roman" w:hAnsi="Times New Roman" w:cs="Times New Roman"/>
                <w:snapToGrid w:val="0"/>
                <w:kern w:val="21"/>
                <w:szCs w:val="21"/>
              </w:rPr>
            </w:pPr>
            <w:r>
              <w:rPr>
                <w:rFonts w:hint="default" w:ascii="Times New Roman" w:hAnsi="Times New Roman" w:cs="Times New Roman"/>
                <w:kern w:val="0"/>
                <w:szCs w:val="21"/>
                <w:lang w:val="en-US" w:eastAsia="zh-CN" w:bidi="ar"/>
              </w:rPr>
              <w:t>+</w:t>
            </w:r>
            <w:r>
              <w:rPr>
                <w:rFonts w:hint="default" w:ascii="Times New Roman" w:hAnsi="Times New Roman" w:cs="Times New Roman"/>
                <w:snapToGrid w:val="0"/>
                <w:kern w:val="21"/>
                <w:szCs w:val="21"/>
              </w:rPr>
              <w:t>0.4t/a</w:t>
            </w:r>
          </w:p>
        </w:tc>
      </w:tr>
      <w:tr w14:paraId="50857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vAlign w:val="center"/>
          </w:tcPr>
          <w:p w14:paraId="28041421">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06447863">
            <w:pPr>
              <w:wordWrap w:val="0"/>
              <w:topLinePunct/>
              <w:adjustRightInd w:val="0"/>
              <w:snapToGrid w:val="0"/>
              <w:spacing w:line="240" w:lineRule="auto"/>
              <w:ind w:left="-105" w:leftChars="-50" w:right="-105" w:rightChars="-50"/>
              <w:jc w:val="center"/>
              <w:rPr>
                <w:rFonts w:hint="default" w:ascii="Times New Roman" w:hAnsi="Times New Roman" w:cs="Times New Roman"/>
                <w:snapToGrid w:val="0"/>
                <w:kern w:val="21"/>
                <w:szCs w:val="21"/>
              </w:rPr>
            </w:pPr>
            <w:r>
              <w:rPr>
                <w:rFonts w:hint="default" w:ascii="Times New Roman" w:hAnsi="Times New Roman" w:cs="Times New Roman"/>
                <w:szCs w:val="21"/>
              </w:rPr>
              <w:t>含油消防沙</w:t>
            </w:r>
          </w:p>
        </w:tc>
        <w:tc>
          <w:tcPr>
            <w:tcW w:w="667" w:type="pct"/>
            <w:vAlign w:val="center"/>
          </w:tcPr>
          <w:p w14:paraId="69EF8E70">
            <w:pPr>
              <w:spacing w:line="240" w:lineRule="auto"/>
              <w:jc w:val="center"/>
              <w:rPr>
                <w:rFonts w:hint="default" w:ascii="Times New Roman" w:hAnsi="Times New Roman" w:cs="Times New Roman"/>
                <w:szCs w:val="21"/>
              </w:rPr>
            </w:pPr>
            <w:r>
              <w:rPr>
                <w:rFonts w:hint="default" w:ascii="Times New Roman" w:hAnsi="Times New Roman" w:cs="Times New Roman"/>
                <w:snapToGrid w:val="0"/>
                <w:kern w:val="21"/>
                <w:szCs w:val="21"/>
              </w:rPr>
              <w:t>/</w:t>
            </w:r>
          </w:p>
        </w:tc>
        <w:tc>
          <w:tcPr>
            <w:tcW w:w="407" w:type="pct"/>
            <w:vAlign w:val="center"/>
          </w:tcPr>
          <w:p w14:paraId="7BA4A426">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3C342D1D">
            <w:pPr>
              <w:pStyle w:val="115"/>
              <w:spacing w:beforeLines="0" w:afterLines="0"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52B20BFD">
            <w:pPr>
              <w:pStyle w:val="115"/>
              <w:spacing w:beforeLines="0" w:afterLines="0" w:line="240" w:lineRule="auto"/>
              <w:jc w:val="center"/>
              <w:rPr>
                <w:rFonts w:hint="default" w:ascii="Times New Roman" w:hAnsi="Times New Roman" w:cs="Times New Roman"/>
                <w:szCs w:val="21"/>
              </w:rPr>
            </w:pPr>
            <w:r>
              <w:rPr>
                <w:rFonts w:hint="default" w:ascii="Times New Roman" w:hAnsi="Times New Roman" w:cs="Times New Roman"/>
                <w:szCs w:val="21"/>
              </w:rPr>
              <w:t>0.1t/a</w:t>
            </w:r>
          </w:p>
        </w:tc>
        <w:tc>
          <w:tcPr>
            <w:tcW w:w="591" w:type="pct"/>
            <w:vAlign w:val="center"/>
          </w:tcPr>
          <w:p w14:paraId="65C13DFA">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2A6C12DA">
            <w:pPr>
              <w:pStyle w:val="115"/>
              <w:spacing w:beforeLines="0" w:afterLines="0" w:line="240" w:lineRule="auto"/>
              <w:ind w:left="420" w:leftChars="0" w:hanging="420" w:hangingChars="200"/>
              <w:jc w:val="center"/>
              <w:rPr>
                <w:rFonts w:hint="default" w:ascii="Times New Roman" w:hAnsi="Times New Roman" w:cs="Times New Roman"/>
                <w:szCs w:val="21"/>
              </w:rPr>
            </w:pPr>
            <w:r>
              <w:rPr>
                <w:rFonts w:hint="default" w:ascii="Times New Roman" w:hAnsi="Times New Roman" w:cs="Times New Roman"/>
                <w:szCs w:val="21"/>
              </w:rPr>
              <w:t>0.1t/a</w:t>
            </w:r>
          </w:p>
        </w:tc>
        <w:tc>
          <w:tcPr>
            <w:tcW w:w="454" w:type="pct"/>
            <w:vAlign w:val="center"/>
          </w:tcPr>
          <w:p w14:paraId="19268AC1">
            <w:pPr>
              <w:pStyle w:val="115"/>
              <w:spacing w:beforeLines="0" w:afterLines="0" w:line="240" w:lineRule="auto"/>
              <w:ind w:left="420" w:leftChars="0" w:hanging="420" w:hangingChars="200"/>
              <w:jc w:val="center"/>
              <w:rPr>
                <w:rFonts w:hint="default" w:ascii="Times New Roman" w:hAnsi="Times New Roman" w:cs="Times New Roman"/>
                <w:szCs w:val="21"/>
              </w:rPr>
            </w:pPr>
            <w:r>
              <w:rPr>
                <w:rFonts w:hint="default" w:ascii="Times New Roman" w:hAnsi="Times New Roman" w:cs="Times New Roman"/>
                <w:kern w:val="0"/>
                <w:szCs w:val="21"/>
                <w:lang w:val="en-US" w:eastAsia="zh-CN" w:bidi="ar"/>
              </w:rPr>
              <w:t>+</w:t>
            </w:r>
            <w:r>
              <w:rPr>
                <w:rFonts w:hint="default" w:ascii="Times New Roman" w:hAnsi="Times New Roman" w:cs="Times New Roman"/>
                <w:szCs w:val="21"/>
              </w:rPr>
              <w:t>0.1t/a</w:t>
            </w:r>
          </w:p>
        </w:tc>
      </w:tr>
      <w:tr w14:paraId="1E564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40" w:type="pct"/>
            <w:vMerge w:val="continue"/>
            <w:vAlign w:val="center"/>
          </w:tcPr>
          <w:p w14:paraId="0A0C7E47">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3ECD853A">
            <w:pPr>
              <w:wordWrap w:val="0"/>
              <w:topLinePunct/>
              <w:adjustRightInd w:val="0"/>
              <w:snapToGrid w:val="0"/>
              <w:spacing w:line="240" w:lineRule="auto"/>
              <w:ind w:left="-105" w:leftChars="-50" w:right="-105" w:rightChars="-50"/>
              <w:jc w:val="center"/>
              <w:rPr>
                <w:rFonts w:hint="default" w:ascii="Times New Roman" w:hAnsi="Times New Roman" w:cs="Times New Roman"/>
                <w:snapToGrid w:val="0"/>
                <w:kern w:val="21"/>
                <w:szCs w:val="21"/>
              </w:rPr>
            </w:pPr>
            <w:r>
              <w:rPr>
                <w:rFonts w:hint="default" w:ascii="Times New Roman" w:hAnsi="Times New Roman" w:cs="Times New Roman"/>
                <w:szCs w:val="21"/>
              </w:rPr>
              <w:t>含油抹布和手套</w:t>
            </w:r>
          </w:p>
        </w:tc>
        <w:tc>
          <w:tcPr>
            <w:tcW w:w="667" w:type="pct"/>
            <w:vAlign w:val="center"/>
          </w:tcPr>
          <w:p w14:paraId="0450F683">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407" w:type="pct"/>
            <w:vAlign w:val="center"/>
          </w:tcPr>
          <w:p w14:paraId="327316BC">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67" w:type="pct"/>
            <w:vAlign w:val="center"/>
          </w:tcPr>
          <w:p w14:paraId="32C1BEDC">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696" w:type="pct"/>
            <w:vAlign w:val="center"/>
          </w:tcPr>
          <w:p w14:paraId="5A05BBEB">
            <w:pPr>
              <w:pStyle w:val="115"/>
              <w:spacing w:beforeLines="0" w:afterLines="0" w:line="240" w:lineRule="auto"/>
              <w:jc w:val="center"/>
              <w:rPr>
                <w:rFonts w:hint="default" w:ascii="Times New Roman" w:hAnsi="Times New Roman" w:cs="Times New Roman"/>
                <w:szCs w:val="21"/>
              </w:rPr>
            </w:pPr>
            <w:r>
              <w:rPr>
                <w:rFonts w:hint="default" w:ascii="Times New Roman" w:hAnsi="Times New Roman" w:cs="Times New Roman"/>
                <w:szCs w:val="21"/>
              </w:rPr>
              <w:t>0.04t/a</w:t>
            </w:r>
          </w:p>
        </w:tc>
        <w:tc>
          <w:tcPr>
            <w:tcW w:w="591" w:type="pct"/>
            <w:vAlign w:val="center"/>
          </w:tcPr>
          <w:p w14:paraId="68D8D3AE">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01F4EB3F">
            <w:pPr>
              <w:pStyle w:val="115"/>
              <w:spacing w:beforeLines="0" w:afterLines="0" w:line="240" w:lineRule="auto"/>
              <w:ind w:left="420" w:leftChars="0" w:hanging="420" w:hangingChars="200"/>
              <w:jc w:val="center"/>
              <w:rPr>
                <w:rFonts w:hint="default" w:ascii="Times New Roman" w:hAnsi="Times New Roman" w:cs="Times New Roman"/>
                <w:szCs w:val="21"/>
              </w:rPr>
            </w:pPr>
            <w:r>
              <w:rPr>
                <w:rFonts w:hint="default" w:ascii="Times New Roman" w:hAnsi="Times New Roman" w:cs="Times New Roman"/>
                <w:szCs w:val="21"/>
              </w:rPr>
              <w:t>0.04t/a</w:t>
            </w:r>
          </w:p>
        </w:tc>
        <w:tc>
          <w:tcPr>
            <w:tcW w:w="454" w:type="pct"/>
            <w:vAlign w:val="center"/>
          </w:tcPr>
          <w:p w14:paraId="19022AFD">
            <w:pPr>
              <w:pStyle w:val="115"/>
              <w:spacing w:beforeLines="0" w:afterLines="0" w:line="240" w:lineRule="auto"/>
              <w:ind w:left="420" w:leftChars="0" w:hanging="420" w:hangingChars="200"/>
              <w:jc w:val="center"/>
              <w:rPr>
                <w:rFonts w:hint="default" w:ascii="Times New Roman" w:hAnsi="Times New Roman" w:cs="Times New Roman"/>
                <w:szCs w:val="21"/>
              </w:rPr>
            </w:pPr>
            <w:r>
              <w:rPr>
                <w:rFonts w:hint="default" w:ascii="Times New Roman" w:hAnsi="Times New Roman" w:cs="Times New Roman"/>
                <w:kern w:val="0"/>
                <w:szCs w:val="21"/>
                <w:lang w:val="en-US" w:eastAsia="zh-CN" w:bidi="ar"/>
              </w:rPr>
              <w:t>+</w:t>
            </w:r>
            <w:r>
              <w:rPr>
                <w:rFonts w:hint="default" w:ascii="Times New Roman" w:hAnsi="Times New Roman" w:cs="Times New Roman"/>
                <w:szCs w:val="21"/>
              </w:rPr>
              <w:t>0.04t/a</w:t>
            </w:r>
          </w:p>
        </w:tc>
      </w:tr>
      <w:tr w14:paraId="7D158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40" w:type="pct"/>
            <w:vMerge w:val="continue"/>
            <w:vAlign w:val="center"/>
          </w:tcPr>
          <w:p w14:paraId="21E5E5D3">
            <w:pPr>
              <w:pStyle w:val="115"/>
              <w:spacing w:beforeLines="0" w:afterLines="0" w:line="240" w:lineRule="auto"/>
              <w:jc w:val="center"/>
              <w:rPr>
                <w:rFonts w:hint="default" w:ascii="Times New Roman" w:hAnsi="Times New Roman" w:cs="Times New Roman"/>
                <w:snapToGrid w:val="0"/>
                <w:kern w:val="21"/>
                <w:szCs w:val="21"/>
              </w:rPr>
            </w:pPr>
          </w:p>
        </w:tc>
        <w:tc>
          <w:tcPr>
            <w:tcW w:w="397" w:type="pct"/>
            <w:vAlign w:val="center"/>
          </w:tcPr>
          <w:p w14:paraId="59924AC5">
            <w:pPr>
              <w:wordWrap w:val="0"/>
              <w:topLinePunct/>
              <w:adjustRightInd w:val="0"/>
              <w:snapToGrid w:val="0"/>
              <w:spacing w:line="240" w:lineRule="auto"/>
              <w:ind w:left="-105" w:leftChars="-50" w:right="-105" w:rightChars="-50"/>
              <w:jc w:val="center"/>
              <w:rPr>
                <w:rFonts w:hint="default" w:ascii="Times New Roman" w:hAnsi="Times New Roman" w:eastAsia="宋体" w:cs="Times New Roman"/>
                <w:szCs w:val="21"/>
                <w:lang w:val="en-US" w:eastAsia="zh-CN"/>
              </w:rPr>
            </w:pPr>
            <w:r>
              <w:rPr>
                <w:rFonts w:hint="eastAsia" w:cs="Times New Roman"/>
                <w:szCs w:val="21"/>
                <w:lang w:val="en-US" w:eastAsia="zh-CN"/>
              </w:rPr>
              <w:t>废活性炭</w:t>
            </w:r>
          </w:p>
        </w:tc>
        <w:tc>
          <w:tcPr>
            <w:tcW w:w="667" w:type="pct"/>
            <w:shd w:val="clear" w:color="auto" w:fill="auto"/>
            <w:vAlign w:val="center"/>
          </w:tcPr>
          <w:p w14:paraId="40A59A9C">
            <w:pPr>
              <w:spacing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Cs w:val="21"/>
              </w:rPr>
              <w:t>/</w:t>
            </w:r>
          </w:p>
        </w:tc>
        <w:tc>
          <w:tcPr>
            <w:tcW w:w="407" w:type="pct"/>
            <w:shd w:val="clear" w:color="auto" w:fill="auto"/>
            <w:vAlign w:val="center"/>
          </w:tcPr>
          <w:p w14:paraId="0CC64B28">
            <w:pPr>
              <w:spacing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Cs w:val="21"/>
              </w:rPr>
              <w:t>/</w:t>
            </w:r>
          </w:p>
        </w:tc>
        <w:tc>
          <w:tcPr>
            <w:tcW w:w="667" w:type="pct"/>
            <w:shd w:val="clear" w:color="auto" w:fill="auto"/>
            <w:vAlign w:val="center"/>
          </w:tcPr>
          <w:p w14:paraId="35EFDF27">
            <w:pPr>
              <w:spacing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Cs w:val="21"/>
              </w:rPr>
              <w:t>/</w:t>
            </w:r>
          </w:p>
        </w:tc>
        <w:tc>
          <w:tcPr>
            <w:tcW w:w="696" w:type="pct"/>
            <w:vAlign w:val="center"/>
          </w:tcPr>
          <w:p w14:paraId="3C923C9A">
            <w:pPr>
              <w:pStyle w:val="115"/>
              <w:spacing w:beforeLines="0" w:afterLines="0" w:line="240" w:lineRule="auto"/>
              <w:jc w:val="center"/>
              <w:rPr>
                <w:rFonts w:hint="default" w:ascii="Times New Roman" w:hAnsi="Times New Roman" w:cs="Times New Roman"/>
                <w:szCs w:val="21"/>
              </w:rPr>
            </w:pPr>
            <w:r>
              <w:rPr>
                <w:rFonts w:hint="default" w:ascii="Times New Roman" w:hAnsi="Times New Roman" w:cs="Times New Roman"/>
                <w:szCs w:val="21"/>
              </w:rPr>
              <w:t>0.0248t/a</w:t>
            </w:r>
          </w:p>
        </w:tc>
        <w:tc>
          <w:tcPr>
            <w:tcW w:w="591" w:type="pct"/>
            <w:vAlign w:val="center"/>
          </w:tcPr>
          <w:p w14:paraId="74CC5E7A">
            <w:pPr>
              <w:spacing w:line="240" w:lineRule="auto"/>
              <w:jc w:val="center"/>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w:t>
            </w:r>
          </w:p>
        </w:tc>
        <w:tc>
          <w:tcPr>
            <w:tcW w:w="776" w:type="pct"/>
            <w:vAlign w:val="center"/>
          </w:tcPr>
          <w:p w14:paraId="75D5DA4A">
            <w:pPr>
              <w:pStyle w:val="115"/>
              <w:spacing w:beforeLines="0" w:afterLines="0" w:line="240" w:lineRule="auto"/>
              <w:ind w:left="420" w:leftChars="0" w:hanging="420" w:hangingChars="200"/>
              <w:jc w:val="center"/>
              <w:rPr>
                <w:rFonts w:hint="default" w:ascii="Times New Roman" w:hAnsi="Times New Roman" w:cs="Times New Roman"/>
                <w:szCs w:val="21"/>
              </w:rPr>
            </w:pPr>
            <w:r>
              <w:rPr>
                <w:rFonts w:hint="default" w:ascii="Times New Roman" w:hAnsi="Times New Roman" w:cs="Times New Roman"/>
                <w:szCs w:val="21"/>
              </w:rPr>
              <w:t>0.0248t/a</w:t>
            </w:r>
          </w:p>
        </w:tc>
        <w:tc>
          <w:tcPr>
            <w:tcW w:w="454" w:type="pct"/>
            <w:vAlign w:val="center"/>
          </w:tcPr>
          <w:p w14:paraId="48426703">
            <w:pPr>
              <w:pStyle w:val="115"/>
              <w:spacing w:beforeLines="0" w:afterLines="0" w:line="240" w:lineRule="auto"/>
              <w:ind w:left="420" w:leftChars="0" w:hanging="420" w:hangingChars="200"/>
              <w:jc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w:t>
            </w:r>
            <w:r>
              <w:rPr>
                <w:rFonts w:hint="default" w:ascii="Times New Roman" w:hAnsi="Times New Roman" w:cs="Times New Roman"/>
                <w:szCs w:val="21"/>
              </w:rPr>
              <w:t>0.0248t/a</w:t>
            </w:r>
          </w:p>
        </w:tc>
      </w:tr>
    </w:tbl>
    <w:p w14:paraId="284A255C">
      <w:pPr>
        <w:pStyle w:val="115"/>
        <w:spacing w:before="192" w:beforeLines="80" w:after="24"/>
        <w:jc w:val="left"/>
        <w:rPr>
          <w:rFonts w:hint="default"/>
          <w:lang w:val="en-US" w:eastAsia="zh-CN"/>
        </w:rPr>
      </w:pPr>
      <w:r>
        <w:rPr>
          <w:rFonts w:hint="default" w:ascii="Times New Roman" w:hAnsi="Times New Roman" w:cs="Times New Roman"/>
          <w:snapToGrid w:val="0"/>
          <w:kern w:val="21"/>
          <w:szCs w:val="21"/>
        </w:rPr>
        <w:t>注：</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3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4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5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7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p>
    <w:sectPr>
      <w:pgSz w:w="16838" w:h="11906"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书宋简体">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宋体 ! important">
    <w:altName w:val="宋体"/>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ED58">
    <w:pPr>
      <w:pStyle w:val="3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FEFE">
    <w:pPr>
      <w:pStyle w:val="31"/>
      <w:framePr w:wrap="around" w:vAnchor="text" w:hAnchor="margin" w:xAlign="outside" w:y="1"/>
      <w:jc w:val="center"/>
      <w:rPr>
        <w:rStyle w:val="55"/>
        <w:rFonts w:ascii="宋体" w:hAnsi="宋体"/>
        <w:sz w:val="28"/>
        <w:szCs w:val="28"/>
      </w:rPr>
    </w:pPr>
    <w:r>
      <w:rPr>
        <w:rStyle w:val="55"/>
        <w:rFonts w:hint="eastAsia" w:ascii="宋体" w:hAnsi="宋体"/>
        <w:sz w:val="28"/>
        <w:szCs w:val="28"/>
      </w:rPr>
      <w:t>—</w:t>
    </w:r>
    <w:r>
      <w:rPr>
        <w:rStyle w:val="55"/>
        <w:rFonts w:hint="eastAsia" w:ascii="宋体" w:hAnsi="宋体"/>
        <w:sz w:val="20"/>
      </w:rPr>
      <w:t xml:space="preserve">  </w:t>
    </w:r>
    <w:r>
      <w:rPr>
        <w:rFonts w:ascii="宋体" w:hAnsi="宋体"/>
        <w:sz w:val="26"/>
        <w:szCs w:val="26"/>
      </w:rPr>
      <w:fldChar w:fldCharType="begin"/>
    </w:r>
    <w:r>
      <w:rPr>
        <w:rStyle w:val="55"/>
        <w:rFonts w:ascii="宋体" w:hAnsi="宋体"/>
        <w:sz w:val="26"/>
        <w:szCs w:val="26"/>
      </w:rPr>
      <w:instrText xml:space="preserve">PAGE  </w:instrText>
    </w:r>
    <w:r>
      <w:rPr>
        <w:rFonts w:ascii="宋体" w:hAnsi="宋体"/>
        <w:sz w:val="26"/>
        <w:szCs w:val="26"/>
      </w:rPr>
      <w:fldChar w:fldCharType="separate"/>
    </w:r>
    <w:r>
      <w:rPr>
        <w:rStyle w:val="55"/>
        <w:rFonts w:ascii="宋体" w:hAnsi="宋体"/>
        <w:sz w:val="26"/>
        <w:szCs w:val="26"/>
      </w:rPr>
      <w:t>2</w:t>
    </w:r>
    <w:r>
      <w:rPr>
        <w:rFonts w:ascii="宋体" w:hAnsi="宋体"/>
        <w:sz w:val="26"/>
        <w:szCs w:val="26"/>
      </w:rPr>
      <w:fldChar w:fldCharType="end"/>
    </w:r>
    <w:r>
      <w:rPr>
        <w:rStyle w:val="55"/>
        <w:rFonts w:hint="eastAsia" w:ascii="宋体" w:hAnsi="宋体"/>
        <w:sz w:val="20"/>
      </w:rPr>
      <w:t xml:space="preserve">  </w:t>
    </w:r>
    <w:r>
      <w:rPr>
        <w:rStyle w:val="55"/>
        <w:rFonts w:hint="eastAsia" w:ascii="宋体" w:hAnsi="宋体"/>
        <w:sz w:val="28"/>
        <w:szCs w:val="28"/>
      </w:rPr>
      <w:t>—</w:t>
    </w:r>
  </w:p>
  <w:p w14:paraId="0C57FD55">
    <w:pPr>
      <w:pStyle w:val="3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decimal"/>
      <w:suff w:val="nothing"/>
      <w:lvlText w:val="%1、"/>
      <w:lvlJc w:val="left"/>
    </w:lvl>
    <w:lvl w:ilvl="1" w:tentative="0">
      <w:start w:val="1"/>
      <w:numFmt w:val="none"/>
      <w:suff w:val="nothing"/>
      <w:lvlText w:val="%1"/>
      <w:lvlJc w:val="left"/>
      <w:pPr>
        <w:ind w:left="0" w:firstLine="0"/>
      </w:pPr>
      <w:rPr>
        <w:rFonts w:hint="eastAsia"/>
      </w:rPr>
    </w:lvl>
    <w:lvl w:ilvl="2" w:tentative="0">
      <w:start w:val="1"/>
      <w:numFmt w:val="none"/>
      <w:pStyle w:val="313"/>
      <w:suff w:val="nothing"/>
      <w:lvlText w:val="%1%3"/>
      <w:lvlJc w:val="left"/>
      <w:pPr>
        <w:ind w:left="0" w:firstLine="0"/>
      </w:pPr>
      <w:rPr>
        <w:rFonts w:hint="eastAsia"/>
      </w:rPr>
    </w:lvl>
    <w:lvl w:ilvl="3" w:tentative="0">
      <w:start w:val="1"/>
      <w:numFmt w:val="none"/>
      <w:suff w:val="nothing"/>
      <w:lvlText w:val="%1"/>
      <w:lvlJc w:val="left"/>
      <w:pPr>
        <w:ind w:left="0" w:firstLine="0"/>
      </w:pPr>
      <w:rPr>
        <w:rFonts w:hint="eastAsia"/>
      </w:rPr>
    </w:lvl>
    <w:lvl w:ilvl="4" w:tentative="0">
      <w:start w:val="1"/>
      <w:numFmt w:val="decimal"/>
      <w:lvlText w:val="%1[%5]"/>
      <w:lvlJc w:val="right"/>
      <w:pPr>
        <w:tabs>
          <w:tab w:val="left" w:pos="397"/>
        </w:tabs>
        <w:ind w:left="397" w:hanging="125"/>
      </w:pPr>
      <w:rPr>
        <w:rFonts w:hint="default" w:ascii="Times New Roman" w:hAnsi="Times New Roman" w:eastAsia="宋体"/>
        <w:b w:val="0"/>
        <w:i w:val="0"/>
        <w:color w:val="000000"/>
        <w:sz w:val="16"/>
        <w:u w:val="none"/>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0A9CD4A2"/>
    <w:multiLevelType w:val="singleLevel"/>
    <w:tmpl w:val="0A9CD4A2"/>
    <w:lvl w:ilvl="0" w:tentative="0">
      <w:start w:val="1"/>
      <w:numFmt w:val="bullet"/>
      <w:pStyle w:val="20"/>
      <w:lvlText w:val=""/>
      <w:lvlJc w:val="left"/>
      <w:pPr>
        <w:tabs>
          <w:tab w:val="left" w:pos="780"/>
        </w:tabs>
        <w:ind w:left="780" w:hanging="360"/>
      </w:pPr>
      <w:rPr>
        <w:rFonts w:hint="default" w:ascii="Wingdings" w:hAnsi="Wingdings"/>
      </w:rPr>
    </w:lvl>
  </w:abstractNum>
  <w:abstractNum w:abstractNumId="2">
    <w:nsid w:val="0E44C756"/>
    <w:multiLevelType w:val="singleLevel"/>
    <w:tmpl w:val="0E44C756"/>
    <w:lvl w:ilvl="0" w:tentative="0">
      <w:start w:val="1"/>
      <w:numFmt w:val="decimal"/>
      <w:suff w:val="nothing"/>
      <w:lvlText w:val="%1、"/>
      <w:lvlJc w:val="left"/>
    </w:lvl>
  </w:abstractNum>
  <w:abstractNum w:abstractNumId="3">
    <w:nsid w:val="1B0C3F65"/>
    <w:multiLevelType w:val="multilevel"/>
    <w:tmpl w:val="1B0C3F6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D23427"/>
    <w:multiLevelType w:val="multilevel"/>
    <w:tmpl w:val="1DD23427"/>
    <w:lvl w:ilvl="0" w:tentative="0">
      <w:start w:val="1"/>
      <w:numFmt w:val="decimal"/>
      <w:lvlText w:val="%1、"/>
      <w:lvlJc w:val="left"/>
      <w:pPr>
        <w:ind w:left="840" w:hanging="420"/>
      </w:pPr>
      <w:rPr>
        <w:rFonts w:hint="eastAsia" w:ascii="宋体" w:hAnsi="宋体" w:eastAsia="宋体"/>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662C76AE"/>
    <w:multiLevelType w:val="multilevel"/>
    <w:tmpl w:val="662C76AE"/>
    <w:lvl w:ilvl="0" w:tentative="0">
      <w:start w:val="1"/>
      <w:numFmt w:val="decimal"/>
      <w:lvlText w:val="%1、"/>
      <w:lvlJc w:val="left"/>
      <w:pPr>
        <w:ind w:left="840" w:hanging="420"/>
      </w:pPr>
      <w:rPr>
        <w:rFonts w:hint="default" w:ascii="宋体" w:hAnsi="宋体" w:eastAsia="宋体" w:cs="Times New Roman"/>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YjVjODRjZTRhYmMzMWVmZjgxYzEwNzRhMDEzMjAifQ=="/>
  </w:docVars>
  <w:rsids>
    <w:rsidRoot w:val="00172A27"/>
    <w:rsid w:val="000008FC"/>
    <w:rsid w:val="00000A75"/>
    <w:rsid w:val="000017BC"/>
    <w:rsid w:val="00001976"/>
    <w:rsid w:val="00004472"/>
    <w:rsid w:val="000060B3"/>
    <w:rsid w:val="000140CF"/>
    <w:rsid w:val="00014166"/>
    <w:rsid w:val="00016909"/>
    <w:rsid w:val="0002295C"/>
    <w:rsid w:val="00023691"/>
    <w:rsid w:val="00025ED0"/>
    <w:rsid w:val="00027FBD"/>
    <w:rsid w:val="00033E5B"/>
    <w:rsid w:val="00034415"/>
    <w:rsid w:val="0003716F"/>
    <w:rsid w:val="000376C7"/>
    <w:rsid w:val="00037737"/>
    <w:rsid w:val="0004364B"/>
    <w:rsid w:val="00043E02"/>
    <w:rsid w:val="00045131"/>
    <w:rsid w:val="00047C22"/>
    <w:rsid w:val="00047C87"/>
    <w:rsid w:val="0005332D"/>
    <w:rsid w:val="00061740"/>
    <w:rsid w:val="00061B1F"/>
    <w:rsid w:val="00063125"/>
    <w:rsid w:val="0006440D"/>
    <w:rsid w:val="00064C84"/>
    <w:rsid w:val="00066B3B"/>
    <w:rsid w:val="000700C6"/>
    <w:rsid w:val="0007123D"/>
    <w:rsid w:val="000733C4"/>
    <w:rsid w:val="00073461"/>
    <w:rsid w:val="000742DA"/>
    <w:rsid w:val="00074783"/>
    <w:rsid w:val="00076DF9"/>
    <w:rsid w:val="00077DAA"/>
    <w:rsid w:val="0008042C"/>
    <w:rsid w:val="0008070B"/>
    <w:rsid w:val="000810AC"/>
    <w:rsid w:val="00081A02"/>
    <w:rsid w:val="00082231"/>
    <w:rsid w:val="000854B4"/>
    <w:rsid w:val="00087DA5"/>
    <w:rsid w:val="0009279C"/>
    <w:rsid w:val="00092B09"/>
    <w:rsid w:val="00092D38"/>
    <w:rsid w:val="00093438"/>
    <w:rsid w:val="0009377B"/>
    <w:rsid w:val="00094FA5"/>
    <w:rsid w:val="00096348"/>
    <w:rsid w:val="000A20C9"/>
    <w:rsid w:val="000A2428"/>
    <w:rsid w:val="000A582A"/>
    <w:rsid w:val="000A67C0"/>
    <w:rsid w:val="000A6FD9"/>
    <w:rsid w:val="000B058F"/>
    <w:rsid w:val="000B4467"/>
    <w:rsid w:val="000B4A3C"/>
    <w:rsid w:val="000B4DB9"/>
    <w:rsid w:val="000B51A8"/>
    <w:rsid w:val="000B6075"/>
    <w:rsid w:val="000B67AE"/>
    <w:rsid w:val="000C058E"/>
    <w:rsid w:val="000C09AC"/>
    <w:rsid w:val="000C49B8"/>
    <w:rsid w:val="000C767F"/>
    <w:rsid w:val="000D066D"/>
    <w:rsid w:val="000D3BC6"/>
    <w:rsid w:val="000D5A44"/>
    <w:rsid w:val="000D666C"/>
    <w:rsid w:val="000E3ED2"/>
    <w:rsid w:val="000E434B"/>
    <w:rsid w:val="000E5F19"/>
    <w:rsid w:val="000E71C0"/>
    <w:rsid w:val="000F24A3"/>
    <w:rsid w:val="000F3C3B"/>
    <w:rsid w:val="001025B5"/>
    <w:rsid w:val="0010312B"/>
    <w:rsid w:val="0011259F"/>
    <w:rsid w:val="001141B4"/>
    <w:rsid w:val="00115450"/>
    <w:rsid w:val="00117D96"/>
    <w:rsid w:val="00122A5D"/>
    <w:rsid w:val="00122BD2"/>
    <w:rsid w:val="00125F40"/>
    <w:rsid w:val="00127077"/>
    <w:rsid w:val="001274E9"/>
    <w:rsid w:val="001277D0"/>
    <w:rsid w:val="00130C87"/>
    <w:rsid w:val="001319FB"/>
    <w:rsid w:val="00131F1B"/>
    <w:rsid w:val="00131F42"/>
    <w:rsid w:val="00133663"/>
    <w:rsid w:val="001357F1"/>
    <w:rsid w:val="001359F1"/>
    <w:rsid w:val="00136C6B"/>
    <w:rsid w:val="00140503"/>
    <w:rsid w:val="00140FA8"/>
    <w:rsid w:val="0014161D"/>
    <w:rsid w:val="00141D87"/>
    <w:rsid w:val="00142C44"/>
    <w:rsid w:val="00142FEB"/>
    <w:rsid w:val="00143A2D"/>
    <w:rsid w:val="0014422C"/>
    <w:rsid w:val="001443E9"/>
    <w:rsid w:val="00145A41"/>
    <w:rsid w:val="0015025B"/>
    <w:rsid w:val="00151675"/>
    <w:rsid w:val="00151AA8"/>
    <w:rsid w:val="00151CC4"/>
    <w:rsid w:val="00153CCF"/>
    <w:rsid w:val="00157435"/>
    <w:rsid w:val="001575EF"/>
    <w:rsid w:val="00157C65"/>
    <w:rsid w:val="00160B1D"/>
    <w:rsid w:val="001626F6"/>
    <w:rsid w:val="001702E7"/>
    <w:rsid w:val="00172A27"/>
    <w:rsid w:val="00172C79"/>
    <w:rsid w:val="00173661"/>
    <w:rsid w:val="0017435D"/>
    <w:rsid w:val="0017504D"/>
    <w:rsid w:val="0017671A"/>
    <w:rsid w:val="00177422"/>
    <w:rsid w:val="00181112"/>
    <w:rsid w:val="00182608"/>
    <w:rsid w:val="001831EC"/>
    <w:rsid w:val="00184590"/>
    <w:rsid w:val="001870D1"/>
    <w:rsid w:val="001873A3"/>
    <w:rsid w:val="0018781E"/>
    <w:rsid w:val="0019262D"/>
    <w:rsid w:val="001930A8"/>
    <w:rsid w:val="0019350A"/>
    <w:rsid w:val="001958FF"/>
    <w:rsid w:val="00195DF4"/>
    <w:rsid w:val="00195E1B"/>
    <w:rsid w:val="00196189"/>
    <w:rsid w:val="001973C6"/>
    <w:rsid w:val="0019782A"/>
    <w:rsid w:val="001A07F0"/>
    <w:rsid w:val="001A150B"/>
    <w:rsid w:val="001A1B35"/>
    <w:rsid w:val="001A48A2"/>
    <w:rsid w:val="001A5942"/>
    <w:rsid w:val="001A6F61"/>
    <w:rsid w:val="001B72B8"/>
    <w:rsid w:val="001C1EB1"/>
    <w:rsid w:val="001C21E4"/>
    <w:rsid w:val="001C47D4"/>
    <w:rsid w:val="001C621A"/>
    <w:rsid w:val="001C686C"/>
    <w:rsid w:val="001C69B3"/>
    <w:rsid w:val="001C764D"/>
    <w:rsid w:val="001D1ACF"/>
    <w:rsid w:val="001D3E25"/>
    <w:rsid w:val="001D5595"/>
    <w:rsid w:val="001D7874"/>
    <w:rsid w:val="001D7F22"/>
    <w:rsid w:val="001E0499"/>
    <w:rsid w:val="001E6B10"/>
    <w:rsid w:val="001F0F17"/>
    <w:rsid w:val="001F3347"/>
    <w:rsid w:val="001F69E4"/>
    <w:rsid w:val="00200554"/>
    <w:rsid w:val="002057B9"/>
    <w:rsid w:val="0020706A"/>
    <w:rsid w:val="00210148"/>
    <w:rsid w:val="00212071"/>
    <w:rsid w:val="002125B4"/>
    <w:rsid w:val="002155B8"/>
    <w:rsid w:val="002179AF"/>
    <w:rsid w:val="00224839"/>
    <w:rsid w:val="002249B2"/>
    <w:rsid w:val="00226574"/>
    <w:rsid w:val="00226A36"/>
    <w:rsid w:val="0022762F"/>
    <w:rsid w:val="002278EC"/>
    <w:rsid w:val="00230D50"/>
    <w:rsid w:val="0023280E"/>
    <w:rsid w:val="002377D1"/>
    <w:rsid w:val="002441F6"/>
    <w:rsid w:val="002506BC"/>
    <w:rsid w:val="0025085C"/>
    <w:rsid w:val="00254345"/>
    <w:rsid w:val="0026447B"/>
    <w:rsid w:val="00264557"/>
    <w:rsid w:val="00266943"/>
    <w:rsid w:val="00271079"/>
    <w:rsid w:val="0027465C"/>
    <w:rsid w:val="002805AB"/>
    <w:rsid w:val="00280CFB"/>
    <w:rsid w:val="00284204"/>
    <w:rsid w:val="00284B66"/>
    <w:rsid w:val="00285ACF"/>
    <w:rsid w:val="00285D8C"/>
    <w:rsid w:val="00286A08"/>
    <w:rsid w:val="00290685"/>
    <w:rsid w:val="00291773"/>
    <w:rsid w:val="002976B4"/>
    <w:rsid w:val="002A168C"/>
    <w:rsid w:val="002A394C"/>
    <w:rsid w:val="002A3DC7"/>
    <w:rsid w:val="002B49E2"/>
    <w:rsid w:val="002B7B00"/>
    <w:rsid w:val="002B7C44"/>
    <w:rsid w:val="002C2B17"/>
    <w:rsid w:val="002C3451"/>
    <w:rsid w:val="002C43BE"/>
    <w:rsid w:val="002C6555"/>
    <w:rsid w:val="002D3DD0"/>
    <w:rsid w:val="002D6631"/>
    <w:rsid w:val="002E1CF2"/>
    <w:rsid w:val="002E1F3A"/>
    <w:rsid w:val="002E298A"/>
    <w:rsid w:val="002E2A30"/>
    <w:rsid w:val="002F4FED"/>
    <w:rsid w:val="002F5330"/>
    <w:rsid w:val="00301978"/>
    <w:rsid w:val="00302DA3"/>
    <w:rsid w:val="0030332C"/>
    <w:rsid w:val="0030396E"/>
    <w:rsid w:val="003051C2"/>
    <w:rsid w:val="00312296"/>
    <w:rsid w:val="0031240F"/>
    <w:rsid w:val="00314F0E"/>
    <w:rsid w:val="00316847"/>
    <w:rsid w:val="00321D8E"/>
    <w:rsid w:val="00325928"/>
    <w:rsid w:val="00327449"/>
    <w:rsid w:val="00332863"/>
    <w:rsid w:val="00334050"/>
    <w:rsid w:val="0033504A"/>
    <w:rsid w:val="0033684D"/>
    <w:rsid w:val="003370E5"/>
    <w:rsid w:val="00337B42"/>
    <w:rsid w:val="00341B42"/>
    <w:rsid w:val="0034348F"/>
    <w:rsid w:val="00343763"/>
    <w:rsid w:val="00344786"/>
    <w:rsid w:val="00345694"/>
    <w:rsid w:val="00345DAF"/>
    <w:rsid w:val="00352B35"/>
    <w:rsid w:val="00356653"/>
    <w:rsid w:val="0035743F"/>
    <w:rsid w:val="00357BE2"/>
    <w:rsid w:val="0036170C"/>
    <w:rsid w:val="00366028"/>
    <w:rsid w:val="00366E0F"/>
    <w:rsid w:val="0036729D"/>
    <w:rsid w:val="003743B5"/>
    <w:rsid w:val="00377046"/>
    <w:rsid w:val="00377BC0"/>
    <w:rsid w:val="00381A72"/>
    <w:rsid w:val="00382C22"/>
    <w:rsid w:val="00384676"/>
    <w:rsid w:val="003878EE"/>
    <w:rsid w:val="00390857"/>
    <w:rsid w:val="00391824"/>
    <w:rsid w:val="00391B75"/>
    <w:rsid w:val="003A0DEA"/>
    <w:rsid w:val="003A1837"/>
    <w:rsid w:val="003A1FF4"/>
    <w:rsid w:val="003A2018"/>
    <w:rsid w:val="003A28F2"/>
    <w:rsid w:val="003A2D9B"/>
    <w:rsid w:val="003A3E9A"/>
    <w:rsid w:val="003A4BF3"/>
    <w:rsid w:val="003A4DDE"/>
    <w:rsid w:val="003A7565"/>
    <w:rsid w:val="003B420D"/>
    <w:rsid w:val="003B560D"/>
    <w:rsid w:val="003C5BE9"/>
    <w:rsid w:val="003C6C16"/>
    <w:rsid w:val="003C78C9"/>
    <w:rsid w:val="003C7BED"/>
    <w:rsid w:val="003D794D"/>
    <w:rsid w:val="003E0C32"/>
    <w:rsid w:val="003E2C5E"/>
    <w:rsid w:val="003E3058"/>
    <w:rsid w:val="003E3B07"/>
    <w:rsid w:val="003E5E28"/>
    <w:rsid w:val="003E74F2"/>
    <w:rsid w:val="003E76A9"/>
    <w:rsid w:val="003F015E"/>
    <w:rsid w:val="003F0809"/>
    <w:rsid w:val="003F6A8C"/>
    <w:rsid w:val="003F755C"/>
    <w:rsid w:val="00404F1F"/>
    <w:rsid w:val="00406F01"/>
    <w:rsid w:val="004122EF"/>
    <w:rsid w:val="00415795"/>
    <w:rsid w:val="004157EB"/>
    <w:rsid w:val="004160E0"/>
    <w:rsid w:val="00416D50"/>
    <w:rsid w:val="00416EF3"/>
    <w:rsid w:val="00416FD5"/>
    <w:rsid w:val="00417772"/>
    <w:rsid w:val="00417B0C"/>
    <w:rsid w:val="00417F89"/>
    <w:rsid w:val="00420E6A"/>
    <w:rsid w:val="004220DF"/>
    <w:rsid w:val="00425A9E"/>
    <w:rsid w:val="00426D6B"/>
    <w:rsid w:val="004311D9"/>
    <w:rsid w:val="00431E6C"/>
    <w:rsid w:val="00433171"/>
    <w:rsid w:val="00433CE7"/>
    <w:rsid w:val="00434881"/>
    <w:rsid w:val="00434C1B"/>
    <w:rsid w:val="00435825"/>
    <w:rsid w:val="00446D2B"/>
    <w:rsid w:val="0044755C"/>
    <w:rsid w:val="00450261"/>
    <w:rsid w:val="00452738"/>
    <w:rsid w:val="00452BC0"/>
    <w:rsid w:val="00456091"/>
    <w:rsid w:val="004563C2"/>
    <w:rsid w:val="00462021"/>
    <w:rsid w:val="00466321"/>
    <w:rsid w:val="00467F33"/>
    <w:rsid w:val="00470A7A"/>
    <w:rsid w:val="00482533"/>
    <w:rsid w:val="00484B9B"/>
    <w:rsid w:val="004855F6"/>
    <w:rsid w:val="0048661E"/>
    <w:rsid w:val="0048686F"/>
    <w:rsid w:val="00486FEF"/>
    <w:rsid w:val="004902EC"/>
    <w:rsid w:val="004912F6"/>
    <w:rsid w:val="00491CA6"/>
    <w:rsid w:val="00494670"/>
    <w:rsid w:val="00495AAF"/>
    <w:rsid w:val="004A079F"/>
    <w:rsid w:val="004A226F"/>
    <w:rsid w:val="004A2427"/>
    <w:rsid w:val="004A288B"/>
    <w:rsid w:val="004A3823"/>
    <w:rsid w:val="004A397F"/>
    <w:rsid w:val="004B4C45"/>
    <w:rsid w:val="004B5B8E"/>
    <w:rsid w:val="004B5C8D"/>
    <w:rsid w:val="004B791B"/>
    <w:rsid w:val="004C5223"/>
    <w:rsid w:val="004D0476"/>
    <w:rsid w:val="004D7D95"/>
    <w:rsid w:val="004E3862"/>
    <w:rsid w:val="004E6946"/>
    <w:rsid w:val="004F0E6F"/>
    <w:rsid w:val="004F1AD8"/>
    <w:rsid w:val="004F513A"/>
    <w:rsid w:val="004F626E"/>
    <w:rsid w:val="004F6305"/>
    <w:rsid w:val="005039CB"/>
    <w:rsid w:val="0050558F"/>
    <w:rsid w:val="00506286"/>
    <w:rsid w:val="00510813"/>
    <w:rsid w:val="00511990"/>
    <w:rsid w:val="00511DE0"/>
    <w:rsid w:val="00514870"/>
    <w:rsid w:val="00514B9B"/>
    <w:rsid w:val="00517C92"/>
    <w:rsid w:val="00517F02"/>
    <w:rsid w:val="00520112"/>
    <w:rsid w:val="00524303"/>
    <w:rsid w:val="005258A2"/>
    <w:rsid w:val="0052789A"/>
    <w:rsid w:val="0053118B"/>
    <w:rsid w:val="005313E5"/>
    <w:rsid w:val="005372A4"/>
    <w:rsid w:val="00540150"/>
    <w:rsid w:val="005401AE"/>
    <w:rsid w:val="00540456"/>
    <w:rsid w:val="005404EA"/>
    <w:rsid w:val="005406FA"/>
    <w:rsid w:val="005409CD"/>
    <w:rsid w:val="005426B4"/>
    <w:rsid w:val="00542E07"/>
    <w:rsid w:val="00545424"/>
    <w:rsid w:val="00552701"/>
    <w:rsid w:val="00552BD1"/>
    <w:rsid w:val="00553F41"/>
    <w:rsid w:val="00554A7B"/>
    <w:rsid w:val="0055572C"/>
    <w:rsid w:val="00560667"/>
    <w:rsid w:val="0056106A"/>
    <w:rsid w:val="00564EC7"/>
    <w:rsid w:val="005664AD"/>
    <w:rsid w:val="005678D2"/>
    <w:rsid w:val="00571DFA"/>
    <w:rsid w:val="00571F7C"/>
    <w:rsid w:val="005720AE"/>
    <w:rsid w:val="00576E07"/>
    <w:rsid w:val="0058013C"/>
    <w:rsid w:val="0058074D"/>
    <w:rsid w:val="00580DC6"/>
    <w:rsid w:val="00587418"/>
    <w:rsid w:val="00590B2A"/>
    <w:rsid w:val="00591351"/>
    <w:rsid w:val="0059287F"/>
    <w:rsid w:val="00593695"/>
    <w:rsid w:val="00594D77"/>
    <w:rsid w:val="005969E4"/>
    <w:rsid w:val="005A06B7"/>
    <w:rsid w:val="005A1759"/>
    <w:rsid w:val="005A65AE"/>
    <w:rsid w:val="005A68A7"/>
    <w:rsid w:val="005A7207"/>
    <w:rsid w:val="005B03C6"/>
    <w:rsid w:val="005B1933"/>
    <w:rsid w:val="005B6E4D"/>
    <w:rsid w:val="005B7DB4"/>
    <w:rsid w:val="005C0834"/>
    <w:rsid w:val="005D0347"/>
    <w:rsid w:val="005D29FA"/>
    <w:rsid w:val="005D36AB"/>
    <w:rsid w:val="005D3B03"/>
    <w:rsid w:val="005D3D8F"/>
    <w:rsid w:val="005D4D7E"/>
    <w:rsid w:val="005D54E9"/>
    <w:rsid w:val="005E1EC7"/>
    <w:rsid w:val="005E214C"/>
    <w:rsid w:val="005E2F94"/>
    <w:rsid w:val="005E31C7"/>
    <w:rsid w:val="005E7426"/>
    <w:rsid w:val="005E7CBD"/>
    <w:rsid w:val="005F3328"/>
    <w:rsid w:val="005F4AA0"/>
    <w:rsid w:val="00600BFE"/>
    <w:rsid w:val="0060149A"/>
    <w:rsid w:val="006021C2"/>
    <w:rsid w:val="00603838"/>
    <w:rsid w:val="00604330"/>
    <w:rsid w:val="006064CF"/>
    <w:rsid w:val="00612BC7"/>
    <w:rsid w:val="00617CC3"/>
    <w:rsid w:val="00626357"/>
    <w:rsid w:val="0062651E"/>
    <w:rsid w:val="00630C92"/>
    <w:rsid w:val="00633FFF"/>
    <w:rsid w:val="00635B3A"/>
    <w:rsid w:val="00635DDC"/>
    <w:rsid w:val="0063641E"/>
    <w:rsid w:val="00636FDF"/>
    <w:rsid w:val="006377A6"/>
    <w:rsid w:val="00637A3D"/>
    <w:rsid w:val="00637ABD"/>
    <w:rsid w:val="006411EF"/>
    <w:rsid w:val="00641871"/>
    <w:rsid w:val="0064757F"/>
    <w:rsid w:val="00647A7C"/>
    <w:rsid w:val="006538EB"/>
    <w:rsid w:val="00653D3C"/>
    <w:rsid w:val="0065442C"/>
    <w:rsid w:val="00654467"/>
    <w:rsid w:val="00660E74"/>
    <w:rsid w:val="00661D00"/>
    <w:rsid w:val="00663509"/>
    <w:rsid w:val="00663F5B"/>
    <w:rsid w:val="0066525B"/>
    <w:rsid w:val="006655F9"/>
    <w:rsid w:val="006709F4"/>
    <w:rsid w:val="00670F18"/>
    <w:rsid w:val="00673A79"/>
    <w:rsid w:val="006748B8"/>
    <w:rsid w:val="006775C3"/>
    <w:rsid w:val="006815E2"/>
    <w:rsid w:val="00684ED6"/>
    <w:rsid w:val="006862FB"/>
    <w:rsid w:val="0069290A"/>
    <w:rsid w:val="00696297"/>
    <w:rsid w:val="0069775A"/>
    <w:rsid w:val="00697813"/>
    <w:rsid w:val="006A0C1D"/>
    <w:rsid w:val="006A0EF1"/>
    <w:rsid w:val="006A2CB0"/>
    <w:rsid w:val="006A3EE8"/>
    <w:rsid w:val="006A4460"/>
    <w:rsid w:val="006A54C4"/>
    <w:rsid w:val="006A72BF"/>
    <w:rsid w:val="006B03F2"/>
    <w:rsid w:val="006B37DC"/>
    <w:rsid w:val="006B4F68"/>
    <w:rsid w:val="006C0592"/>
    <w:rsid w:val="006C272E"/>
    <w:rsid w:val="006C3549"/>
    <w:rsid w:val="006C5479"/>
    <w:rsid w:val="006D13B5"/>
    <w:rsid w:val="006D6E92"/>
    <w:rsid w:val="006E12FF"/>
    <w:rsid w:val="006E4BC2"/>
    <w:rsid w:val="006E4E28"/>
    <w:rsid w:val="006E607E"/>
    <w:rsid w:val="006E68F7"/>
    <w:rsid w:val="006E7ED8"/>
    <w:rsid w:val="006F1A46"/>
    <w:rsid w:val="006F40CC"/>
    <w:rsid w:val="00700395"/>
    <w:rsid w:val="0070163D"/>
    <w:rsid w:val="00703E52"/>
    <w:rsid w:val="00706C5D"/>
    <w:rsid w:val="00711523"/>
    <w:rsid w:val="00711956"/>
    <w:rsid w:val="00715A97"/>
    <w:rsid w:val="00715F53"/>
    <w:rsid w:val="007257EC"/>
    <w:rsid w:val="00732922"/>
    <w:rsid w:val="00732DB9"/>
    <w:rsid w:val="0073388C"/>
    <w:rsid w:val="007404B3"/>
    <w:rsid w:val="0074762C"/>
    <w:rsid w:val="0075162E"/>
    <w:rsid w:val="00751A3B"/>
    <w:rsid w:val="00752457"/>
    <w:rsid w:val="00753482"/>
    <w:rsid w:val="00754034"/>
    <w:rsid w:val="00756556"/>
    <w:rsid w:val="007579C0"/>
    <w:rsid w:val="007618C4"/>
    <w:rsid w:val="007649D5"/>
    <w:rsid w:val="0076583B"/>
    <w:rsid w:val="0076592D"/>
    <w:rsid w:val="00766A02"/>
    <w:rsid w:val="00767980"/>
    <w:rsid w:val="00770B19"/>
    <w:rsid w:val="0077463F"/>
    <w:rsid w:val="00780327"/>
    <w:rsid w:val="007836EA"/>
    <w:rsid w:val="00784CDA"/>
    <w:rsid w:val="00785238"/>
    <w:rsid w:val="0078551C"/>
    <w:rsid w:val="00786BC5"/>
    <w:rsid w:val="00787A74"/>
    <w:rsid w:val="007906C4"/>
    <w:rsid w:val="00791704"/>
    <w:rsid w:val="00791B9C"/>
    <w:rsid w:val="007940EA"/>
    <w:rsid w:val="007967E8"/>
    <w:rsid w:val="007A2170"/>
    <w:rsid w:val="007A22BF"/>
    <w:rsid w:val="007A3323"/>
    <w:rsid w:val="007A53B0"/>
    <w:rsid w:val="007A6C45"/>
    <w:rsid w:val="007B1787"/>
    <w:rsid w:val="007B1ADD"/>
    <w:rsid w:val="007B1FF1"/>
    <w:rsid w:val="007B5A72"/>
    <w:rsid w:val="007B6C8F"/>
    <w:rsid w:val="007B72B8"/>
    <w:rsid w:val="007B7A58"/>
    <w:rsid w:val="007B7B4E"/>
    <w:rsid w:val="007C031E"/>
    <w:rsid w:val="007C14B5"/>
    <w:rsid w:val="007C21B5"/>
    <w:rsid w:val="007C4F35"/>
    <w:rsid w:val="007C723D"/>
    <w:rsid w:val="007D4F86"/>
    <w:rsid w:val="007D50B6"/>
    <w:rsid w:val="007E0EDF"/>
    <w:rsid w:val="007E2F34"/>
    <w:rsid w:val="007E4BD2"/>
    <w:rsid w:val="007F13DF"/>
    <w:rsid w:val="007F1F40"/>
    <w:rsid w:val="007F2E42"/>
    <w:rsid w:val="007F49D4"/>
    <w:rsid w:val="007F7152"/>
    <w:rsid w:val="00801393"/>
    <w:rsid w:val="00802F88"/>
    <w:rsid w:val="00810565"/>
    <w:rsid w:val="00810DC6"/>
    <w:rsid w:val="0081213D"/>
    <w:rsid w:val="0081293E"/>
    <w:rsid w:val="00815465"/>
    <w:rsid w:val="00815703"/>
    <w:rsid w:val="00816D3B"/>
    <w:rsid w:val="00817245"/>
    <w:rsid w:val="008179FB"/>
    <w:rsid w:val="00817E9A"/>
    <w:rsid w:val="00821F31"/>
    <w:rsid w:val="0082300C"/>
    <w:rsid w:val="00824F59"/>
    <w:rsid w:val="008262B0"/>
    <w:rsid w:val="00826D8E"/>
    <w:rsid w:val="008306BD"/>
    <w:rsid w:val="00831A80"/>
    <w:rsid w:val="008326CC"/>
    <w:rsid w:val="00833743"/>
    <w:rsid w:val="008340A4"/>
    <w:rsid w:val="00834C11"/>
    <w:rsid w:val="008413F9"/>
    <w:rsid w:val="0084374B"/>
    <w:rsid w:val="00847CE9"/>
    <w:rsid w:val="008531E6"/>
    <w:rsid w:val="008569D0"/>
    <w:rsid w:val="008712CC"/>
    <w:rsid w:val="0087135F"/>
    <w:rsid w:val="00872D94"/>
    <w:rsid w:val="00873CF4"/>
    <w:rsid w:val="008762B6"/>
    <w:rsid w:val="008762F1"/>
    <w:rsid w:val="00880364"/>
    <w:rsid w:val="00880885"/>
    <w:rsid w:val="00881369"/>
    <w:rsid w:val="00884926"/>
    <w:rsid w:val="00891592"/>
    <w:rsid w:val="00891E9E"/>
    <w:rsid w:val="008920BC"/>
    <w:rsid w:val="0089212F"/>
    <w:rsid w:val="0089316D"/>
    <w:rsid w:val="008958F6"/>
    <w:rsid w:val="00896A8A"/>
    <w:rsid w:val="008A1063"/>
    <w:rsid w:val="008A2C3A"/>
    <w:rsid w:val="008A2F68"/>
    <w:rsid w:val="008A3050"/>
    <w:rsid w:val="008A7A20"/>
    <w:rsid w:val="008A7F6D"/>
    <w:rsid w:val="008B444E"/>
    <w:rsid w:val="008B4FA6"/>
    <w:rsid w:val="008B5282"/>
    <w:rsid w:val="008B7C17"/>
    <w:rsid w:val="008C1BFD"/>
    <w:rsid w:val="008C2D01"/>
    <w:rsid w:val="008C40E6"/>
    <w:rsid w:val="008D0A9E"/>
    <w:rsid w:val="008D0F7A"/>
    <w:rsid w:val="008D209B"/>
    <w:rsid w:val="008D395C"/>
    <w:rsid w:val="008D39C2"/>
    <w:rsid w:val="008D68E4"/>
    <w:rsid w:val="008D6DA1"/>
    <w:rsid w:val="008D76B3"/>
    <w:rsid w:val="008E0506"/>
    <w:rsid w:val="008E0BD7"/>
    <w:rsid w:val="008E0CFF"/>
    <w:rsid w:val="008E42AA"/>
    <w:rsid w:val="008E50FC"/>
    <w:rsid w:val="008E5C29"/>
    <w:rsid w:val="008E5D6B"/>
    <w:rsid w:val="008E64A5"/>
    <w:rsid w:val="008E7284"/>
    <w:rsid w:val="008E76F0"/>
    <w:rsid w:val="008F15FE"/>
    <w:rsid w:val="008F1BCA"/>
    <w:rsid w:val="008F271A"/>
    <w:rsid w:val="008F2D29"/>
    <w:rsid w:val="008F3441"/>
    <w:rsid w:val="008F35AB"/>
    <w:rsid w:val="008F44FE"/>
    <w:rsid w:val="008F46C5"/>
    <w:rsid w:val="008F5187"/>
    <w:rsid w:val="008F5A93"/>
    <w:rsid w:val="008F60D8"/>
    <w:rsid w:val="008F6ADF"/>
    <w:rsid w:val="0090199C"/>
    <w:rsid w:val="00901D97"/>
    <w:rsid w:val="009023D8"/>
    <w:rsid w:val="00902727"/>
    <w:rsid w:val="0090312B"/>
    <w:rsid w:val="0090318E"/>
    <w:rsid w:val="00905B0D"/>
    <w:rsid w:val="00907113"/>
    <w:rsid w:val="00910B4D"/>
    <w:rsid w:val="00910C90"/>
    <w:rsid w:val="00911200"/>
    <w:rsid w:val="009113B7"/>
    <w:rsid w:val="00912257"/>
    <w:rsid w:val="00912EDC"/>
    <w:rsid w:val="00913D43"/>
    <w:rsid w:val="0091736D"/>
    <w:rsid w:val="00923C94"/>
    <w:rsid w:val="00924E08"/>
    <w:rsid w:val="0093037A"/>
    <w:rsid w:val="00930452"/>
    <w:rsid w:val="00933E21"/>
    <w:rsid w:val="00940A96"/>
    <w:rsid w:val="0094154D"/>
    <w:rsid w:val="009434C3"/>
    <w:rsid w:val="009440E6"/>
    <w:rsid w:val="009447E0"/>
    <w:rsid w:val="0095155F"/>
    <w:rsid w:val="00951B97"/>
    <w:rsid w:val="00954429"/>
    <w:rsid w:val="009563CE"/>
    <w:rsid w:val="0095744F"/>
    <w:rsid w:val="00961048"/>
    <w:rsid w:val="00961406"/>
    <w:rsid w:val="0096313E"/>
    <w:rsid w:val="00963DF5"/>
    <w:rsid w:val="00964445"/>
    <w:rsid w:val="00964844"/>
    <w:rsid w:val="0097412C"/>
    <w:rsid w:val="00976328"/>
    <w:rsid w:val="0097680D"/>
    <w:rsid w:val="00982438"/>
    <w:rsid w:val="0098404C"/>
    <w:rsid w:val="00985283"/>
    <w:rsid w:val="00985A34"/>
    <w:rsid w:val="0098719C"/>
    <w:rsid w:val="00987321"/>
    <w:rsid w:val="0099282C"/>
    <w:rsid w:val="0099397D"/>
    <w:rsid w:val="00995992"/>
    <w:rsid w:val="00996A6F"/>
    <w:rsid w:val="0099752D"/>
    <w:rsid w:val="009A03E5"/>
    <w:rsid w:val="009A0F3B"/>
    <w:rsid w:val="009A1BB4"/>
    <w:rsid w:val="009A261F"/>
    <w:rsid w:val="009A2628"/>
    <w:rsid w:val="009A3200"/>
    <w:rsid w:val="009A6F75"/>
    <w:rsid w:val="009B0897"/>
    <w:rsid w:val="009B4A71"/>
    <w:rsid w:val="009B7BD9"/>
    <w:rsid w:val="009C5A40"/>
    <w:rsid w:val="009C6055"/>
    <w:rsid w:val="009C6CB5"/>
    <w:rsid w:val="009C7DD5"/>
    <w:rsid w:val="009D07AB"/>
    <w:rsid w:val="009D202A"/>
    <w:rsid w:val="009D560A"/>
    <w:rsid w:val="009D7E93"/>
    <w:rsid w:val="009E05C3"/>
    <w:rsid w:val="009E1F78"/>
    <w:rsid w:val="009E227D"/>
    <w:rsid w:val="009E35D1"/>
    <w:rsid w:val="009E5019"/>
    <w:rsid w:val="009E6B94"/>
    <w:rsid w:val="009E71C3"/>
    <w:rsid w:val="009F01CE"/>
    <w:rsid w:val="009F6E16"/>
    <w:rsid w:val="009F73E9"/>
    <w:rsid w:val="00A01647"/>
    <w:rsid w:val="00A03FC8"/>
    <w:rsid w:val="00A04079"/>
    <w:rsid w:val="00A04F1B"/>
    <w:rsid w:val="00A0501B"/>
    <w:rsid w:val="00A06582"/>
    <w:rsid w:val="00A11264"/>
    <w:rsid w:val="00A11E6A"/>
    <w:rsid w:val="00A14947"/>
    <w:rsid w:val="00A16AC5"/>
    <w:rsid w:val="00A218B1"/>
    <w:rsid w:val="00A25226"/>
    <w:rsid w:val="00A273FE"/>
    <w:rsid w:val="00A32A83"/>
    <w:rsid w:val="00A35B1A"/>
    <w:rsid w:val="00A368DB"/>
    <w:rsid w:val="00A37B49"/>
    <w:rsid w:val="00A423AA"/>
    <w:rsid w:val="00A4379E"/>
    <w:rsid w:val="00A5098C"/>
    <w:rsid w:val="00A53EC6"/>
    <w:rsid w:val="00A55C0F"/>
    <w:rsid w:val="00A55D95"/>
    <w:rsid w:val="00A61FFF"/>
    <w:rsid w:val="00A65988"/>
    <w:rsid w:val="00A73A49"/>
    <w:rsid w:val="00A75B6A"/>
    <w:rsid w:val="00A767CD"/>
    <w:rsid w:val="00A80836"/>
    <w:rsid w:val="00A8109D"/>
    <w:rsid w:val="00A837F5"/>
    <w:rsid w:val="00A84215"/>
    <w:rsid w:val="00A8421C"/>
    <w:rsid w:val="00A8713F"/>
    <w:rsid w:val="00A90992"/>
    <w:rsid w:val="00A90BA1"/>
    <w:rsid w:val="00A911EA"/>
    <w:rsid w:val="00A91AE1"/>
    <w:rsid w:val="00A93060"/>
    <w:rsid w:val="00A97A9A"/>
    <w:rsid w:val="00AA0671"/>
    <w:rsid w:val="00AA2531"/>
    <w:rsid w:val="00AA378C"/>
    <w:rsid w:val="00AA49F9"/>
    <w:rsid w:val="00AA5E20"/>
    <w:rsid w:val="00AB0274"/>
    <w:rsid w:val="00AB1E09"/>
    <w:rsid w:val="00AB3C47"/>
    <w:rsid w:val="00AB5330"/>
    <w:rsid w:val="00AB5AEB"/>
    <w:rsid w:val="00AB6C3C"/>
    <w:rsid w:val="00AB7747"/>
    <w:rsid w:val="00AC14CE"/>
    <w:rsid w:val="00AC16AE"/>
    <w:rsid w:val="00AC22E3"/>
    <w:rsid w:val="00AC2932"/>
    <w:rsid w:val="00AC2A56"/>
    <w:rsid w:val="00AC66F6"/>
    <w:rsid w:val="00AD055E"/>
    <w:rsid w:val="00AD37F1"/>
    <w:rsid w:val="00AD38A4"/>
    <w:rsid w:val="00AD47A7"/>
    <w:rsid w:val="00AD5F07"/>
    <w:rsid w:val="00AE0A97"/>
    <w:rsid w:val="00AE274E"/>
    <w:rsid w:val="00AF08C1"/>
    <w:rsid w:val="00AF0CBF"/>
    <w:rsid w:val="00AF11FF"/>
    <w:rsid w:val="00AF257F"/>
    <w:rsid w:val="00AF33CF"/>
    <w:rsid w:val="00AF45A0"/>
    <w:rsid w:val="00AF4D50"/>
    <w:rsid w:val="00AF4FD5"/>
    <w:rsid w:val="00AF6179"/>
    <w:rsid w:val="00B06BEC"/>
    <w:rsid w:val="00B06C09"/>
    <w:rsid w:val="00B1032F"/>
    <w:rsid w:val="00B10C8B"/>
    <w:rsid w:val="00B10D11"/>
    <w:rsid w:val="00B12745"/>
    <w:rsid w:val="00B1295A"/>
    <w:rsid w:val="00B14992"/>
    <w:rsid w:val="00B1634F"/>
    <w:rsid w:val="00B206F0"/>
    <w:rsid w:val="00B20A45"/>
    <w:rsid w:val="00B22C5C"/>
    <w:rsid w:val="00B2449F"/>
    <w:rsid w:val="00B24F30"/>
    <w:rsid w:val="00B27B15"/>
    <w:rsid w:val="00B30371"/>
    <w:rsid w:val="00B31ABF"/>
    <w:rsid w:val="00B33BE3"/>
    <w:rsid w:val="00B36AFD"/>
    <w:rsid w:val="00B36D9C"/>
    <w:rsid w:val="00B4101B"/>
    <w:rsid w:val="00B42CE4"/>
    <w:rsid w:val="00B43C54"/>
    <w:rsid w:val="00B43D50"/>
    <w:rsid w:val="00B463D3"/>
    <w:rsid w:val="00B46AAC"/>
    <w:rsid w:val="00B479AE"/>
    <w:rsid w:val="00B5137B"/>
    <w:rsid w:val="00B53B5D"/>
    <w:rsid w:val="00B553E1"/>
    <w:rsid w:val="00B6055E"/>
    <w:rsid w:val="00B61448"/>
    <w:rsid w:val="00B6244F"/>
    <w:rsid w:val="00B6317D"/>
    <w:rsid w:val="00B67130"/>
    <w:rsid w:val="00B701CE"/>
    <w:rsid w:val="00B75E6E"/>
    <w:rsid w:val="00B76BC0"/>
    <w:rsid w:val="00B7723F"/>
    <w:rsid w:val="00B80444"/>
    <w:rsid w:val="00B80534"/>
    <w:rsid w:val="00B811BA"/>
    <w:rsid w:val="00B811CC"/>
    <w:rsid w:val="00B8339B"/>
    <w:rsid w:val="00B8433C"/>
    <w:rsid w:val="00B85F09"/>
    <w:rsid w:val="00B87491"/>
    <w:rsid w:val="00B93C4E"/>
    <w:rsid w:val="00B94713"/>
    <w:rsid w:val="00B94950"/>
    <w:rsid w:val="00B9598F"/>
    <w:rsid w:val="00B97CE9"/>
    <w:rsid w:val="00BA29E9"/>
    <w:rsid w:val="00BA5CF8"/>
    <w:rsid w:val="00BA6868"/>
    <w:rsid w:val="00BA7142"/>
    <w:rsid w:val="00BB1FB2"/>
    <w:rsid w:val="00BB237C"/>
    <w:rsid w:val="00BB29FC"/>
    <w:rsid w:val="00BB3202"/>
    <w:rsid w:val="00BB41A3"/>
    <w:rsid w:val="00BB5F89"/>
    <w:rsid w:val="00BC19B3"/>
    <w:rsid w:val="00BC20D0"/>
    <w:rsid w:val="00BC32DC"/>
    <w:rsid w:val="00BC3495"/>
    <w:rsid w:val="00BC35B6"/>
    <w:rsid w:val="00BC4BE5"/>
    <w:rsid w:val="00BC62C8"/>
    <w:rsid w:val="00BC7A30"/>
    <w:rsid w:val="00BC7FBF"/>
    <w:rsid w:val="00BD0610"/>
    <w:rsid w:val="00BD1B51"/>
    <w:rsid w:val="00BD4596"/>
    <w:rsid w:val="00BD4848"/>
    <w:rsid w:val="00BD5DE6"/>
    <w:rsid w:val="00BD7B7A"/>
    <w:rsid w:val="00BE1405"/>
    <w:rsid w:val="00BE312D"/>
    <w:rsid w:val="00BF1C20"/>
    <w:rsid w:val="00C00285"/>
    <w:rsid w:val="00C10578"/>
    <w:rsid w:val="00C12404"/>
    <w:rsid w:val="00C135BC"/>
    <w:rsid w:val="00C15C95"/>
    <w:rsid w:val="00C22DBA"/>
    <w:rsid w:val="00C242B2"/>
    <w:rsid w:val="00C24937"/>
    <w:rsid w:val="00C253E6"/>
    <w:rsid w:val="00C2596A"/>
    <w:rsid w:val="00C25E01"/>
    <w:rsid w:val="00C26484"/>
    <w:rsid w:val="00C27537"/>
    <w:rsid w:val="00C31B44"/>
    <w:rsid w:val="00C328FE"/>
    <w:rsid w:val="00C32DEB"/>
    <w:rsid w:val="00C33507"/>
    <w:rsid w:val="00C33C3F"/>
    <w:rsid w:val="00C3558B"/>
    <w:rsid w:val="00C36EA3"/>
    <w:rsid w:val="00C4106E"/>
    <w:rsid w:val="00C41C3D"/>
    <w:rsid w:val="00C43B70"/>
    <w:rsid w:val="00C4409D"/>
    <w:rsid w:val="00C44E72"/>
    <w:rsid w:val="00C45A06"/>
    <w:rsid w:val="00C46280"/>
    <w:rsid w:val="00C47E5B"/>
    <w:rsid w:val="00C516FE"/>
    <w:rsid w:val="00C53183"/>
    <w:rsid w:val="00C535D3"/>
    <w:rsid w:val="00C53809"/>
    <w:rsid w:val="00C57DC9"/>
    <w:rsid w:val="00C61CB0"/>
    <w:rsid w:val="00C61E4B"/>
    <w:rsid w:val="00C62CA4"/>
    <w:rsid w:val="00C64BFF"/>
    <w:rsid w:val="00C64ECF"/>
    <w:rsid w:val="00C653AB"/>
    <w:rsid w:val="00C7041E"/>
    <w:rsid w:val="00C704E9"/>
    <w:rsid w:val="00C70A54"/>
    <w:rsid w:val="00C70D33"/>
    <w:rsid w:val="00C71D0D"/>
    <w:rsid w:val="00C7532D"/>
    <w:rsid w:val="00C763C9"/>
    <w:rsid w:val="00C80057"/>
    <w:rsid w:val="00C8026D"/>
    <w:rsid w:val="00C82232"/>
    <w:rsid w:val="00C82913"/>
    <w:rsid w:val="00C82A43"/>
    <w:rsid w:val="00C82E6B"/>
    <w:rsid w:val="00C830E6"/>
    <w:rsid w:val="00C838F4"/>
    <w:rsid w:val="00C9050D"/>
    <w:rsid w:val="00C95390"/>
    <w:rsid w:val="00C972B1"/>
    <w:rsid w:val="00CA0DA9"/>
    <w:rsid w:val="00CA148B"/>
    <w:rsid w:val="00CA216D"/>
    <w:rsid w:val="00CA2CCE"/>
    <w:rsid w:val="00CA42F4"/>
    <w:rsid w:val="00CA43FD"/>
    <w:rsid w:val="00CA6FAE"/>
    <w:rsid w:val="00CA7758"/>
    <w:rsid w:val="00CA7EF8"/>
    <w:rsid w:val="00CB3250"/>
    <w:rsid w:val="00CB362D"/>
    <w:rsid w:val="00CB56DD"/>
    <w:rsid w:val="00CB6ADA"/>
    <w:rsid w:val="00CC1347"/>
    <w:rsid w:val="00CC489B"/>
    <w:rsid w:val="00CD2BCD"/>
    <w:rsid w:val="00CD3A4C"/>
    <w:rsid w:val="00CD3EBB"/>
    <w:rsid w:val="00CD702B"/>
    <w:rsid w:val="00CE0C61"/>
    <w:rsid w:val="00CE0EAF"/>
    <w:rsid w:val="00CE10E9"/>
    <w:rsid w:val="00CE2910"/>
    <w:rsid w:val="00CE5393"/>
    <w:rsid w:val="00CE5526"/>
    <w:rsid w:val="00CE5D47"/>
    <w:rsid w:val="00CF1858"/>
    <w:rsid w:val="00CF36BE"/>
    <w:rsid w:val="00CF56F5"/>
    <w:rsid w:val="00CF5CA2"/>
    <w:rsid w:val="00CF6000"/>
    <w:rsid w:val="00D003F3"/>
    <w:rsid w:val="00D02ABD"/>
    <w:rsid w:val="00D02D3D"/>
    <w:rsid w:val="00D02EBA"/>
    <w:rsid w:val="00D0364F"/>
    <w:rsid w:val="00D04AB2"/>
    <w:rsid w:val="00D04F88"/>
    <w:rsid w:val="00D06834"/>
    <w:rsid w:val="00D07000"/>
    <w:rsid w:val="00D0757D"/>
    <w:rsid w:val="00D10A6E"/>
    <w:rsid w:val="00D111DB"/>
    <w:rsid w:val="00D20979"/>
    <w:rsid w:val="00D225B2"/>
    <w:rsid w:val="00D23F2C"/>
    <w:rsid w:val="00D2463E"/>
    <w:rsid w:val="00D24FF0"/>
    <w:rsid w:val="00D308ED"/>
    <w:rsid w:val="00D31734"/>
    <w:rsid w:val="00D318CA"/>
    <w:rsid w:val="00D31CB0"/>
    <w:rsid w:val="00D31F67"/>
    <w:rsid w:val="00D33B12"/>
    <w:rsid w:val="00D35731"/>
    <w:rsid w:val="00D36C04"/>
    <w:rsid w:val="00D36D86"/>
    <w:rsid w:val="00D371EC"/>
    <w:rsid w:val="00D372FE"/>
    <w:rsid w:val="00D40938"/>
    <w:rsid w:val="00D428AA"/>
    <w:rsid w:val="00D434D2"/>
    <w:rsid w:val="00D50262"/>
    <w:rsid w:val="00D50A34"/>
    <w:rsid w:val="00D50BE5"/>
    <w:rsid w:val="00D53178"/>
    <w:rsid w:val="00D53EFA"/>
    <w:rsid w:val="00D547CD"/>
    <w:rsid w:val="00D54D97"/>
    <w:rsid w:val="00D5714A"/>
    <w:rsid w:val="00D62A2B"/>
    <w:rsid w:val="00D6489F"/>
    <w:rsid w:val="00D66F6E"/>
    <w:rsid w:val="00D66FB9"/>
    <w:rsid w:val="00D67C3A"/>
    <w:rsid w:val="00D718DF"/>
    <w:rsid w:val="00D76BED"/>
    <w:rsid w:val="00D813F9"/>
    <w:rsid w:val="00D81CC6"/>
    <w:rsid w:val="00D82F9A"/>
    <w:rsid w:val="00D836F3"/>
    <w:rsid w:val="00D87F94"/>
    <w:rsid w:val="00D9119D"/>
    <w:rsid w:val="00D93814"/>
    <w:rsid w:val="00D94A7C"/>
    <w:rsid w:val="00D95896"/>
    <w:rsid w:val="00DA00E8"/>
    <w:rsid w:val="00DA0E73"/>
    <w:rsid w:val="00DA5232"/>
    <w:rsid w:val="00DA7FAF"/>
    <w:rsid w:val="00DB2900"/>
    <w:rsid w:val="00DB2983"/>
    <w:rsid w:val="00DB2E9F"/>
    <w:rsid w:val="00DB4278"/>
    <w:rsid w:val="00DB67FC"/>
    <w:rsid w:val="00DB6ECB"/>
    <w:rsid w:val="00DC1257"/>
    <w:rsid w:val="00DC12D0"/>
    <w:rsid w:val="00DC1CF1"/>
    <w:rsid w:val="00DC3DC0"/>
    <w:rsid w:val="00DC5B2B"/>
    <w:rsid w:val="00DC60D8"/>
    <w:rsid w:val="00DC61E0"/>
    <w:rsid w:val="00DD2AEC"/>
    <w:rsid w:val="00DD318D"/>
    <w:rsid w:val="00DD3626"/>
    <w:rsid w:val="00DE2185"/>
    <w:rsid w:val="00DF105B"/>
    <w:rsid w:val="00DF13A1"/>
    <w:rsid w:val="00DF2E12"/>
    <w:rsid w:val="00DF3BBE"/>
    <w:rsid w:val="00DF514A"/>
    <w:rsid w:val="00DF6690"/>
    <w:rsid w:val="00DF6804"/>
    <w:rsid w:val="00E025D9"/>
    <w:rsid w:val="00E0330D"/>
    <w:rsid w:val="00E0358D"/>
    <w:rsid w:val="00E04323"/>
    <w:rsid w:val="00E04F08"/>
    <w:rsid w:val="00E05EA8"/>
    <w:rsid w:val="00E070A2"/>
    <w:rsid w:val="00E07801"/>
    <w:rsid w:val="00E10BF0"/>
    <w:rsid w:val="00E14165"/>
    <w:rsid w:val="00E1558E"/>
    <w:rsid w:val="00E16CC1"/>
    <w:rsid w:val="00E20B5F"/>
    <w:rsid w:val="00E215DF"/>
    <w:rsid w:val="00E2566E"/>
    <w:rsid w:val="00E25BEF"/>
    <w:rsid w:val="00E2656A"/>
    <w:rsid w:val="00E26DC2"/>
    <w:rsid w:val="00E3032F"/>
    <w:rsid w:val="00E31846"/>
    <w:rsid w:val="00E37157"/>
    <w:rsid w:val="00E412D0"/>
    <w:rsid w:val="00E421D1"/>
    <w:rsid w:val="00E42AF8"/>
    <w:rsid w:val="00E43BDC"/>
    <w:rsid w:val="00E53653"/>
    <w:rsid w:val="00E53DBE"/>
    <w:rsid w:val="00E556D6"/>
    <w:rsid w:val="00E56322"/>
    <w:rsid w:val="00E60982"/>
    <w:rsid w:val="00E62C62"/>
    <w:rsid w:val="00E63142"/>
    <w:rsid w:val="00E654C1"/>
    <w:rsid w:val="00E65D97"/>
    <w:rsid w:val="00E672F2"/>
    <w:rsid w:val="00E6791C"/>
    <w:rsid w:val="00E70CA9"/>
    <w:rsid w:val="00E72A5A"/>
    <w:rsid w:val="00E73354"/>
    <w:rsid w:val="00E73C48"/>
    <w:rsid w:val="00E7544A"/>
    <w:rsid w:val="00E769F4"/>
    <w:rsid w:val="00E8060E"/>
    <w:rsid w:val="00E8243A"/>
    <w:rsid w:val="00E83913"/>
    <w:rsid w:val="00E85621"/>
    <w:rsid w:val="00E90D19"/>
    <w:rsid w:val="00E9242D"/>
    <w:rsid w:val="00E93C6C"/>
    <w:rsid w:val="00EA4478"/>
    <w:rsid w:val="00EA736F"/>
    <w:rsid w:val="00EB203E"/>
    <w:rsid w:val="00EB5255"/>
    <w:rsid w:val="00EB5C47"/>
    <w:rsid w:val="00EB61A8"/>
    <w:rsid w:val="00EB72D2"/>
    <w:rsid w:val="00EC14EB"/>
    <w:rsid w:val="00EC30D4"/>
    <w:rsid w:val="00EC73B0"/>
    <w:rsid w:val="00ED0639"/>
    <w:rsid w:val="00ED104B"/>
    <w:rsid w:val="00ED1AA6"/>
    <w:rsid w:val="00ED1F51"/>
    <w:rsid w:val="00ED681E"/>
    <w:rsid w:val="00ED6F02"/>
    <w:rsid w:val="00EE0A75"/>
    <w:rsid w:val="00EE0B50"/>
    <w:rsid w:val="00EE17B8"/>
    <w:rsid w:val="00EE3958"/>
    <w:rsid w:val="00EE4707"/>
    <w:rsid w:val="00EF4755"/>
    <w:rsid w:val="00EF7135"/>
    <w:rsid w:val="00F01807"/>
    <w:rsid w:val="00F027DB"/>
    <w:rsid w:val="00F02FE6"/>
    <w:rsid w:val="00F03F32"/>
    <w:rsid w:val="00F04BC7"/>
    <w:rsid w:val="00F06315"/>
    <w:rsid w:val="00F063A0"/>
    <w:rsid w:val="00F076C0"/>
    <w:rsid w:val="00F11B33"/>
    <w:rsid w:val="00F123AD"/>
    <w:rsid w:val="00F14A7A"/>
    <w:rsid w:val="00F14E3B"/>
    <w:rsid w:val="00F20B8F"/>
    <w:rsid w:val="00F22985"/>
    <w:rsid w:val="00F25232"/>
    <w:rsid w:val="00F2622A"/>
    <w:rsid w:val="00F26436"/>
    <w:rsid w:val="00F300A3"/>
    <w:rsid w:val="00F3383E"/>
    <w:rsid w:val="00F43C81"/>
    <w:rsid w:val="00F43F24"/>
    <w:rsid w:val="00F4636E"/>
    <w:rsid w:val="00F465A7"/>
    <w:rsid w:val="00F50B7C"/>
    <w:rsid w:val="00F536E3"/>
    <w:rsid w:val="00F53AC9"/>
    <w:rsid w:val="00F550E6"/>
    <w:rsid w:val="00F5633C"/>
    <w:rsid w:val="00F6181C"/>
    <w:rsid w:val="00F6195E"/>
    <w:rsid w:val="00F622C3"/>
    <w:rsid w:val="00F62586"/>
    <w:rsid w:val="00F6520C"/>
    <w:rsid w:val="00F656FD"/>
    <w:rsid w:val="00F66374"/>
    <w:rsid w:val="00F67A82"/>
    <w:rsid w:val="00F67C8A"/>
    <w:rsid w:val="00F71F80"/>
    <w:rsid w:val="00F74345"/>
    <w:rsid w:val="00F75ED9"/>
    <w:rsid w:val="00F80A0A"/>
    <w:rsid w:val="00F82B19"/>
    <w:rsid w:val="00F84CA3"/>
    <w:rsid w:val="00F90593"/>
    <w:rsid w:val="00F91D8B"/>
    <w:rsid w:val="00F9212D"/>
    <w:rsid w:val="00F9291E"/>
    <w:rsid w:val="00F93B3D"/>
    <w:rsid w:val="00F93FD6"/>
    <w:rsid w:val="00F957C5"/>
    <w:rsid w:val="00F9612F"/>
    <w:rsid w:val="00F965DA"/>
    <w:rsid w:val="00F966CC"/>
    <w:rsid w:val="00F96C0A"/>
    <w:rsid w:val="00FA039F"/>
    <w:rsid w:val="00FA406A"/>
    <w:rsid w:val="00FB36A1"/>
    <w:rsid w:val="00FB49BF"/>
    <w:rsid w:val="00FB503A"/>
    <w:rsid w:val="00FB516C"/>
    <w:rsid w:val="00FC2703"/>
    <w:rsid w:val="00FC2F4F"/>
    <w:rsid w:val="00FC303E"/>
    <w:rsid w:val="00FC5BF8"/>
    <w:rsid w:val="00FC6E24"/>
    <w:rsid w:val="00FC780E"/>
    <w:rsid w:val="00FD0236"/>
    <w:rsid w:val="00FD18F4"/>
    <w:rsid w:val="00FD2550"/>
    <w:rsid w:val="00FD3EB7"/>
    <w:rsid w:val="00FD54DB"/>
    <w:rsid w:val="00FD5621"/>
    <w:rsid w:val="00FD619F"/>
    <w:rsid w:val="00FD7668"/>
    <w:rsid w:val="00FD7B9B"/>
    <w:rsid w:val="00FE0A79"/>
    <w:rsid w:val="00FE17D8"/>
    <w:rsid w:val="00FE2385"/>
    <w:rsid w:val="00FF08FB"/>
    <w:rsid w:val="00FF34E3"/>
    <w:rsid w:val="00FF4BA7"/>
    <w:rsid w:val="00FF5151"/>
    <w:rsid w:val="0101169A"/>
    <w:rsid w:val="01290F7E"/>
    <w:rsid w:val="015D1E09"/>
    <w:rsid w:val="01623E6A"/>
    <w:rsid w:val="01685CBB"/>
    <w:rsid w:val="019A4157"/>
    <w:rsid w:val="01C40DDD"/>
    <w:rsid w:val="01E74F8B"/>
    <w:rsid w:val="02415A9C"/>
    <w:rsid w:val="02697903"/>
    <w:rsid w:val="02750329"/>
    <w:rsid w:val="02D813B5"/>
    <w:rsid w:val="02F96569"/>
    <w:rsid w:val="034666EF"/>
    <w:rsid w:val="034B2E38"/>
    <w:rsid w:val="037D28C8"/>
    <w:rsid w:val="03A3021E"/>
    <w:rsid w:val="03A940A9"/>
    <w:rsid w:val="03AE3097"/>
    <w:rsid w:val="03B82B23"/>
    <w:rsid w:val="03C371E1"/>
    <w:rsid w:val="03D346D5"/>
    <w:rsid w:val="03E33AE8"/>
    <w:rsid w:val="03EA7B21"/>
    <w:rsid w:val="04577DD7"/>
    <w:rsid w:val="045A707A"/>
    <w:rsid w:val="04625D68"/>
    <w:rsid w:val="049E45E9"/>
    <w:rsid w:val="057D276C"/>
    <w:rsid w:val="05B2032D"/>
    <w:rsid w:val="05D61F4E"/>
    <w:rsid w:val="05F83EAE"/>
    <w:rsid w:val="06071298"/>
    <w:rsid w:val="063E7D85"/>
    <w:rsid w:val="06696793"/>
    <w:rsid w:val="068A7C15"/>
    <w:rsid w:val="06BD13AF"/>
    <w:rsid w:val="06E65352"/>
    <w:rsid w:val="07293586"/>
    <w:rsid w:val="07295285"/>
    <w:rsid w:val="07636392"/>
    <w:rsid w:val="07770C56"/>
    <w:rsid w:val="078B5EF9"/>
    <w:rsid w:val="07D50B42"/>
    <w:rsid w:val="07DE4666"/>
    <w:rsid w:val="07EC4A69"/>
    <w:rsid w:val="08177AB7"/>
    <w:rsid w:val="0854453D"/>
    <w:rsid w:val="087B5F6E"/>
    <w:rsid w:val="08823940"/>
    <w:rsid w:val="08C412B0"/>
    <w:rsid w:val="092217DD"/>
    <w:rsid w:val="093A7294"/>
    <w:rsid w:val="09C26AAB"/>
    <w:rsid w:val="0A247F6B"/>
    <w:rsid w:val="0A263993"/>
    <w:rsid w:val="0A2D3AC2"/>
    <w:rsid w:val="0A3C2E88"/>
    <w:rsid w:val="0A595E3B"/>
    <w:rsid w:val="0AA755DF"/>
    <w:rsid w:val="0ABB2F60"/>
    <w:rsid w:val="0AD5069C"/>
    <w:rsid w:val="0B120D44"/>
    <w:rsid w:val="0B4D3BF1"/>
    <w:rsid w:val="0B8415DD"/>
    <w:rsid w:val="0BD27BF6"/>
    <w:rsid w:val="0C1B2B62"/>
    <w:rsid w:val="0C3B3C7D"/>
    <w:rsid w:val="0C82661C"/>
    <w:rsid w:val="0C841808"/>
    <w:rsid w:val="0C9C460A"/>
    <w:rsid w:val="0CAB2EAE"/>
    <w:rsid w:val="0CBF329D"/>
    <w:rsid w:val="0D156F36"/>
    <w:rsid w:val="0D1A3FA7"/>
    <w:rsid w:val="0D621C7D"/>
    <w:rsid w:val="0DBF6434"/>
    <w:rsid w:val="0E0F458E"/>
    <w:rsid w:val="0E341AA2"/>
    <w:rsid w:val="0E483041"/>
    <w:rsid w:val="0E692578"/>
    <w:rsid w:val="0E73034D"/>
    <w:rsid w:val="0ED4462A"/>
    <w:rsid w:val="0EE15E70"/>
    <w:rsid w:val="0F13775A"/>
    <w:rsid w:val="0F1425D8"/>
    <w:rsid w:val="0F5F45FE"/>
    <w:rsid w:val="0F8327D4"/>
    <w:rsid w:val="0F956327"/>
    <w:rsid w:val="0F9A112B"/>
    <w:rsid w:val="0FBC5A56"/>
    <w:rsid w:val="0FCE4770"/>
    <w:rsid w:val="103563AE"/>
    <w:rsid w:val="106D2F64"/>
    <w:rsid w:val="108316FF"/>
    <w:rsid w:val="10B63710"/>
    <w:rsid w:val="10E072B6"/>
    <w:rsid w:val="10F10820"/>
    <w:rsid w:val="10FF162B"/>
    <w:rsid w:val="111C2F7A"/>
    <w:rsid w:val="11665CA1"/>
    <w:rsid w:val="118063A3"/>
    <w:rsid w:val="11C549B1"/>
    <w:rsid w:val="11CD120E"/>
    <w:rsid w:val="11CD5FA7"/>
    <w:rsid w:val="11E736CE"/>
    <w:rsid w:val="11FC3C7B"/>
    <w:rsid w:val="120945EA"/>
    <w:rsid w:val="122B48C1"/>
    <w:rsid w:val="12301B77"/>
    <w:rsid w:val="12542FEE"/>
    <w:rsid w:val="12573F25"/>
    <w:rsid w:val="12B15E63"/>
    <w:rsid w:val="131B5E0D"/>
    <w:rsid w:val="13427375"/>
    <w:rsid w:val="13951726"/>
    <w:rsid w:val="13CE37D9"/>
    <w:rsid w:val="14396509"/>
    <w:rsid w:val="144A3C3C"/>
    <w:rsid w:val="14983AE1"/>
    <w:rsid w:val="14B24E83"/>
    <w:rsid w:val="14BC1DE8"/>
    <w:rsid w:val="14DD2C3C"/>
    <w:rsid w:val="15273D43"/>
    <w:rsid w:val="15637540"/>
    <w:rsid w:val="1573554C"/>
    <w:rsid w:val="15C126CF"/>
    <w:rsid w:val="16087E1D"/>
    <w:rsid w:val="169408EC"/>
    <w:rsid w:val="17081838"/>
    <w:rsid w:val="17084B03"/>
    <w:rsid w:val="17701D14"/>
    <w:rsid w:val="17735226"/>
    <w:rsid w:val="177C5EA4"/>
    <w:rsid w:val="17DE6EED"/>
    <w:rsid w:val="189664AC"/>
    <w:rsid w:val="189F624C"/>
    <w:rsid w:val="18BD66D7"/>
    <w:rsid w:val="18CD0120"/>
    <w:rsid w:val="18DC3204"/>
    <w:rsid w:val="19050CEF"/>
    <w:rsid w:val="190F2FA1"/>
    <w:rsid w:val="192F4936"/>
    <w:rsid w:val="19DE334A"/>
    <w:rsid w:val="1A1C66C0"/>
    <w:rsid w:val="1A2D391E"/>
    <w:rsid w:val="1A2F5742"/>
    <w:rsid w:val="1A42393B"/>
    <w:rsid w:val="1A5B54C3"/>
    <w:rsid w:val="1AAD45DE"/>
    <w:rsid w:val="1ADD6614"/>
    <w:rsid w:val="1B046F80"/>
    <w:rsid w:val="1B0A4A80"/>
    <w:rsid w:val="1B27239F"/>
    <w:rsid w:val="1B3267B5"/>
    <w:rsid w:val="1B40161D"/>
    <w:rsid w:val="1B441859"/>
    <w:rsid w:val="1B6606B1"/>
    <w:rsid w:val="1BE15AF9"/>
    <w:rsid w:val="1BFD2998"/>
    <w:rsid w:val="1C5E7925"/>
    <w:rsid w:val="1C8E7462"/>
    <w:rsid w:val="1CFD070F"/>
    <w:rsid w:val="1D5F6196"/>
    <w:rsid w:val="1D6132A5"/>
    <w:rsid w:val="1D7523DC"/>
    <w:rsid w:val="1D8C66A9"/>
    <w:rsid w:val="1D8E56D5"/>
    <w:rsid w:val="1D8F7FDF"/>
    <w:rsid w:val="1DD72AD8"/>
    <w:rsid w:val="1DDD751E"/>
    <w:rsid w:val="1DE005DE"/>
    <w:rsid w:val="1DF925B8"/>
    <w:rsid w:val="1E1660C5"/>
    <w:rsid w:val="1E197963"/>
    <w:rsid w:val="1E7A43DA"/>
    <w:rsid w:val="1EB5594A"/>
    <w:rsid w:val="1EDE162C"/>
    <w:rsid w:val="1EEC5078"/>
    <w:rsid w:val="1F04372C"/>
    <w:rsid w:val="1F124D9A"/>
    <w:rsid w:val="1F15438D"/>
    <w:rsid w:val="1F2C1918"/>
    <w:rsid w:val="1F4F096D"/>
    <w:rsid w:val="1FE7539E"/>
    <w:rsid w:val="200831DC"/>
    <w:rsid w:val="200A16BE"/>
    <w:rsid w:val="20671BE0"/>
    <w:rsid w:val="20856663"/>
    <w:rsid w:val="20963CB8"/>
    <w:rsid w:val="20A81A1B"/>
    <w:rsid w:val="20B07FB6"/>
    <w:rsid w:val="20B646FB"/>
    <w:rsid w:val="210B3EDB"/>
    <w:rsid w:val="213B74B1"/>
    <w:rsid w:val="215A2310"/>
    <w:rsid w:val="21733100"/>
    <w:rsid w:val="218D2C46"/>
    <w:rsid w:val="21997739"/>
    <w:rsid w:val="219C61DD"/>
    <w:rsid w:val="21B366E5"/>
    <w:rsid w:val="21CC41F4"/>
    <w:rsid w:val="21DE318A"/>
    <w:rsid w:val="21E93AF0"/>
    <w:rsid w:val="21EF5B80"/>
    <w:rsid w:val="22511B0B"/>
    <w:rsid w:val="22576990"/>
    <w:rsid w:val="225A06E2"/>
    <w:rsid w:val="227E7FFF"/>
    <w:rsid w:val="22F47480"/>
    <w:rsid w:val="237C4836"/>
    <w:rsid w:val="23B1593E"/>
    <w:rsid w:val="23CE551F"/>
    <w:rsid w:val="23DE1C48"/>
    <w:rsid w:val="23F23130"/>
    <w:rsid w:val="23FB72FC"/>
    <w:rsid w:val="240210CD"/>
    <w:rsid w:val="249064A5"/>
    <w:rsid w:val="24BF09F7"/>
    <w:rsid w:val="24EC344A"/>
    <w:rsid w:val="24FE24FF"/>
    <w:rsid w:val="252D53FE"/>
    <w:rsid w:val="258B2FEA"/>
    <w:rsid w:val="258B6F46"/>
    <w:rsid w:val="25D618C2"/>
    <w:rsid w:val="25EC2D81"/>
    <w:rsid w:val="26295BD6"/>
    <w:rsid w:val="266A7D8F"/>
    <w:rsid w:val="26731233"/>
    <w:rsid w:val="26C27AAB"/>
    <w:rsid w:val="26CF7759"/>
    <w:rsid w:val="26E60B7D"/>
    <w:rsid w:val="274063B2"/>
    <w:rsid w:val="275A061D"/>
    <w:rsid w:val="277057A2"/>
    <w:rsid w:val="28044C1A"/>
    <w:rsid w:val="285D0489"/>
    <w:rsid w:val="28A840EE"/>
    <w:rsid w:val="28AE6D1B"/>
    <w:rsid w:val="28B6308D"/>
    <w:rsid w:val="28F25135"/>
    <w:rsid w:val="29206EB8"/>
    <w:rsid w:val="29595666"/>
    <w:rsid w:val="297D349C"/>
    <w:rsid w:val="29874881"/>
    <w:rsid w:val="29E325E0"/>
    <w:rsid w:val="29E67293"/>
    <w:rsid w:val="2A452503"/>
    <w:rsid w:val="2AC7228A"/>
    <w:rsid w:val="2AC82E3D"/>
    <w:rsid w:val="2B536CEF"/>
    <w:rsid w:val="2B58612A"/>
    <w:rsid w:val="2B7545B5"/>
    <w:rsid w:val="2BA936A8"/>
    <w:rsid w:val="2C315A5A"/>
    <w:rsid w:val="2C4B1C25"/>
    <w:rsid w:val="2CA022A9"/>
    <w:rsid w:val="2CD728E8"/>
    <w:rsid w:val="2CDF11FF"/>
    <w:rsid w:val="2CEA01D7"/>
    <w:rsid w:val="2D6E7C78"/>
    <w:rsid w:val="2D9E56F5"/>
    <w:rsid w:val="2DA90D03"/>
    <w:rsid w:val="2DC12484"/>
    <w:rsid w:val="2E667F96"/>
    <w:rsid w:val="2E6E0976"/>
    <w:rsid w:val="2E8226AB"/>
    <w:rsid w:val="2E895497"/>
    <w:rsid w:val="2ECF6A11"/>
    <w:rsid w:val="2F4B4560"/>
    <w:rsid w:val="2F5348ED"/>
    <w:rsid w:val="2F7D6FB0"/>
    <w:rsid w:val="2FCB1943"/>
    <w:rsid w:val="2FD065E6"/>
    <w:rsid w:val="2FD96870"/>
    <w:rsid w:val="2FFE52A7"/>
    <w:rsid w:val="3046559B"/>
    <w:rsid w:val="30473CD8"/>
    <w:rsid w:val="30580BC9"/>
    <w:rsid w:val="30A9101A"/>
    <w:rsid w:val="311E2ED7"/>
    <w:rsid w:val="312468F3"/>
    <w:rsid w:val="315619EE"/>
    <w:rsid w:val="315C38CA"/>
    <w:rsid w:val="315C449C"/>
    <w:rsid w:val="315F6282"/>
    <w:rsid w:val="318D55C9"/>
    <w:rsid w:val="31B82709"/>
    <w:rsid w:val="31D05482"/>
    <w:rsid w:val="31D06E9C"/>
    <w:rsid w:val="32400B34"/>
    <w:rsid w:val="325A02CA"/>
    <w:rsid w:val="329B2BE5"/>
    <w:rsid w:val="329E6876"/>
    <w:rsid w:val="32B15AAE"/>
    <w:rsid w:val="333015F2"/>
    <w:rsid w:val="33406166"/>
    <w:rsid w:val="334B6320"/>
    <w:rsid w:val="335B4332"/>
    <w:rsid w:val="336579CD"/>
    <w:rsid w:val="33D934D4"/>
    <w:rsid w:val="33FE2F6A"/>
    <w:rsid w:val="34060532"/>
    <w:rsid w:val="340C614D"/>
    <w:rsid w:val="340E07E5"/>
    <w:rsid w:val="34235BF7"/>
    <w:rsid w:val="3426132D"/>
    <w:rsid w:val="34437860"/>
    <w:rsid w:val="34513BC3"/>
    <w:rsid w:val="3511119E"/>
    <w:rsid w:val="358731B0"/>
    <w:rsid w:val="358C5FA8"/>
    <w:rsid w:val="35C15DF1"/>
    <w:rsid w:val="36074A7F"/>
    <w:rsid w:val="36200F65"/>
    <w:rsid w:val="36923549"/>
    <w:rsid w:val="36B75FBF"/>
    <w:rsid w:val="36BD0C45"/>
    <w:rsid w:val="37105571"/>
    <w:rsid w:val="372069F5"/>
    <w:rsid w:val="37555BBF"/>
    <w:rsid w:val="377B3629"/>
    <w:rsid w:val="37E00298"/>
    <w:rsid w:val="37ED494E"/>
    <w:rsid w:val="384B7437"/>
    <w:rsid w:val="38610338"/>
    <w:rsid w:val="386707D2"/>
    <w:rsid w:val="386812B2"/>
    <w:rsid w:val="38B302F9"/>
    <w:rsid w:val="38D97FC3"/>
    <w:rsid w:val="38F12CD3"/>
    <w:rsid w:val="38F94775"/>
    <w:rsid w:val="39273424"/>
    <w:rsid w:val="392971ED"/>
    <w:rsid w:val="39325651"/>
    <w:rsid w:val="39F92D39"/>
    <w:rsid w:val="3A1D02E4"/>
    <w:rsid w:val="3A3F28BE"/>
    <w:rsid w:val="3A872856"/>
    <w:rsid w:val="3A8A3C6B"/>
    <w:rsid w:val="3A9640E6"/>
    <w:rsid w:val="3AC87D72"/>
    <w:rsid w:val="3B3763D1"/>
    <w:rsid w:val="3B67219A"/>
    <w:rsid w:val="3B876A23"/>
    <w:rsid w:val="3B973357"/>
    <w:rsid w:val="3BDA29D0"/>
    <w:rsid w:val="3C153F8A"/>
    <w:rsid w:val="3C2F6E1E"/>
    <w:rsid w:val="3C4F64BA"/>
    <w:rsid w:val="3CAC78DC"/>
    <w:rsid w:val="3CD4391A"/>
    <w:rsid w:val="3CDA245A"/>
    <w:rsid w:val="3D1E06B7"/>
    <w:rsid w:val="3D3058A8"/>
    <w:rsid w:val="3D342204"/>
    <w:rsid w:val="3D98578E"/>
    <w:rsid w:val="3DCA2845"/>
    <w:rsid w:val="3EDA0523"/>
    <w:rsid w:val="3F371021"/>
    <w:rsid w:val="3FAB27BB"/>
    <w:rsid w:val="3FE1478F"/>
    <w:rsid w:val="407A6407"/>
    <w:rsid w:val="40846853"/>
    <w:rsid w:val="413C426E"/>
    <w:rsid w:val="41CA417A"/>
    <w:rsid w:val="4200449D"/>
    <w:rsid w:val="423A3BCC"/>
    <w:rsid w:val="424E57D2"/>
    <w:rsid w:val="42585829"/>
    <w:rsid w:val="427C56D0"/>
    <w:rsid w:val="42B26C49"/>
    <w:rsid w:val="42D22650"/>
    <w:rsid w:val="433A6FE6"/>
    <w:rsid w:val="43460E4E"/>
    <w:rsid w:val="434757FF"/>
    <w:rsid w:val="43480868"/>
    <w:rsid w:val="4350713C"/>
    <w:rsid w:val="436653E0"/>
    <w:rsid w:val="43C4431A"/>
    <w:rsid w:val="44410CD8"/>
    <w:rsid w:val="446E63AB"/>
    <w:rsid w:val="44B951CC"/>
    <w:rsid w:val="44CD14E0"/>
    <w:rsid w:val="44F20B0B"/>
    <w:rsid w:val="452E5F4C"/>
    <w:rsid w:val="4539486D"/>
    <w:rsid w:val="45535320"/>
    <w:rsid w:val="455B75C1"/>
    <w:rsid w:val="45612018"/>
    <w:rsid w:val="458833F6"/>
    <w:rsid w:val="458946E9"/>
    <w:rsid w:val="45A47C0E"/>
    <w:rsid w:val="45AD28E2"/>
    <w:rsid w:val="45C95760"/>
    <w:rsid w:val="45DC49D7"/>
    <w:rsid w:val="46577FD6"/>
    <w:rsid w:val="46643C7F"/>
    <w:rsid w:val="468D2CE7"/>
    <w:rsid w:val="46CB0BB9"/>
    <w:rsid w:val="46D955A7"/>
    <w:rsid w:val="47133957"/>
    <w:rsid w:val="471C060C"/>
    <w:rsid w:val="472520AC"/>
    <w:rsid w:val="472843D7"/>
    <w:rsid w:val="47514100"/>
    <w:rsid w:val="475706C8"/>
    <w:rsid w:val="478A5F1B"/>
    <w:rsid w:val="47962AC5"/>
    <w:rsid w:val="47A07E0C"/>
    <w:rsid w:val="482C3D09"/>
    <w:rsid w:val="48595669"/>
    <w:rsid w:val="48621D83"/>
    <w:rsid w:val="4870272E"/>
    <w:rsid w:val="48861367"/>
    <w:rsid w:val="48DE237D"/>
    <w:rsid w:val="48E11D54"/>
    <w:rsid w:val="48F84A81"/>
    <w:rsid w:val="49066BB2"/>
    <w:rsid w:val="493F41B5"/>
    <w:rsid w:val="494A5C0F"/>
    <w:rsid w:val="49DC7715"/>
    <w:rsid w:val="4A023139"/>
    <w:rsid w:val="4A056ECC"/>
    <w:rsid w:val="4A5735F0"/>
    <w:rsid w:val="4A7B576F"/>
    <w:rsid w:val="4A8835F7"/>
    <w:rsid w:val="4AF561A9"/>
    <w:rsid w:val="4B227B24"/>
    <w:rsid w:val="4B2A102A"/>
    <w:rsid w:val="4B3B4FC7"/>
    <w:rsid w:val="4B7834FB"/>
    <w:rsid w:val="4B811FDC"/>
    <w:rsid w:val="4BA206E8"/>
    <w:rsid w:val="4BE53EC7"/>
    <w:rsid w:val="4BE7343D"/>
    <w:rsid w:val="4C0A754B"/>
    <w:rsid w:val="4C4A0649"/>
    <w:rsid w:val="4C7A78B5"/>
    <w:rsid w:val="4C7E5ECA"/>
    <w:rsid w:val="4C876AA5"/>
    <w:rsid w:val="4CC97070"/>
    <w:rsid w:val="4CE27C3F"/>
    <w:rsid w:val="4CFD02CC"/>
    <w:rsid w:val="4D0E00FB"/>
    <w:rsid w:val="4D176606"/>
    <w:rsid w:val="4D2155E4"/>
    <w:rsid w:val="4D5763B7"/>
    <w:rsid w:val="4D754B8E"/>
    <w:rsid w:val="4DA95AD1"/>
    <w:rsid w:val="4DBF1550"/>
    <w:rsid w:val="4DEC4FB0"/>
    <w:rsid w:val="4DF416CF"/>
    <w:rsid w:val="4E075D8A"/>
    <w:rsid w:val="4E2C571D"/>
    <w:rsid w:val="4E455C3C"/>
    <w:rsid w:val="4E7610BA"/>
    <w:rsid w:val="4E8469F7"/>
    <w:rsid w:val="4EB010F4"/>
    <w:rsid w:val="4EC00FAD"/>
    <w:rsid w:val="4ED452AD"/>
    <w:rsid w:val="4F6268A6"/>
    <w:rsid w:val="4F9843DC"/>
    <w:rsid w:val="4FC62A8C"/>
    <w:rsid w:val="4FE10BD2"/>
    <w:rsid w:val="4FE20F0D"/>
    <w:rsid w:val="4FE51552"/>
    <w:rsid w:val="4FFE6916"/>
    <w:rsid w:val="50034588"/>
    <w:rsid w:val="504A2A87"/>
    <w:rsid w:val="50504C4B"/>
    <w:rsid w:val="509C6E7C"/>
    <w:rsid w:val="50EF6FEA"/>
    <w:rsid w:val="512D3134"/>
    <w:rsid w:val="51471C6B"/>
    <w:rsid w:val="5162104E"/>
    <w:rsid w:val="5165699C"/>
    <w:rsid w:val="51B00AEA"/>
    <w:rsid w:val="51D830B6"/>
    <w:rsid w:val="51E37D01"/>
    <w:rsid w:val="52C96D1E"/>
    <w:rsid w:val="53154FB9"/>
    <w:rsid w:val="532F14D2"/>
    <w:rsid w:val="539D5B21"/>
    <w:rsid w:val="53A039CC"/>
    <w:rsid w:val="53A1505A"/>
    <w:rsid w:val="53DD7B7D"/>
    <w:rsid w:val="54063E08"/>
    <w:rsid w:val="54134598"/>
    <w:rsid w:val="543437E8"/>
    <w:rsid w:val="54450344"/>
    <w:rsid w:val="54630915"/>
    <w:rsid w:val="54983EC5"/>
    <w:rsid w:val="54AC79A0"/>
    <w:rsid w:val="54C73AA8"/>
    <w:rsid w:val="54EB00E0"/>
    <w:rsid w:val="54F73313"/>
    <w:rsid w:val="54F80955"/>
    <w:rsid w:val="55061CE6"/>
    <w:rsid w:val="552356C5"/>
    <w:rsid w:val="555170A7"/>
    <w:rsid w:val="5575140F"/>
    <w:rsid w:val="5587536D"/>
    <w:rsid w:val="5588297A"/>
    <w:rsid w:val="559B174B"/>
    <w:rsid w:val="55CE0CF4"/>
    <w:rsid w:val="55E9365B"/>
    <w:rsid w:val="55EE1245"/>
    <w:rsid w:val="561060DF"/>
    <w:rsid w:val="564F3020"/>
    <w:rsid w:val="56B22A9C"/>
    <w:rsid w:val="570D3802"/>
    <w:rsid w:val="5728731C"/>
    <w:rsid w:val="5730129E"/>
    <w:rsid w:val="578A4BBA"/>
    <w:rsid w:val="579F1F13"/>
    <w:rsid w:val="57B72A76"/>
    <w:rsid w:val="57C3426C"/>
    <w:rsid w:val="57CE1F93"/>
    <w:rsid w:val="57DE4F74"/>
    <w:rsid w:val="58240E03"/>
    <w:rsid w:val="582F7438"/>
    <w:rsid w:val="583F4C3A"/>
    <w:rsid w:val="585F7EA9"/>
    <w:rsid w:val="588743D1"/>
    <w:rsid w:val="5887701A"/>
    <w:rsid w:val="591C7D2C"/>
    <w:rsid w:val="593B4656"/>
    <w:rsid w:val="59543693"/>
    <w:rsid w:val="5973461A"/>
    <w:rsid w:val="597D149A"/>
    <w:rsid w:val="59AF28A1"/>
    <w:rsid w:val="59C0439F"/>
    <w:rsid w:val="59DD4840"/>
    <w:rsid w:val="5ABE2233"/>
    <w:rsid w:val="5ADA7E9F"/>
    <w:rsid w:val="5B3D4418"/>
    <w:rsid w:val="5B597EDA"/>
    <w:rsid w:val="5B7E7DD1"/>
    <w:rsid w:val="5BCB12B0"/>
    <w:rsid w:val="5BDF5D95"/>
    <w:rsid w:val="5BFE7528"/>
    <w:rsid w:val="5C164550"/>
    <w:rsid w:val="5C3F3274"/>
    <w:rsid w:val="5C512E4A"/>
    <w:rsid w:val="5CD918DD"/>
    <w:rsid w:val="5D226C62"/>
    <w:rsid w:val="5D446DEA"/>
    <w:rsid w:val="5D675118"/>
    <w:rsid w:val="5D844696"/>
    <w:rsid w:val="5DA40FF8"/>
    <w:rsid w:val="5E2467F1"/>
    <w:rsid w:val="5E510B87"/>
    <w:rsid w:val="5E5C4868"/>
    <w:rsid w:val="5E7368D4"/>
    <w:rsid w:val="5E890A15"/>
    <w:rsid w:val="5ECB3714"/>
    <w:rsid w:val="5F1A2B43"/>
    <w:rsid w:val="5F353CFB"/>
    <w:rsid w:val="5F7E1332"/>
    <w:rsid w:val="5FAC3F48"/>
    <w:rsid w:val="5FB837BB"/>
    <w:rsid w:val="5FEA15A9"/>
    <w:rsid w:val="6008139B"/>
    <w:rsid w:val="602C048D"/>
    <w:rsid w:val="60A0622E"/>
    <w:rsid w:val="60CB2F7D"/>
    <w:rsid w:val="60CC405A"/>
    <w:rsid w:val="612A6A26"/>
    <w:rsid w:val="61E215D8"/>
    <w:rsid w:val="621B3775"/>
    <w:rsid w:val="62364782"/>
    <w:rsid w:val="62650996"/>
    <w:rsid w:val="62833A58"/>
    <w:rsid w:val="62D35EDD"/>
    <w:rsid w:val="6394356A"/>
    <w:rsid w:val="639C1EBC"/>
    <w:rsid w:val="63C61B2C"/>
    <w:rsid w:val="63D40BE9"/>
    <w:rsid w:val="63F624EA"/>
    <w:rsid w:val="64102431"/>
    <w:rsid w:val="64102EE5"/>
    <w:rsid w:val="64121B98"/>
    <w:rsid w:val="64155E59"/>
    <w:rsid w:val="64426D66"/>
    <w:rsid w:val="64743E88"/>
    <w:rsid w:val="64A5243A"/>
    <w:rsid w:val="64B21B64"/>
    <w:rsid w:val="64F531DE"/>
    <w:rsid w:val="65373578"/>
    <w:rsid w:val="658B3C23"/>
    <w:rsid w:val="65A3445E"/>
    <w:rsid w:val="65AE4F7C"/>
    <w:rsid w:val="660D08E9"/>
    <w:rsid w:val="668933FE"/>
    <w:rsid w:val="671F124A"/>
    <w:rsid w:val="672E5A88"/>
    <w:rsid w:val="677A33C6"/>
    <w:rsid w:val="67956C28"/>
    <w:rsid w:val="679F6897"/>
    <w:rsid w:val="67CE0D8B"/>
    <w:rsid w:val="67F11C64"/>
    <w:rsid w:val="67F26828"/>
    <w:rsid w:val="681F6961"/>
    <w:rsid w:val="68610A2F"/>
    <w:rsid w:val="68805514"/>
    <w:rsid w:val="68815DFE"/>
    <w:rsid w:val="68BD21B8"/>
    <w:rsid w:val="68E67B0A"/>
    <w:rsid w:val="69316E2F"/>
    <w:rsid w:val="69491B23"/>
    <w:rsid w:val="694E2071"/>
    <w:rsid w:val="69766163"/>
    <w:rsid w:val="697A3B33"/>
    <w:rsid w:val="697D4255"/>
    <w:rsid w:val="69D44760"/>
    <w:rsid w:val="69E721A1"/>
    <w:rsid w:val="6A520EC7"/>
    <w:rsid w:val="6A8D4C0D"/>
    <w:rsid w:val="6AF87E20"/>
    <w:rsid w:val="6B1718A3"/>
    <w:rsid w:val="6B322639"/>
    <w:rsid w:val="6B68554D"/>
    <w:rsid w:val="6B9E319B"/>
    <w:rsid w:val="6BF26151"/>
    <w:rsid w:val="6BF6465A"/>
    <w:rsid w:val="6BFB5792"/>
    <w:rsid w:val="6C1A06BB"/>
    <w:rsid w:val="6C636C38"/>
    <w:rsid w:val="6CA438F0"/>
    <w:rsid w:val="6D2B77E4"/>
    <w:rsid w:val="6D4A3142"/>
    <w:rsid w:val="6D841ED4"/>
    <w:rsid w:val="6D8633BD"/>
    <w:rsid w:val="6DB34098"/>
    <w:rsid w:val="6DB545B6"/>
    <w:rsid w:val="6DE02FB4"/>
    <w:rsid w:val="6E514CED"/>
    <w:rsid w:val="6EB563D5"/>
    <w:rsid w:val="6EBA4267"/>
    <w:rsid w:val="6EC3758C"/>
    <w:rsid w:val="6ED92677"/>
    <w:rsid w:val="6F225983"/>
    <w:rsid w:val="6F6049BF"/>
    <w:rsid w:val="6F9970D0"/>
    <w:rsid w:val="6FD07D74"/>
    <w:rsid w:val="6FFC5590"/>
    <w:rsid w:val="701719AD"/>
    <w:rsid w:val="701A1418"/>
    <w:rsid w:val="703C2E83"/>
    <w:rsid w:val="706D1DD0"/>
    <w:rsid w:val="70711DC5"/>
    <w:rsid w:val="70856B87"/>
    <w:rsid w:val="70D527EE"/>
    <w:rsid w:val="712F5602"/>
    <w:rsid w:val="715B5300"/>
    <w:rsid w:val="71601ADF"/>
    <w:rsid w:val="718D5813"/>
    <w:rsid w:val="71C70D25"/>
    <w:rsid w:val="71D27F8A"/>
    <w:rsid w:val="720068AE"/>
    <w:rsid w:val="72074378"/>
    <w:rsid w:val="72553024"/>
    <w:rsid w:val="726726FA"/>
    <w:rsid w:val="7285473C"/>
    <w:rsid w:val="73122968"/>
    <w:rsid w:val="731F5D5E"/>
    <w:rsid w:val="73320420"/>
    <w:rsid w:val="734209F5"/>
    <w:rsid w:val="7346211D"/>
    <w:rsid w:val="73520AC2"/>
    <w:rsid w:val="73AA6208"/>
    <w:rsid w:val="73C51AD5"/>
    <w:rsid w:val="73DD7AD5"/>
    <w:rsid w:val="740210FF"/>
    <w:rsid w:val="741E793C"/>
    <w:rsid w:val="744D41AD"/>
    <w:rsid w:val="745E3944"/>
    <w:rsid w:val="74605EB5"/>
    <w:rsid w:val="74927F5B"/>
    <w:rsid w:val="74B86703"/>
    <w:rsid w:val="74E73E83"/>
    <w:rsid w:val="75056040"/>
    <w:rsid w:val="75114065"/>
    <w:rsid w:val="75743AA4"/>
    <w:rsid w:val="75750A98"/>
    <w:rsid w:val="75BE35FE"/>
    <w:rsid w:val="760A117E"/>
    <w:rsid w:val="760F008B"/>
    <w:rsid w:val="760F46CE"/>
    <w:rsid w:val="7612666A"/>
    <w:rsid w:val="7635099D"/>
    <w:rsid w:val="76427692"/>
    <w:rsid w:val="773F1645"/>
    <w:rsid w:val="77762421"/>
    <w:rsid w:val="77847ABC"/>
    <w:rsid w:val="77B56B1F"/>
    <w:rsid w:val="77DB00FC"/>
    <w:rsid w:val="77FE2FC7"/>
    <w:rsid w:val="780F09F4"/>
    <w:rsid w:val="781D08C1"/>
    <w:rsid w:val="787D6A1A"/>
    <w:rsid w:val="78A90480"/>
    <w:rsid w:val="79161E78"/>
    <w:rsid w:val="79D82238"/>
    <w:rsid w:val="7A003B20"/>
    <w:rsid w:val="7A364017"/>
    <w:rsid w:val="7A3D75AA"/>
    <w:rsid w:val="7A8265E1"/>
    <w:rsid w:val="7AB46E8E"/>
    <w:rsid w:val="7ABB519F"/>
    <w:rsid w:val="7B1072F5"/>
    <w:rsid w:val="7B172520"/>
    <w:rsid w:val="7B1E74DC"/>
    <w:rsid w:val="7B686D42"/>
    <w:rsid w:val="7B7535A0"/>
    <w:rsid w:val="7B841746"/>
    <w:rsid w:val="7B8D40E3"/>
    <w:rsid w:val="7B937ECA"/>
    <w:rsid w:val="7BEB74B2"/>
    <w:rsid w:val="7C326CDB"/>
    <w:rsid w:val="7C35026B"/>
    <w:rsid w:val="7C6C5AC7"/>
    <w:rsid w:val="7CC6544B"/>
    <w:rsid w:val="7D0239FF"/>
    <w:rsid w:val="7D0278B5"/>
    <w:rsid w:val="7D2C73FB"/>
    <w:rsid w:val="7D553689"/>
    <w:rsid w:val="7D5E40CD"/>
    <w:rsid w:val="7D7C0783"/>
    <w:rsid w:val="7DCD56F2"/>
    <w:rsid w:val="7E1410D8"/>
    <w:rsid w:val="7ECF005E"/>
    <w:rsid w:val="7EDA4E21"/>
    <w:rsid w:val="7EF67FE0"/>
    <w:rsid w:val="7F001CE7"/>
    <w:rsid w:val="7F1468BC"/>
    <w:rsid w:val="7F546D12"/>
    <w:rsid w:val="7FBB4A83"/>
    <w:rsid w:val="7FE47E50"/>
    <w:rsid w:val="7FE54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qFormat="1" w:unhideWhenUsed="0" w:uiPriority="0" w:semiHidden="0" w:name="index 8" w:locked="1"/>
    <w:lsdException w:unhideWhenUsed="0" w:uiPriority="0" w:semiHidden="0" w:name="index 9" w:locked="1"/>
    <w:lsdException w:qFormat="1" w:uiPriority="39" w:semiHidden="0" w:name="toc 1" w:locked="1"/>
    <w:lsdException w:qFormat="1" w:uiPriority="0"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8"/>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70"/>
    <w:qFormat/>
    <w:locked/>
    <w:uiPriority w:val="0"/>
    <w:pPr>
      <w:keepNext/>
      <w:keepLines/>
      <w:spacing w:before="260" w:after="260" w:line="416" w:lineRule="auto"/>
      <w:outlineLvl w:val="2"/>
    </w:pPr>
    <w:rPr>
      <w:b/>
      <w:bCs/>
      <w:sz w:val="32"/>
      <w:szCs w:val="32"/>
    </w:rPr>
  </w:style>
  <w:style w:type="paragraph" w:styleId="5">
    <w:name w:val="heading 4"/>
    <w:basedOn w:val="1"/>
    <w:next w:val="1"/>
    <w:link w:val="62"/>
    <w:qFormat/>
    <w:locked/>
    <w:uiPriority w:val="0"/>
    <w:pPr>
      <w:keepNext/>
      <w:spacing w:line="440" w:lineRule="exact"/>
      <w:ind w:left="-50" w:right="-50"/>
      <w:jc w:val="center"/>
      <w:outlineLvl w:val="3"/>
    </w:pPr>
    <w:rPr>
      <w:sz w:val="28"/>
    </w:rPr>
  </w:style>
  <w:style w:type="paragraph" w:styleId="6">
    <w:name w:val="heading 5"/>
    <w:basedOn w:val="1"/>
    <w:next w:val="1"/>
    <w:link w:val="79"/>
    <w:qFormat/>
    <w:locked/>
    <w:uiPriority w:val="0"/>
    <w:pPr>
      <w:keepNext/>
      <w:keepLines/>
      <w:spacing w:before="280" w:after="290" w:line="376" w:lineRule="auto"/>
      <w:outlineLvl w:val="4"/>
    </w:pPr>
    <w:rPr>
      <w:b/>
      <w:bCs/>
      <w:sz w:val="28"/>
      <w:szCs w:val="28"/>
    </w:rPr>
  </w:style>
  <w:style w:type="paragraph" w:styleId="7">
    <w:name w:val="heading 6"/>
    <w:basedOn w:val="1"/>
    <w:next w:val="1"/>
    <w:link w:val="303"/>
    <w:qFormat/>
    <w:locked/>
    <w:uiPriority w:val="0"/>
    <w:pPr>
      <w:keepNext/>
      <w:keepLines/>
      <w:widowControl/>
      <w:tabs>
        <w:tab w:val="left" w:pos="1152"/>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link w:val="80"/>
    <w:qFormat/>
    <w:locked/>
    <w:uiPriority w:val="0"/>
    <w:pPr>
      <w:keepNext/>
      <w:tabs>
        <w:tab w:val="left" w:pos="360"/>
      </w:tabs>
      <w:spacing w:line="350" w:lineRule="auto"/>
      <w:outlineLvl w:val="6"/>
    </w:pPr>
    <w:rPr>
      <w:color w:val="000000"/>
      <w:sz w:val="28"/>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9">
    <w:name w:val="List 3"/>
    <w:basedOn w:val="1"/>
    <w:unhideWhenUsed/>
    <w:qFormat/>
    <w:locked/>
    <w:uiPriority w:val="0"/>
    <w:pPr>
      <w:spacing w:line="360" w:lineRule="auto"/>
      <w:ind w:left="100" w:leftChars="400" w:hanging="200" w:hangingChars="200"/>
      <w:contextualSpacing/>
    </w:pPr>
    <w:rPr>
      <w:sz w:val="24"/>
      <w:szCs w:val="22"/>
    </w:rPr>
  </w:style>
  <w:style w:type="paragraph" w:styleId="10">
    <w:name w:val="toc 7"/>
    <w:basedOn w:val="1"/>
    <w:next w:val="1"/>
    <w:unhideWhenUsed/>
    <w:qFormat/>
    <w:locked/>
    <w:uiPriority w:val="39"/>
    <w:pPr>
      <w:ind w:left="2520" w:leftChars="1200"/>
    </w:pPr>
    <w:rPr>
      <w:rFonts w:asciiTheme="minorHAnsi" w:hAnsiTheme="minorHAnsi" w:eastAsiaTheme="minorEastAsia" w:cstheme="minorBidi"/>
      <w:szCs w:val="22"/>
    </w:rPr>
  </w:style>
  <w:style w:type="paragraph" w:styleId="11">
    <w:name w:val="Normal Indent"/>
    <w:basedOn w:val="1"/>
    <w:link w:val="81"/>
    <w:qFormat/>
    <w:locked/>
    <w:uiPriority w:val="0"/>
    <w:pPr>
      <w:widowControl/>
      <w:ind w:firstLine="420"/>
      <w:jc w:val="left"/>
    </w:pPr>
    <w:rPr>
      <w:rFonts w:eastAsia="华文中宋"/>
      <w:w w:val="90"/>
      <w:kern w:val="0"/>
      <w:sz w:val="28"/>
      <w:szCs w:val="20"/>
    </w:rPr>
  </w:style>
  <w:style w:type="paragraph" w:styleId="12">
    <w:name w:val="caption"/>
    <w:basedOn w:val="1"/>
    <w:next w:val="1"/>
    <w:link w:val="82"/>
    <w:qFormat/>
    <w:locked/>
    <w:uiPriority w:val="0"/>
    <w:pPr>
      <w:widowControl/>
      <w:adjustRightInd w:val="0"/>
      <w:snapToGrid w:val="0"/>
      <w:jc w:val="center"/>
    </w:pPr>
    <w:rPr>
      <w:rFonts w:ascii="黑体" w:hAnsi="黑体" w:eastAsia="黑体"/>
      <w:sz w:val="24"/>
      <w:szCs w:val="20"/>
    </w:rPr>
  </w:style>
  <w:style w:type="paragraph" w:styleId="13">
    <w:name w:val="Document Map"/>
    <w:basedOn w:val="1"/>
    <w:link w:val="83"/>
    <w:qFormat/>
    <w:locked/>
    <w:uiPriority w:val="0"/>
    <w:pPr>
      <w:shd w:val="clear" w:color="auto" w:fill="000080"/>
    </w:pPr>
  </w:style>
  <w:style w:type="paragraph" w:styleId="14">
    <w:name w:val="annotation text"/>
    <w:basedOn w:val="1"/>
    <w:link w:val="84"/>
    <w:qFormat/>
    <w:uiPriority w:val="0"/>
    <w:pPr>
      <w:jc w:val="left"/>
    </w:pPr>
    <w:rPr>
      <w:kern w:val="0"/>
      <w:sz w:val="24"/>
      <w:szCs w:val="20"/>
    </w:rPr>
  </w:style>
  <w:style w:type="paragraph" w:styleId="15">
    <w:name w:val="Body Text 3"/>
    <w:basedOn w:val="1"/>
    <w:link w:val="85"/>
    <w:qFormat/>
    <w:locked/>
    <w:uiPriority w:val="0"/>
    <w:pPr>
      <w:widowControl/>
      <w:jc w:val="center"/>
    </w:pPr>
    <w:rPr>
      <w:rFonts w:eastAsia="方正书宋简体"/>
      <w:w w:val="90"/>
      <w:kern w:val="0"/>
      <w:sz w:val="28"/>
      <w:szCs w:val="20"/>
    </w:rPr>
  </w:style>
  <w:style w:type="paragraph" w:styleId="16">
    <w:name w:val="Body Text"/>
    <w:basedOn w:val="1"/>
    <w:next w:val="17"/>
    <w:link w:val="86"/>
    <w:qFormat/>
    <w:uiPriority w:val="99"/>
    <w:pPr>
      <w:widowControl/>
      <w:snapToGrid w:val="0"/>
      <w:spacing w:before="60" w:after="160" w:line="259" w:lineRule="auto"/>
      <w:ind w:right="113"/>
    </w:pPr>
    <w:rPr>
      <w:kern w:val="0"/>
      <w:sz w:val="18"/>
      <w:szCs w:val="20"/>
    </w:rPr>
  </w:style>
  <w:style w:type="paragraph" w:styleId="17">
    <w:name w:val="Body Text First Indent"/>
    <w:basedOn w:val="1"/>
    <w:next w:val="16"/>
    <w:link w:val="102"/>
    <w:qFormat/>
    <w:locked/>
    <w:uiPriority w:val="0"/>
    <w:pPr>
      <w:widowControl w:val="0"/>
      <w:snapToGrid/>
      <w:spacing w:before="0" w:after="120" w:line="240" w:lineRule="auto"/>
      <w:ind w:right="0" w:firstLine="420" w:firstLineChars="100"/>
    </w:pPr>
    <w:rPr>
      <w:kern w:val="2"/>
      <w:sz w:val="21"/>
      <w:szCs w:val="24"/>
    </w:rPr>
  </w:style>
  <w:style w:type="paragraph" w:styleId="18">
    <w:name w:val="Body Text Indent"/>
    <w:basedOn w:val="1"/>
    <w:link w:val="87"/>
    <w:qFormat/>
    <w:uiPriority w:val="0"/>
    <w:pPr>
      <w:spacing w:after="120"/>
      <w:ind w:left="420" w:leftChars="200"/>
    </w:pPr>
    <w:rPr>
      <w:kern w:val="0"/>
      <w:sz w:val="24"/>
      <w:szCs w:val="20"/>
    </w:rPr>
  </w:style>
  <w:style w:type="paragraph" w:styleId="19">
    <w:name w:val="Block Text"/>
    <w:basedOn w:val="1"/>
    <w:qFormat/>
    <w:locked/>
    <w:uiPriority w:val="0"/>
    <w:pPr>
      <w:spacing w:line="360" w:lineRule="auto"/>
      <w:ind w:left="311" w:leftChars="148" w:right="210" w:rightChars="100" w:firstLine="560" w:firstLineChars="200"/>
      <w:jc w:val="left"/>
    </w:pPr>
    <w:rPr>
      <w:rFonts w:ascii="宋体" w:hAnsi="Calibri"/>
      <w:sz w:val="28"/>
      <w:szCs w:val="20"/>
    </w:rPr>
  </w:style>
  <w:style w:type="paragraph" w:styleId="20">
    <w:name w:val="List Bullet 2"/>
    <w:basedOn w:val="1"/>
    <w:next w:val="21"/>
    <w:qFormat/>
    <w:locked/>
    <w:uiPriority w:val="0"/>
    <w:pPr>
      <w:numPr>
        <w:ilvl w:val="0"/>
        <w:numId w:val="1"/>
      </w:numPr>
    </w:pPr>
  </w:style>
  <w:style w:type="paragraph" w:customStyle="1" w:styleId="21">
    <w:name w:val="xl70"/>
    <w:basedOn w:val="1"/>
    <w:next w:val="2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2">
    <w:name w:val="正文缩进1"/>
    <w:basedOn w:val="1"/>
    <w:next w:val="23"/>
    <w:qFormat/>
    <w:uiPriority w:val="0"/>
    <w:pPr>
      <w:ind w:firstLine="420"/>
    </w:pPr>
    <w:rPr>
      <w:rFonts w:ascii="Times New Roman" w:eastAsia="宋体"/>
    </w:rPr>
  </w:style>
  <w:style w:type="paragraph" w:customStyle="1" w:styleId="23">
    <w:name w:val="td1"/>
    <w:basedOn w:val="1"/>
    <w:next w:val="1"/>
    <w:qFormat/>
    <w:uiPriority w:val="0"/>
    <w:pPr>
      <w:widowControl/>
      <w:spacing w:before="280" w:after="280" w:line="300" w:lineRule="atLeast"/>
    </w:pPr>
    <w:rPr>
      <w:rFonts w:ascii="Times New Roman" w:eastAsia="宋体"/>
      <w:color w:val="000000"/>
      <w:sz w:val="18"/>
    </w:rPr>
  </w:style>
  <w:style w:type="paragraph" w:styleId="24">
    <w:name w:val="toc 5"/>
    <w:basedOn w:val="1"/>
    <w:next w:val="1"/>
    <w:unhideWhenUsed/>
    <w:qFormat/>
    <w:locked/>
    <w:uiPriority w:val="39"/>
    <w:pPr>
      <w:ind w:left="1680" w:leftChars="800"/>
    </w:pPr>
    <w:rPr>
      <w:rFonts w:asciiTheme="minorHAnsi" w:hAnsiTheme="minorHAnsi" w:eastAsiaTheme="minorEastAsia" w:cstheme="minorBidi"/>
      <w:szCs w:val="22"/>
    </w:rPr>
  </w:style>
  <w:style w:type="paragraph" w:styleId="25">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26">
    <w:name w:val="Plain Text"/>
    <w:basedOn w:val="1"/>
    <w:link w:val="88"/>
    <w:qFormat/>
    <w:locked/>
    <w:uiPriority w:val="0"/>
    <w:rPr>
      <w:rFonts w:ascii="宋体" w:hAnsi="Courier New" w:cs="Courier New"/>
      <w:szCs w:val="21"/>
    </w:rPr>
  </w:style>
  <w:style w:type="paragraph" w:styleId="27">
    <w:name w:val="toc 8"/>
    <w:basedOn w:val="1"/>
    <w:next w:val="1"/>
    <w:unhideWhenUsed/>
    <w:qFormat/>
    <w:locked/>
    <w:uiPriority w:val="39"/>
    <w:pPr>
      <w:ind w:left="2940" w:leftChars="1400"/>
    </w:pPr>
    <w:rPr>
      <w:rFonts w:asciiTheme="minorHAnsi" w:hAnsiTheme="minorHAnsi" w:eastAsiaTheme="minorEastAsia" w:cstheme="minorBidi"/>
      <w:szCs w:val="22"/>
    </w:rPr>
  </w:style>
  <w:style w:type="paragraph" w:styleId="28">
    <w:name w:val="Date"/>
    <w:basedOn w:val="1"/>
    <w:next w:val="1"/>
    <w:link w:val="89"/>
    <w:qFormat/>
    <w:uiPriority w:val="0"/>
    <w:pPr>
      <w:ind w:left="100" w:leftChars="2500"/>
    </w:pPr>
    <w:rPr>
      <w:kern w:val="0"/>
      <w:sz w:val="24"/>
      <w:szCs w:val="20"/>
    </w:rPr>
  </w:style>
  <w:style w:type="paragraph" w:styleId="29">
    <w:name w:val="Body Text Indent 2"/>
    <w:basedOn w:val="1"/>
    <w:next w:val="1"/>
    <w:link w:val="90"/>
    <w:qFormat/>
    <w:locked/>
    <w:uiPriority w:val="99"/>
    <w:pPr>
      <w:tabs>
        <w:tab w:val="left" w:pos="180"/>
      </w:tabs>
      <w:ind w:firstLine="567"/>
    </w:pPr>
    <w:rPr>
      <w:rFonts w:ascii="宋体" w:hAnsi="宋体"/>
      <w:sz w:val="28"/>
    </w:rPr>
  </w:style>
  <w:style w:type="paragraph" w:styleId="30">
    <w:name w:val="Balloon Text"/>
    <w:basedOn w:val="1"/>
    <w:link w:val="91"/>
    <w:qFormat/>
    <w:uiPriority w:val="0"/>
    <w:rPr>
      <w:kern w:val="0"/>
      <w:sz w:val="18"/>
      <w:szCs w:val="20"/>
    </w:rPr>
  </w:style>
  <w:style w:type="paragraph" w:styleId="31">
    <w:name w:val="footer"/>
    <w:basedOn w:val="1"/>
    <w:link w:val="92"/>
    <w:qFormat/>
    <w:uiPriority w:val="99"/>
    <w:pPr>
      <w:tabs>
        <w:tab w:val="center" w:pos="4153"/>
        <w:tab w:val="right" w:pos="8306"/>
      </w:tabs>
      <w:snapToGrid w:val="0"/>
      <w:jc w:val="left"/>
    </w:pPr>
    <w:rPr>
      <w:kern w:val="0"/>
      <w:sz w:val="18"/>
      <w:szCs w:val="20"/>
    </w:rPr>
  </w:style>
  <w:style w:type="paragraph" w:styleId="32">
    <w:name w:val="header"/>
    <w:basedOn w:val="1"/>
    <w:link w:val="93"/>
    <w:qFormat/>
    <w:uiPriority w:val="0"/>
    <w:pPr>
      <w:pBdr>
        <w:bottom w:val="single" w:color="auto" w:sz="6" w:space="1"/>
      </w:pBdr>
      <w:tabs>
        <w:tab w:val="center" w:pos="4153"/>
        <w:tab w:val="right" w:pos="8306"/>
      </w:tabs>
      <w:snapToGrid w:val="0"/>
      <w:jc w:val="center"/>
    </w:pPr>
    <w:rPr>
      <w:kern w:val="0"/>
      <w:sz w:val="18"/>
      <w:szCs w:val="20"/>
    </w:rPr>
  </w:style>
  <w:style w:type="paragraph" w:styleId="33">
    <w:name w:val="toc 1"/>
    <w:basedOn w:val="1"/>
    <w:next w:val="1"/>
    <w:unhideWhenUsed/>
    <w:qFormat/>
    <w:locked/>
    <w:uiPriority w:val="39"/>
    <w:pPr>
      <w:widowControl/>
      <w:spacing w:after="100" w:line="276" w:lineRule="auto"/>
      <w:jc w:val="left"/>
    </w:pPr>
    <w:rPr>
      <w:rFonts w:ascii="Calibri" w:hAnsi="Calibri"/>
      <w:kern w:val="0"/>
      <w:sz w:val="22"/>
      <w:szCs w:val="22"/>
    </w:rPr>
  </w:style>
  <w:style w:type="paragraph" w:styleId="34">
    <w:name w:val="toc 4"/>
    <w:basedOn w:val="1"/>
    <w:next w:val="1"/>
    <w:unhideWhenUsed/>
    <w:qFormat/>
    <w:locked/>
    <w:uiPriority w:val="39"/>
    <w:pPr>
      <w:ind w:left="1260" w:leftChars="600"/>
    </w:pPr>
    <w:rPr>
      <w:rFonts w:asciiTheme="minorHAnsi" w:hAnsiTheme="minorHAnsi" w:eastAsiaTheme="minorEastAsia" w:cstheme="minorBidi"/>
      <w:szCs w:val="22"/>
    </w:rPr>
  </w:style>
  <w:style w:type="paragraph" w:styleId="35">
    <w:name w:val="index heading"/>
    <w:basedOn w:val="1"/>
    <w:next w:val="36"/>
    <w:qFormat/>
    <w:locked/>
    <w:uiPriority w:val="99"/>
    <w:rPr>
      <w:szCs w:val="20"/>
    </w:rPr>
  </w:style>
  <w:style w:type="paragraph" w:styleId="36">
    <w:name w:val="index 1"/>
    <w:basedOn w:val="1"/>
    <w:next w:val="1"/>
    <w:qFormat/>
    <w:locked/>
    <w:uiPriority w:val="0"/>
    <w:pPr>
      <w:tabs>
        <w:tab w:val="left" w:pos="5580"/>
      </w:tabs>
      <w:spacing w:line="280" w:lineRule="exact"/>
    </w:pPr>
    <w:rPr>
      <w:rFonts w:ascii="宋体" w:hAnsi="宋体"/>
      <w:spacing w:val="10"/>
    </w:rPr>
  </w:style>
  <w:style w:type="paragraph" w:styleId="37">
    <w:name w:val="Subtitle"/>
    <w:basedOn w:val="1"/>
    <w:next w:val="1"/>
    <w:link w:val="94"/>
    <w:qFormat/>
    <w:locked/>
    <w:uiPriority w:val="0"/>
    <w:pPr>
      <w:spacing w:before="240" w:after="60" w:line="312" w:lineRule="auto"/>
      <w:jc w:val="center"/>
      <w:outlineLvl w:val="1"/>
    </w:pPr>
    <w:rPr>
      <w:rFonts w:ascii="Cambria" w:hAnsi="Cambria"/>
      <w:b/>
      <w:bCs/>
      <w:kern w:val="28"/>
      <w:sz w:val="32"/>
      <w:szCs w:val="32"/>
    </w:rPr>
  </w:style>
  <w:style w:type="paragraph" w:styleId="38">
    <w:name w:val="List"/>
    <w:basedOn w:val="1"/>
    <w:next w:val="20"/>
    <w:qFormat/>
    <w:locked/>
    <w:uiPriority w:val="0"/>
    <w:pPr>
      <w:ind w:left="200" w:hanging="200" w:hangingChars="200"/>
    </w:pPr>
    <w:rPr>
      <w:rFonts w:ascii="Calibri" w:hAnsi="Calibri"/>
    </w:rPr>
  </w:style>
  <w:style w:type="paragraph" w:styleId="39">
    <w:name w:val="footnote text"/>
    <w:basedOn w:val="1"/>
    <w:link w:val="95"/>
    <w:qFormat/>
    <w:locked/>
    <w:uiPriority w:val="0"/>
    <w:pPr>
      <w:snapToGrid w:val="0"/>
      <w:jc w:val="left"/>
    </w:pPr>
    <w:rPr>
      <w:sz w:val="18"/>
      <w:szCs w:val="18"/>
    </w:rPr>
  </w:style>
  <w:style w:type="paragraph" w:styleId="40">
    <w:name w:val="toc 6"/>
    <w:basedOn w:val="1"/>
    <w:next w:val="1"/>
    <w:unhideWhenUsed/>
    <w:qFormat/>
    <w:locked/>
    <w:uiPriority w:val="39"/>
    <w:pPr>
      <w:ind w:left="2100" w:leftChars="1000"/>
    </w:pPr>
    <w:rPr>
      <w:rFonts w:asciiTheme="minorHAnsi" w:hAnsiTheme="minorHAnsi" w:eastAsiaTheme="minorEastAsia" w:cstheme="minorBidi"/>
      <w:szCs w:val="22"/>
    </w:rPr>
  </w:style>
  <w:style w:type="paragraph" w:styleId="41">
    <w:name w:val="Body Text Indent 3"/>
    <w:basedOn w:val="1"/>
    <w:link w:val="96"/>
    <w:qFormat/>
    <w:locked/>
    <w:uiPriority w:val="0"/>
    <w:pPr>
      <w:spacing w:after="120"/>
      <w:ind w:left="420" w:leftChars="200"/>
    </w:pPr>
    <w:rPr>
      <w:rFonts w:ascii="宋体"/>
      <w:sz w:val="16"/>
      <w:szCs w:val="16"/>
    </w:rPr>
  </w:style>
  <w:style w:type="paragraph" w:styleId="42">
    <w:name w:val="table of figures"/>
    <w:basedOn w:val="1"/>
    <w:next w:val="1"/>
    <w:qFormat/>
    <w:locked/>
    <w:uiPriority w:val="0"/>
    <w:pPr>
      <w:ind w:left="1920" w:leftChars="200"/>
      <w:jc w:val="center"/>
    </w:pPr>
    <w:rPr>
      <w:rFonts w:ascii="Calibri" w:hAnsi="Calibri"/>
      <w:b/>
      <w:kern w:val="0"/>
      <w:szCs w:val="20"/>
    </w:rPr>
  </w:style>
  <w:style w:type="paragraph" w:styleId="43">
    <w:name w:val="toc 2"/>
    <w:basedOn w:val="1"/>
    <w:next w:val="1"/>
    <w:unhideWhenUsed/>
    <w:qFormat/>
    <w:locked/>
    <w:uiPriority w:val="0"/>
    <w:pPr>
      <w:widowControl/>
      <w:spacing w:after="100" w:line="276" w:lineRule="auto"/>
      <w:ind w:left="220"/>
      <w:jc w:val="left"/>
    </w:pPr>
    <w:rPr>
      <w:rFonts w:ascii="Calibri" w:hAnsi="Calibri"/>
      <w:kern w:val="0"/>
      <w:sz w:val="22"/>
      <w:szCs w:val="22"/>
    </w:rPr>
  </w:style>
  <w:style w:type="paragraph" w:styleId="44">
    <w:name w:val="toc 9"/>
    <w:basedOn w:val="1"/>
    <w:next w:val="1"/>
    <w:unhideWhenUsed/>
    <w:qFormat/>
    <w:locked/>
    <w:uiPriority w:val="39"/>
    <w:pPr>
      <w:ind w:left="3360" w:leftChars="1600"/>
    </w:pPr>
    <w:rPr>
      <w:rFonts w:asciiTheme="minorHAnsi" w:hAnsiTheme="minorHAnsi" w:eastAsiaTheme="minorEastAsia" w:cstheme="minorBidi"/>
      <w:szCs w:val="22"/>
    </w:rPr>
  </w:style>
  <w:style w:type="paragraph" w:styleId="45">
    <w:name w:val="Body Text 2"/>
    <w:basedOn w:val="1"/>
    <w:link w:val="97"/>
    <w:qFormat/>
    <w:locked/>
    <w:uiPriority w:val="0"/>
    <w:rPr>
      <w:sz w:val="24"/>
    </w:rPr>
  </w:style>
  <w:style w:type="paragraph" w:styleId="46">
    <w:name w:val="HTML Preformatted"/>
    <w:basedOn w:val="1"/>
    <w:link w:val="98"/>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7">
    <w:name w:val="Normal (Web)"/>
    <w:basedOn w:val="1"/>
    <w:link w:val="99"/>
    <w:qFormat/>
    <w:uiPriority w:val="0"/>
    <w:pPr>
      <w:widowControl/>
      <w:spacing w:before="100" w:beforeAutospacing="1" w:after="100" w:afterAutospacing="1"/>
      <w:jc w:val="left"/>
    </w:pPr>
    <w:rPr>
      <w:rFonts w:ascii="宋体" w:hAnsi="宋体"/>
      <w:kern w:val="0"/>
      <w:sz w:val="24"/>
      <w:szCs w:val="20"/>
    </w:rPr>
  </w:style>
  <w:style w:type="paragraph" w:styleId="48">
    <w:name w:val="Title"/>
    <w:basedOn w:val="1"/>
    <w:next w:val="1"/>
    <w:link w:val="100"/>
    <w:qFormat/>
    <w:locked/>
    <w:uiPriority w:val="0"/>
    <w:pPr>
      <w:spacing w:before="240" w:after="60"/>
      <w:jc w:val="center"/>
      <w:outlineLvl w:val="0"/>
    </w:pPr>
    <w:rPr>
      <w:rFonts w:ascii="Cambria" w:hAnsi="Cambria"/>
      <w:b/>
      <w:bCs/>
      <w:sz w:val="32"/>
      <w:szCs w:val="32"/>
    </w:rPr>
  </w:style>
  <w:style w:type="paragraph" w:styleId="49">
    <w:name w:val="annotation subject"/>
    <w:basedOn w:val="14"/>
    <w:next w:val="14"/>
    <w:link w:val="101"/>
    <w:qFormat/>
    <w:uiPriority w:val="0"/>
    <w:rPr>
      <w:b/>
    </w:rPr>
  </w:style>
  <w:style w:type="paragraph" w:styleId="50">
    <w:name w:val="Body Text First Indent 2"/>
    <w:basedOn w:val="18"/>
    <w:next w:val="1"/>
    <w:link w:val="103"/>
    <w:qFormat/>
    <w:locked/>
    <w:uiPriority w:val="0"/>
    <w:pPr>
      <w:ind w:firstLine="210" w:firstLineChars="200"/>
    </w:pPr>
    <w:rPr>
      <w:kern w:val="2"/>
      <w:sz w:val="21"/>
      <w:szCs w:val="24"/>
    </w:rPr>
  </w:style>
  <w:style w:type="table" w:styleId="52">
    <w:name w:val="Table Grid"/>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locked/>
    <w:uiPriority w:val="0"/>
    <w:rPr>
      <w:b/>
    </w:rPr>
  </w:style>
  <w:style w:type="character" w:styleId="55">
    <w:name w:val="page number"/>
    <w:qFormat/>
    <w:locked/>
    <w:uiPriority w:val="0"/>
  </w:style>
  <w:style w:type="character" w:styleId="56">
    <w:name w:val="FollowedHyperlink"/>
    <w:basedOn w:val="53"/>
    <w:qFormat/>
    <w:locked/>
    <w:uiPriority w:val="0"/>
    <w:rPr>
      <w:color w:val="444444"/>
      <w:szCs w:val="20"/>
      <w:u w:val="none"/>
    </w:rPr>
  </w:style>
  <w:style w:type="character" w:styleId="57">
    <w:name w:val="Emphasis"/>
    <w:qFormat/>
    <w:locked/>
    <w:uiPriority w:val="0"/>
    <w:rPr>
      <w:i/>
      <w:iCs/>
    </w:rPr>
  </w:style>
  <w:style w:type="character" w:styleId="58">
    <w:name w:val="Hyperlink"/>
    <w:unhideWhenUsed/>
    <w:qFormat/>
    <w:locked/>
    <w:uiPriority w:val="99"/>
    <w:rPr>
      <w:color w:val="0000FF"/>
      <w:u w:val="single"/>
    </w:rPr>
  </w:style>
  <w:style w:type="character" w:styleId="59">
    <w:name w:val="annotation reference"/>
    <w:qFormat/>
    <w:uiPriority w:val="0"/>
    <w:rPr>
      <w:sz w:val="21"/>
    </w:rPr>
  </w:style>
  <w:style w:type="character" w:styleId="60">
    <w:name w:val="HTML Cite"/>
    <w:basedOn w:val="53"/>
    <w:qFormat/>
    <w:locked/>
    <w:uiPriority w:val="0"/>
    <w:rPr>
      <w:szCs w:val="20"/>
    </w:rPr>
  </w:style>
  <w:style w:type="character" w:customStyle="1" w:styleId="61">
    <w:name w:val="标题 1 Char"/>
    <w:link w:val="2"/>
    <w:qFormat/>
    <w:uiPriority w:val="0"/>
    <w:rPr>
      <w:rFonts w:eastAsia="黑体"/>
      <w:b/>
      <w:bCs/>
      <w:color w:val="000000"/>
      <w:kern w:val="44"/>
      <w:sz w:val="30"/>
      <w:szCs w:val="30"/>
    </w:rPr>
  </w:style>
  <w:style w:type="character" w:customStyle="1" w:styleId="62">
    <w:name w:val="标题 4 Char"/>
    <w:link w:val="5"/>
    <w:qFormat/>
    <w:uiPriority w:val="0"/>
    <w:rPr>
      <w:kern w:val="2"/>
      <w:sz w:val="28"/>
      <w:szCs w:val="24"/>
    </w:rPr>
  </w:style>
  <w:style w:type="paragraph" w:customStyle="1" w:styleId="63">
    <w:name w:val="正文报告书"/>
    <w:next w:val="1"/>
    <w:qFormat/>
    <w:uiPriority w:val="0"/>
    <w:pPr>
      <w:spacing w:before="20" w:line="360" w:lineRule="auto"/>
      <w:ind w:firstLine="643" w:firstLineChars="200"/>
    </w:pPr>
    <w:rPr>
      <w:rFonts w:ascii="Times New Roman" w:hAnsi="Times New Roman" w:eastAsia="宋体" w:cs="Times New Roman"/>
      <w:kern w:val="2"/>
      <w:sz w:val="24"/>
      <w:szCs w:val="24"/>
      <w:lang w:val="en-US" w:eastAsia="zh-CN" w:bidi="ar-SA"/>
    </w:rPr>
  </w:style>
  <w:style w:type="paragraph" w:customStyle="1" w:styleId="64">
    <w:name w:val="正文内容"/>
    <w:basedOn w:val="1"/>
    <w:qFormat/>
    <w:uiPriority w:val="0"/>
    <w:pPr>
      <w:spacing w:line="360" w:lineRule="auto"/>
      <w:ind w:firstLine="200" w:firstLineChars="200"/>
    </w:pPr>
    <w:rPr>
      <w:rFonts w:ascii="Calibri" w:hAnsi="Calibri"/>
      <w:kern w:val="0"/>
      <w:sz w:val="24"/>
      <w:szCs w:val="21"/>
    </w:rPr>
  </w:style>
  <w:style w:type="paragraph" w:customStyle="1" w:styleId="65">
    <w:name w:val="表标题"/>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66">
    <w:name w:val="表格标题"/>
    <w:basedOn w:val="17"/>
    <w:next w:val="67"/>
    <w:link w:val="137"/>
    <w:qFormat/>
    <w:uiPriority w:val="0"/>
    <w:pPr>
      <w:spacing w:line="520" w:lineRule="exact"/>
      <w:jc w:val="center"/>
    </w:pPr>
    <w:rPr>
      <w:b/>
      <w:sz w:val="24"/>
    </w:rPr>
  </w:style>
  <w:style w:type="paragraph" w:customStyle="1" w:styleId="67">
    <w:name w:val="表格报告书"/>
    <w:next w:val="63"/>
    <w:qFormat/>
    <w:uiPriority w:val="0"/>
    <w:pPr>
      <w:spacing w:before="20" w:line="240" w:lineRule="auto"/>
      <w:ind w:firstLine="0" w:firstLineChars="0"/>
      <w:jc w:val="center"/>
    </w:pPr>
    <w:rPr>
      <w:rFonts w:ascii="Times New Roman" w:hAnsi="Times New Roman" w:eastAsia="宋体" w:cs="Times New Roman"/>
      <w:kern w:val="2"/>
      <w:sz w:val="21"/>
      <w:szCs w:val="24"/>
      <w:lang w:val="en-US" w:eastAsia="zh-CN" w:bidi="ar-SA"/>
    </w:rPr>
  </w:style>
  <w:style w:type="character" w:customStyle="1" w:styleId="68">
    <w:name w:val="表格标题 Char"/>
    <w:qFormat/>
    <w:locked/>
    <w:uiPriority w:val="0"/>
    <w:rPr>
      <w:rFonts w:eastAsia="黑体"/>
      <w:sz w:val="24"/>
    </w:rPr>
  </w:style>
  <w:style w:type="paragraph" w:customStyle="1" w:styleId="69">
    <w:name w:val="表格1"/>
    <w:basedOn w:val="1"/>
    <w:qFormat/>
    <w:uiPriority w:val="0"/>
    <w:pPr>
      <w:adjustRightInd w:val="0"/>
      <w:jc w:val="center"/>
      <w:textAlignment w:val="baseline"/>
    </w:pPr>
  </w:style>
  <w:style w:type="character" w:customStyle="1" w:styleId="70">
    <w:name w:val="标题 3 Char"/>
    <w:link w:val="4"/>
    <w:qFormat/>
    <w:uiPriority w:val="0"/>
    <w:rPr>
      <w:b/>
      <w:bCs/>
      <w:kern w:val="2"/>
      <w:sz w:val="32"/>
      <w:szCs w:val="32"/>
    </w:rPr>
  </w:style>
  <w:style w:type="paragraph" w:customStyle="1" w:styleId="71">
    <w:name w:val="Default"/>
    <w:basedOn w:val="72"/>
    <w:next w:val="38"/>
    <w:qFormat/>
    <w:uiPriority w:val="0"/>
    <w:pPr>
      <w:autoSpaceDE w:val="0"/>
      <w:autoSpaceDN w:val="0"/>
      <w:adjustRightInd w:val="0"/>
    </w:pPr>
    <w:rPr>
      <w:rFonts w:cs="宋体"/>
      <w:color w:val="000000"/>
      <w:sz w:val="24"/>
    </w:rPr>
  </w:style>
  <w:style w:type="paragraph" w:customStyle="1" w:styleId="72">
    <w:name w:val="！正文 Alt+0"/>
    <w:basedOn w:val="1"/>
    <w:qFormat/>
    <w:uiPriority w:val="0"/>
    <w:pPr>
      <w:ind w:firstLine="200"/>
    </w:pPr>
    <w:rPr>
      <w:sz w:val="28"/>
      <w:szCs w:val="28"/>
    </w:rPr>
  </w:style>
  <w:style w:type="paragraph" w:customStyle="1" w:styleId="73">
    <w:name w:val="纯文本1"/>
    <w:basedOn w:val="1"/>
    <w:qFormat/>
    <w:uiPriority w:val="0"/>
    <w:rPr>
      <w:rFonts w:ascii="宋体" w:hAnsi="Courier New"/>
    </w:rPr>
  </w:style>
  <w:style w:type="paragraph" w:customStyle="1" w:styleId="74">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75">
    <w:name w:val="环评正文"/>
    <w:basedOn w:val="1"/>
    <w:next w:val="1"/>
    <w:qFormat/>
    <w:uiPriority w:val="0"/>
    <w:pPr>
      <w:spacing w:beforeLines="30" w:after="100" w:afterAutospacing="1"/>
      <w:ind w:firstLine="480" w:firstLineChars="200"/>
    </w:pPr>
    <w:rPr>
      <w:rFonts w:ascii="Tahoma" w:hAnsi="Tahoma" w:cs="Tahoma"/>
      <w:kern w:val="0"/>
      <w:sz w:val="24"/>
    </w:rPr>
  </w:style>
  <w:style w:type="paragraph" w:customStyle="1" w:styleId="76">
    <w:name w:val="文本"/>
    <w:basedOn w:val="1"/>
    <w:link w:val="77"/>
    <w:qFormat/>
    <w:uiPriority w:val="0"/>
    <w:pPr>
      <w:spacing w:line="360" w:lineRule="auto"/>
      <w:ind w:firstLine="200" w:firstLineChars="200"/>
    </w:pPr>
    <w:rPr>
      <w:rFonts w:ascii="宋体" w:hAnsi="宋体"/>
      <w:sz w:val="28"/>
      <w:szCs w:val="28"/>
    </w:rPr>
  </w:style>
  <w:style w:type="character" w:customStyle="1" w:styleId="77">
    <w:name w:val="文本 Char"/>
    <w:link w:val="76"/>
    <w:qFormat/>
    <w:uiPriority w:val="0"/>
    <w:rPr>
      <w:rFonts w:ascii="宋体" w:hAnsi="宋体"/>
      <w:kern w:val="2"/>
      <w:sz w:val="28"/>
      <w:szCs w:val="28"/>
    </w:rPr>
  </w:style>
  <w:style w:type="character" w:customStyle="1" w:styleId="78">
    <w:name w:val="标题 2 Char"/>
    <w:link w:val="3"/>
    <w:qFormat/>
    <w:uiPriority w:val="0"/>
    <w:rPr>
      <w:rFonts w:ascii="Cambria" w:hAnsi="Cambria" w:eastAsia="宋体" w:cs="Times New Roman"/>
      <w:b/>
      <w:bCs/>
      <w:kern w:val="2"/>
      <w:sz w:val="32"/>
      <w:szCs w:val="32"/>
    </w:rPr>
  </w:style>
  <w:style w:type="character" w:customStyle="1" w:styleId="79">
    <w:name w:val="标题 5 Char"/>
    <w:link w:val="6"/>
    <w:qFormat/>
    <w:uiPriority w:val="0"/>
    <w:rPr>
      <w:b/>
      <w:bCs/>
      <w:kern w:val="2"/>
      <w:sz w:val="28"/>
      <w:szCs w:val="28"/>
    </w:rPr>
  </w:style>
  <w:style w:type="character" w:customStyle="1" w:styleId="80">
    <w:name w:val="标题 7 Char"/>
    <w:link w:val="8"/>
    <w:qFormat/>
    <w:uiPriority w:val="0"/>
    <w:rPr>
      <w:color w:val="000000"/>
      <w:kern w:val="2"/>
      <w:sz w:val="28"/>
      <w:szCs w:val="24"/>
    </w:rPr>
  </w:style>
  <w:style w:type="character" w:customStyle="1" w:styleId="81">
    <w:name w:val="正文缩进 Char"/>
    <w:link w:val="11"/>
    <w:qFormat/>
    <w:uiPriority w:val="0"/>
    <w:rPr>
      <w:rFonts w:eastAsia="华文中宋"/>
      <w:w w:val="90"/>
      <w:sz w:val="28"/>
    </w:rPr>
  </w:style>
  <w:style w:type="character" w:customStyle="1" w:styleId="82">
    <w:name w:val="题注 Char"/>
    <w:link w:val="12"/>
    <w:qFormat/>
    <w:locked/>
    <w:uiPriority w:val="0"/>
    <w:rPr>
      <w:rFonts w:ascii="黑体" w:hAnsi="黑体" w:eastAsia="黑体"/>
      <w:kern w:val="2"/>
      <w:sz w:val="24"/>
    </w:rPr>
  </w:style>
  <w:style w:type="character" w:customStyle="1" w:styleId="83">
    <w:name w:val="文档结构图 Char"/>
    <w:link w:val="13"/>
    <w:qFormat/>
    <w:uiPriority w:val="0"/>
    <w:rPr>
      <w:kern w:val="2"/>
      <w:sz w:val="21"/>
      <w:szCs w:val="24"/>
      <w:shd w:val="clear" w:color="auto" w:fill="000080"/>
    </w:rPr>
  </w:style>
  <w:style w:type="character" w:customStyle="1" w:styleId="84">
    <w:name w:val="批注文字 Char"/>
    <w:link w:val="14"/>
    <w:qFormat/>
    <w:locked/>
    <w:uiPriority w:val="0"/>
    <w:rPr>
      <w:rFonts w:ascii="Times New Roman" w:hAnsi="Times New Roman" w:eastAsia="宋体"/>
      <w:sz w:val="24"/>
    </w:rPr>
  </w:style>
  <w:style w:type="character" w:customStyle="1" w:styleId="85">
    <w:name w:val="正文文本 3 Char"/>
    <w:link w:val="15"/>
    <w:qFormat/>
    <w:uiPriority w:val="0"/>
    <w:rPr>
      <w:rFonts w:eastAsia="方正书宋简体"/>
      <w:w w:val="90"/>
      <w:sz w:val="28"/>
    </w:rPr>
  </w:style>
  <w:style w:type="character" w:customStyle="1" w:styleId="86">
    <w:name w:val="正文文本 Char"/>
    <w:link w:val="16"/>
    <w:qFormat/>
    <w:locked/>
    <w:uiPriority w:val="99"/>
    <w:rPr>
      <w:sz w:val="18"/>
    </w:rPr>
  </w:style>
  <w:style w:type="character" w:customStyle="1" w:styleId="87">
    <w:name w:val="正文文本缩进 Char"/>
    <w:link w:val="18"/>
    <w:qFormat/>
    <w:locked/>
    <w:uiPriority w:val="0"/>
    <w:rPr>
      <w:rFonts w:ascii="Times New Roman" w:hAnsi="Times New Roman" w:eastAsia="宋体"/>
      <w:sz w:val="24"/>
    </w:rPr>
  </w:style>
  <w:style w:type="character" w:customStyle="1" w:styleId="88">
    <w:name w:val="纯文本 Char"/>
    <w:link w:val="26"/>
    <w:qFormat/>
    <w:uiPriority w:val="0"/>
    <w:rPr>
      <w:rFonts w:ascii="宋体" w:hAnsi="Courier New" w:cs="Courier New"/>
      <w:kern w:val="2"/>
      <w:sz w:val="21"/>
      <w:szCs w:val="21"/>
    </w:rPr>
  </w:style>
  <w:style w:type="character" w:customStyle="1" w:styleId="89">
    <w:name w:val="日期 Char"/>
    <w:link w:val="28"/>
    <w:qFormat/>
    <w:locked/>
    <w:uiPriority w:val="0"/>
    <w:rPr>
      <w:rFonts w:ascii="Times New Roman" w:hAnsi="Times New Roman" w:eastAsia="宋体"/>
      <w:sz w:val="24"/>
    </w:rPr>
  </w:style>
  <w:style w:type="character" w:customStyle="1" w:styleId="90">
    <w:name w:val="正文文本缩进 2 Char"/>
    <w:link w:val="29"/>
    <w:qFormat/>
    <w:uiPriority w:val="0"/>
    <w:rPr>
      <w:rFonts w:ascii="宋体" w:hAnsi="宋体"/>
      <w:kern w:val="2"/>
      <w:sz w:val="28"/>
      <w:szCs w:val="24"/>
    </w:rPr>
  </w:style>
  <w:style w:type="character" w:customStyle="1" w:styleId="91">
    <w:name w:val="批注框文本 Char"/>
    <w:link w:val="30"/>
    <w:qFormat/>
    <w:locked/>
    <w:uiPriority w:val="0"/>
    <w:rPr>
      <w:rFonts w:ascii="Times New Roman" w:hAnsi="Times New Roman" w:eastAsia="宋体"/>
      <w:sz w:val="18"/>
    </w:rPr>
  </w:style>
  <w:style w:type="character" w:customStyle="1" w:styleId="92">
    <w:name w:val="页脚 Char"/>
    <w:link w:val="31"/>
    <w:qFormat/>
    <w:locked/>
    <w:uiPriority w:val="99"/>
    <w:rPr>
      <w:sz w:val="18"/>
    </w:rPr>
  </w:style>
  <w:style w:type="character" w:customStyle="1" w:styleId="93">
    <w:name w:val="页眉 Char"/>
    <w:link w:val="32"/>
    <w:qFormat/>
    <w:locked/>
    <w:uiPriority w:val="0"/>
    <w:rPr>
      <w:sz w:val="18"/>
    </w:rPr>
  </w:style>
  <w:style w:type="character" w:customStyle="1" w:styleId="94">
    <w:name w:val="副标题 Char"/>
    <w:link w:val="37"/>
    <w:qFormat/>
    <w:uiPriority w:val="0"/>
    <w:rPr>
      <w:rFonts w:ascii="Cambria" w:hAnsi="Cambria" w:cs="Times New Roman"/>
      <w:b/>
      <w:bCs/>
      <w:kern w:val="28"/>
      <w:sz w:val="32"/>
      <w:szCs w:val="32"/>
    </w:rPr>
  </w:style>
  <w:style w:type="character" w:customStyle="1" w:styleId="95">
    <w:name w:val="脚注文本 Char"/>
    <w:link w:val="39"/>
    <w:qFormat/>
    <w:uiPriority w:val="0"/>
    <w:rPr>
      <w:kern w:val="2"/>
      <w:sz w:val="18"/>
      <w:szCs w:val="18"/>
    </w:rPr>
  </w:style>
  <w:style w:type="character" w:customStyle="1" w:styleId="96">
    <w:name w:val="正文文本缩进 3 Char"/>
    <w:link w:val="41"/>
    <w:qFormat/>
    <w:uiPriority w:val="0"/>
    <w:rPr>
      <w:rFonts w:ascii="宋体"/>
      <w:kern w:val="2"/>
      <w:sz w:val="16"/>
      <w:szCs w:val="16"/>
    </w:rPr>
  </w:style>
  <w:style w:type="character" w:customStyle="1" w:styleId="97">
    <w:name w:val="正文文本 2 Char"/>
    <w:link w:val="45"/>
    <w:qFormat/>
    <w:uiPriority w:val="0"/>
    <w:rPr>
      <w:kern w:val="2"/>
      <w:sz w:val="24"/>
      <w:szCs w:val="24"/>
    </w:rPr>
  </w:style>
  <w:style w:type="character" w:customStyle="1" w:styleId="98">
    <w:name w:val="HTML 预设格式 Char"/>
    <w:link w:val="46"/>
    <w:qFormat/>
    <w:uiPriority w:val="99"/>
    <w:rPr>
      <w:rFonts w:ascii="宋体" w:hAnsi="宋体" w:cs="宋体"/>
      <w:sz w:val="24"/>
      <w:szCs w:val="24"/>
    </w:rPr>
  </w:style>
  <w:style w:type="character" w:customStyle="1" w:styleId="99">
    <w:name w:val="普通(网站) Char"/>
    <w:link w:val="47"/>
    <w:qFormat/>
    <w:locked/>
    <w:uiPriority w:val="99"/>
    <w:rPr>
      <w:rFonts w:ascii="宋体" w:hAnsi="宋体" w:eastAsia="宋体"/>
      <w:sz w:val="24"/>
    </w:rPr>
  </w:style>
  <w:style w:type="character" w:customStyle="1" w:styleId="100">
    <w:name w:val="标题 Char"/>
    <w:link w:val="48"/>
    <w:qFormat/>
    <w:uiPriority w:val="0"/>
    <w:rPr>
      <w:rFonts w:ascii="Cambria" w:hAnsi="Cambria" w:cs="Times New Roman"/>
      <w:b/>
      <w:bCs/>
      <w:kern w:val="2"/>
      <w:sz w:val="32"/>
      <w:szCs w:val="32"/>
    </w:rPr>
  </w:style>
  <w:style w:type="character" w:customStyle="1" w:styleId="101">
    <w:name w:val="批注主题 Char"/>
    <w:link w:val="49"/>
    <w:qFormat/>
    <w:locked/>
    <w:uiPriority w:val="0"/>
    <w:rPr>
      <w:rFonts w:ascii="Times New Roman" w:hAnsi="Times New Roman" w:eastAsia="宋体"/>
      <w:b/>
      <w:kern w:val="2"/>
      <w:sz w:val="24"/>
    </w:rPr>
  </w:style>
  <w:style w:type="character" w:customStyle="1" w:styleId="102">
    <w:name w:val="正文首行缩进 Char"/>
    <w:link w:val="17"/>
    <w:qFormat/>
    <w:uiPriority w:val="0"/>
    <w:rPr>
      <w:kern w:val="2"/>
      <w:sz w:val="21"/>
      <w:szCs w:val="24"/>
    </w:rPr>
  </w:style>
  <w:style w:type="character" w:customStyle="1" w:styleId="103">
    <w:name w:val="正文首行缩进 2 Char"/>
    <w:link w:val="50"/>
    <w:qFormat/>
    <w:uiPriority w:val="0"/>
    <w:rPr>
      <w:rFonts w:ascii="Times New Roman" w:hAnsi="Times New Roman" w:eastAsia="宋体"/>
      <w:kern w:val="2"/>
      <w:sz w:val="21"/>
      <w:szCs w:val="24"/>
    </w:rPr>
  </w:style>
  <w:style w:type="paragraph" w:customStyle="1" w:styleId="104">
    <w:name w:val="表格文字"/>
    <w:basedOn w:val="17"/>
    <w:next w:val="1"/>
    <w:link w:val="105"/>
    <w:qFormat/>
    <w:uiPriority w:val="0"/>
    <w:pPr>
      <w:adjustRightInd w:val="0"/>
      <w:snapToGrid w:val="0"/>
      <w:spacing w:before="20" w:beforeLines="20" w:after="20" w:afterLines="20"/>
      <w:jc w:val="center"/>
    </w:pPr>
    <w:rPr>
      <w:kern w:val="0"/>
      <w:sz w:val="20"/>
    </w:rPr>
  </w:style>
  <w:style w:type="character" w:customStyle="1" w:styleId="105">
    <w:name w:val="表格文字 Char"/>
    <w:link w:val="104"/>
    <w:qFormat/>
    <w:uiPriority w:val="0"/>
    <w:rPr>
      <w:szCs w:val="24"/>
    </w:rPr>
  </w:style>
  <w:style w:type="character" w:customStyle="1" w:styleId="106">
    <w:name w:val="S表格文字 Char"/>
    <w:link w:val="107"/>
    <w:qFormat/>
    <w:locked/>
    <w:uiPriority w:val="0"/>
    <w:rPr>
      <w:kern w:val="2"/>
      <w:sz w:val="21"/>
    </w:rPr>
  </w:style>
  <w:style w:type="paragraph" w:customStyle="1" w:styleId="107">
    <w:name w:val="S表格文字"/>
    <w:basedOn w:val="17"/>
    <w:link w:val="106"/>
    <w:qFormat/>
    <w:uiPriority w:val="0"/>
    <w:pPr>
      <w:adjustRightInd w:val="0"/>
      <w:snapToGrid w:val="0"/>
      <w:spacing w:before="20" w:after="20"/>
      <w:ind w:firstLine="0" w:firstLineChars="0"/>
      <w:jc w:val="center"/>
    </w:pPr>
    <w:rPr>
      <w:szCs w:val="20"/>
    </w:rPr>
  </w:style>
  <w:style w:type="character" w:customStyle="1" w:styleId="108">
    <w:name w:val="表格 Char1"/>
    <w:unhideWhenUsed/>
    <w:qFormat/>
    <w:uiPriority w:val="0"/>
    <w:rPr>
      <w:rFonts w:hint="default" w:ascii="Times New Roman" w:eastAsia="楷体_GB2312"/>
      <w:bCs/>
      <w:spacing w:val="34"/>
      <w:kern w:val="2"/>
      <w:sz w:val="24"/>
      <w:szCs w:val="32"/>
      <w:lang w:val="en-US" w:eastAsia="zh-CN" w:bidi="ar-SA"/>
    </w:rPr>
  </w:style>
  <w:style w:type="character" w:customStyle="1" w:styleId="109">
    <w:name w:val="wz1"/>
    <w:qFormat/>
    <w:uiPriority w:val="0"/>
  </w:style>
  <w:style w:type="character" w:customStyle="1" w:styleId="110">
    <w:name w:val="apple-converted-space"/>
    <w:unhideWhenUsed/>
    <w:qFormat/>
    <w:uiPriority w:val="0"/>
    <w:rPr>
      <w:rFonts w:hint="default" w:ascii="Times New Roman" w:eastAsia="楷体_GB2312"/>
      <w:bCs/>
      <w:spacing w:val="34"/>
      <w:kern w:val="2"/>
      <w:sz w:val="28"/>
      <w:szCs w:val="32"/>
      <w:lang w:val="en-US" w:eastAsia="zh-CN" w:bidi="ar-SA"/>
    </w:rPr>
  </w:style>
  <w:style w:type="character" w:customStyle="1" w:styleId="111">
    <w:name w:val="正文001 Char"/>
    <w:link w:val="112"/>
    <w:qFormat/>
    <w:uiPriority w:val="0"/>
    <w:rPr>
      <w:kern w:val="2"/>
      <w:sz w:val="24"/>
      <w:szCs w:val="24"/>
    </w:rPr>
  </w:style>
  <w:style w:type="paragraph" w:customStyle="1" w:styleId="112">
    <w:name w:val="正文001"/>
    <w:basedOn w:val="1"/>
    <w:link w:val="111"/>
    <w:qFormat/>
    <w:uiPriority w:val="0"/>
    <w:pPr>
      <w:adjustRightInd w:val="0"/>
      <w:snapToGrid w:val="0"/>
      <w:spacing w:line="440" w:lineRule="exact"/>
      <w:ind w:firstLine="482"/>
    </w:pPr>
    <w:rPr>
      <w:sz w:val="24"/>
    </w:rPr>
  </w:style>
  <w:style w:type="character" w:customStyle="1" w:styleId="113">
    <w:name w:val="批注文字 Char2"/>
    <w:qFormat/>
    <w:uiPriority w:val="0"/>
    <w:rPr>
      <w:rFonts w:ascii="Times New Roman" w:hAnsi="Times New Roman" w:eastAsia="宋体" w:cs="Times New Roman"/>
      <w:kern w:val="2"/>
      <w:sz w:val="21"/>
      <w:szCs w:val="24"/>
    </w:rPr>
  </w:style>
  <w:style w:type="character" w:customStyle="1" w:styleId="114">
    <w:name w:val="表格 Char"/>
    <w:link w:val="115"/>
    <w:qFormat/>
    <w:locked/>
    <w:uiPriority w:val="99"/>
    <w:rPr>
      <w:rFonts w:ascii="宋体"/>
      <w:sz w:val="21"/>
    </w:rPr>
  </w:style>
  <w:style w:type="paragraph" w:customStyle="1" w:styleId="115">
    <w:name w:val="表格"/>
    <w:basedOn w:val="38"/>
    <w:next w:val="1"/>
    <w:link w:val="114"/>
    <w:qFormat/>
    <w:uiPriority w:val="0"/>
    <w:pPr>
      <w:adjustRightInd w:val="0"/>
      <w:snapToGrid w:val="0"/>
      <w:spacing w:beforeLines="10" w:afterLines="10" w:line="259" w:lineRule="auto"/>
      <w:jc w:val="center"/>
    </w:pPr>
    <w:rPr>
      <w:rFonts w:ascii="宋体"/>
      <w:kern w:val="0"/>
      <w:szCs w:val="20"/>
    </w:rPr>
  </w:style>
  <w:style w:type="character" w:customStyle="1" w:styleId="116">
    <w:name w:val="S表名图名 Char"/>
    <w:link w:val="117"/>
    <w:qFormat/>
    <w:uiPriority w:val="1"/>
    <w:rPr>
      <w:b/>
      <w:kern w:val="2"/>
      <w:sz w:val="24"/>
      <w:szCs w:val="23"/>
    </w:rPr>
  </w:style>
  <w:style w:type="paragraph" w:customStyle="1" w:styleId="117">
    <w:name w:val="S表名图名"/>
    <w:basedOn w:val="118"/>
    <w:link w:val="116"/>
    <w:qFormat/>
    <w:uiPriority w:val="1"/>
    <w:pPr>
      <w:ind w:firstLine="0"/>
      <w:jc w:val="center"/>
    </w:pPr>
    <w:rPr>
      <w:b/>
      <w:szCs w:val="23"/>
    </w:rPr>
  </w:style>
  <w:style w:type="paragraph" w:customStyle="1" w:styleId="118">
    <w:name w:val="S报告正文"/>
    <w:basedOn w:val="1"/>
    <w:qFormat/>
    <w:uiPriority w:val="0"/>
    <w:pPr>
      <w:adjustRightInd w:val="0"/>
      <w:snapToGrid w:val="0"/>
      <w:spacing w:line="480" w:lineRule="exact"/>
      <w:ind w:firstLine="510"/>
      <w:jc w:val="left"/>
    </w:pPr>
    <w:rPr>
      <w:sz w:val="24"/>
    </w:rPr>
  </w:style>
  <w:style w:type="character" w:customStyle="1" w:styleId="119">
    <w:name w:val="表头1 Char"/>
    <w:link w:val="120"/>
    <w:qFormat/>
    <w:uiPriority w:val="0"/>
    <w:rPr>
      <w:rFonts w:eastAsia="黑体"/>
      <w:sz w:val="21"/>
      <w:szCs w:val="28"/>
    </w:rPr>
  </w:style>
  <w:style w:type="paragraph" w:customStyle="1" w:styleId="120">
    <w:name w:val="表头1"/>
    <w:basedOn w:val="1"/>
    <w:next w:val="1"/>
    <w:link w:val="119"/>
    <w:qFormat/>
    <w:uiPriority w:val="0"/>
    <w:pPr>
      <w:tabs>
        <w:tab w:val="left" w:pos="605"/>
      </w:tabs>
      <w:adjustRightInd w:val="0"/>
      <w:snapToGrid w:val="0"/>
      <w:jc w:val="center"/>
    </w:pPr>
    <w:rPr>
      <w:rFonts w:eastAsia="黑体"/>
      <w:kern w:val="0"/>
      <w:szCs w:val="28"/>
    </w:rPr>
  </w:style>
  <w:style w:type="character" w:customStyle="1" w:styleId="121">
    <w:name w:val="宋体 小四 Char Char"/>
    <w:link w:val="122"/>
    <w:unhideWhenUsed/>
    <w:qFormat/>
    <w:uiPriority w:val="0"/>
    <w:rPr>
      <w:rFonts w:hAnsi="宋体" w:eastAsia="楷体_GB2312"/>
      <w:bCs/>
      <w:spacing w:val="34"/>
      <w:kern w:val="2"/>
      <w:sz w:val="24"/>
      <w:szCs w:val="32"/>
    </w:rPr>
  </w:style>
  <w:style w:type="paragraph" w:customStyle="1" w:styleId="122">
    <w:name w:val="宋体 小四"/>
    <w:basedOn w:val="1"/>
    <w:link w:val="121"/>
    <w:unhideWhenUsed/>
    <w:qFormat/>
    <w:uiPriority w:val="0"/>
    <w:pPr>
      <w:spacing w:line="360" w:lineRule="auto"/>
      <w:ind w:firstLine="200" w:firstLineChars="200"/>
    </w:pPr>
    <w:rPr>
      <w:rFonts w:hAnsi="宋体" w:eastAsia="楷体_GB2312"/>
      <w:bCs/>
      <w:spacing w:val="34"/>
      <w:sz w:val="24"/>
      <w:szCs w:val="32"/>
    </w:rPr>
  </w:style>
  <w:style w:type="character" w:customStyle="1" w:styleId="123">
    <w:name w:val="表格内容 Char"/>
    <w:link w:val="124"/>
    <w:qFormat/>
    <w:uiPriority w:val="0"/>
    <w:rPr>
      <w:rFonts w:cs="宋体"/>
      <w:kern w:val="2"/>
      <w:sz w:val="21"/>
    </w:rPr>
  </w:style>
  <w:style w:type="paragraph" w:customStyle="1" w:styleId="124">
    <w:name w:val="表格内容"/>
    <w:basedOn w:val="115"/>
    <w:link w:val="123"/>
    <w:qFormat/>
    <w:uiPriority w:val="0"/>
    <w:pPr>
      <w:jc w:val="left"/>
    </w:pPr>
    <w:rPr>
      <w:rFonts w:cs="宋体"/>
      <w:szCs w:val="20"/>
    </w:rPr>
  </w:style>
  <w:style w:type="character" w:customStyle="1" w:styleId="125">
    <w:name w:val="报告正文S 字符"/>
    <w:link w:val="126"/>
    <w:qFormat/>
    <w:uiPriority w:val="0"/>
    <w:rPr>
      <w:snapToGrid/>
      <w:sz w:val="24"/>
      <w:szCs w:val="24"/>
    </w:rPr>
  </w:style>
  <w:style w:type="paragraph" w:customStyle="1" w:styleId="126">
    <w:name w:val="报告正文S"/>
    <w:basedOn w:val="1"/>
    <w:link w:val="125"/>
    <w:qFormat/>
    <w:uiPriority w:val="0"/>
    <w:pPr>
      <w:topLinePunct/>
      <w:spacing w:line="520" w:lineRule="exact"/>
      <w:ind w:firstLine="510"/>
      <w:jc w:val="left"/>
    </w:pPr>
    <w:rPr>
      <w:snapToGrid w:val="0"/>
      <w:kern w:val="0"/>
      <w:sz w:val="24"/>
    </w:rPr>
  </w:style>
  <w:style w:type="character" w:customStyle="1" w:styleId="127">
    <w:name w:val="lh151"/>
    <w:qFormat/>
    <w:uiPriority w:val="0"/>
  </w:style>
  <w:style w:type="character" w:customStyle="1" w:styleId="128">
    <w:name w:val="Char Char Char"/>
    <w:link w:val="129"/>
    <w:unhideWhenUsed/>
    <w:qFormat/>
    <w:uiPriority w:val="0"/>
    <w:rPr>
      <w:rFonts w:eastAsia="楷体_GB2312"/>
      <w:bCs/>
      <w:spacing w:val="34"/>
      <w:kern w:val="2"/>
      <w:sz w:val="24"/>
      <w:szCs w:val="32"/>
    </w:rPr>
  </w:style>
  <w:style w:type="paragraph" w:customStyle="1" w:styleId="129">
    <w:name w:val="Char3"/>
    <w:basedOn w:val="1"/>
    <w:link w:val="128"/>
    <w:unhideWhenUsed/>
    <w:qFormat/>
    <w:uiPriority w:val="0"/>
    <w:rPr>
      <w:rFonts w:eastAsia="楷体_GB2312"/>
      <w:bCs/>
      <w:spacing w:val="34"/>
      <w:sz w:val="24"/>
      <w:szCs w:val="32"/>
    </w:rPr>
  </w:style>
  <w:style w:type="character" w:customStyle="1" w:styleId="130">
    <w:name w:val="正文(首行缩进) Char Char"/>
    <w:unhideWhenUsed/>
    <w:qFormat/>
    <w:uiPriority w:val="0"/>
    <w:rPr>
      <w:rFonts w:hint="default" w:ascii="Times New Roman" w:eastAsia="楷体_GB2312"/>
      <w:bCs/>
      <w:snapToGrid/>
      <w:spacing w:val="34"/>
      <w:kern w:val="2"/>
      <w:sz w:val="24"/>
      <w:szCs w:val="32"/>
      <w:lang w:val="en-US" w:eastAsia="zh-CN" w:bidi="ar-SA"/>
    </w:rPr>
  </w:style>
  <w:style w:type="character" w:customStyle="1" w:styleId="131">
    <w:name w:val="正文首行缩进 2 + Times New Roman Char Char"/>
    <w:link w:val="132"/>
    <w:qFormat/>
    <w:uiPriority w:val="0"/>
    <w:rPr>
      <w:kern w:val="2"/>
      <w:sz w:val="24"/>
      <w:szCs w:val="24"/>
    </w:rPr>
  </w:style>
  <w:style w:type="paragraph" w:customStyle="1" w:styleId="132">
    <w:name w:val="正文首行缩进 2 + Times New Roman"/>
    <w:basedOn w:val="1"/>
    <w:link w:val="131"/>
    <w:qFormat/>
    <w:uiPriority w:val="0"/>
    <w:pPr>
      <w:tabs>
        <w:tab w:val="left" w:pos="0"/>
        <w:tab w:val="left" w:pos="870"/>
        <w:tab w:val="left" w:pos="3150"/>
      </w:tabs>
      <w:autoSpaceDE w:val="0"/>
      <w:autoSpaceDN w:val="0"/>
      <w:spacing w:line="360" w:lineRule="auto"/>
      <w:ind w:firstLine="480" w:firstLineChars="200"/>
      <w:jc w:val="left"/>
    </w:pPr>
    <w:rPr>
      <w:sz w:val="24"/>
    </w:rPr>
  </w:style>
  <w:style w:type="character" w:customStyle="1" w:styleId="133">
    <w:name w:val="批注文字 字符1"/>
    <w:semiHidden/>
    <w:qFormat/>
    <w:uiPriority w:val="0"/>
    <w:rPr>
      <w:rFonts w:ascii="Times New Roman" w:hAnsi="Times New Roman" w:eastAsia="宋体"/>
      <w:sz w:val="24"/>
    </w:rPr>
  </w:style>
  <w:style w:type="character" w:customStyle="1" w:styleId="134">
    <w:name w:val="a1"/>
    <w:unhideWhenUsed/>
    <w:qFormat/>
    <w:uiPriority w:val="0"/>
    <w:rPr>
      <w:rFonts w:hint="default" w:ascii="Times New Roman" w:eastAsia="楷体_GB2312"/>
      <w:bCs/>
      <w:spacing w:val="34"/>
      <w:kern w:val="2"/>
      <w:sz w:val="28"/>
      <w:szCs w:val="32"/>
      <w:lang w:val="en-US" w:eastAsia="zh-CN" w:bidi="ar-SA"/>
    </w:rPr>
  </w:style>
  <w:style w:type="character" w:customStyle="1" w:styleId="135">
    <w:name w:val="bjh-p"/>
    <w:qFormat/>
    <w:uiPriority w:val="0"/>
  </w:style>
  <w:style w:type="character" w:customStyle="1" w:styleId="136">
    <w:name w:val="页脚 字符"/>
    <w:qFormat/>
    <w:uiPriority w:val="99"/>
  </w:style>
  <w:style w:type="character" w:customStyle="1" w:styleId="137">
    <w:name w:val="表格标题 字符"/>
    <w:link w:val="66"/>
    <w:qFormat/>
    <w:uiPriority w:val="0"/>
    <w:rPr>
      <w:b/>
      <w:kern w:val="2"/>
      <w:sz w:val="24"/>
      <w:szCs w:val="24"/>
    </w:rPr>
  </w:style>
  <w:style w:type="character" w:customStyle="1" w:styleId="138">
    <w:name w:val="正文1 Char Char"/>
    <w:link w:val="139"/>
    <w:qFormat/>
    <w:uiPriority w:val="0"/>
    <w:rPr>
      <w:rFonts w:ascii="楷体_GB2312" w:eastAsia="楷体_GB2312" w:cs="宋体"/>
      <w:kern w:val="2"/>
      <w:sz w:val="28"/>
    </w:rPr>
  </w:style>
  <w:style w:type="paragraph" w:customStyle="1" w:styleId="139">
    <w:name w:val="正文1 Char"/>
    <w:basedOn w:val="1"/>
    <w:link w:val="138"/>
    <w:qFormat/>
    <w:uiPriority w:val="0"/>
    <w:pPr>
      <w:spacing w:line="500" w:lineRule="exact"/>
    </w:pPr>
    <w:rPr>
      <w:rFonts w:ascii="楷体_GB2312" w:eastAsia="楷体_GB2312" w:cs="宋体"/>
      <w:sz w:val="28"/>
      <w:szCs w:val="20"/>
    </w:rPr>
  </w:style>
  <w:style w:type="character" w:customStyle="1" w:styleId="140">
    <w:name w:val="正文(首行缩进) Char"/>
    <w:link w:val="141"/>
    <w:qFormat/>
    <w:uiPriority w:val="0"/>
    <w:rPr>
      <w:sz w:val="24"/>
      <w:szCs w:val="24"/>
    </w:rPr>
  </w:style>
  <w:style w:type="paragraph" w:customStyle="1" w:styleId="141">
    <w:name w:val="正文(首行缩进)"/>
    <w:basedOn w:val="1"/>
    <w:link w:val="140"/>
    <w:qFormat/>
    <w:uiPriority w:val="0"/>
    <w:pPr>
      <w:adjustRightInd w:val="0"/>
      <w:snapToGrid w:val="0"/>
      <w:spacing w:line="360" w:lineRule="auto"/>
      <w:ind w:firstLine="200" w:firstLineChars="200"/>
    </w:pPr>
    <w:rPr>
      <w:kern w:val="0"/>
      <w:sz w:val="24"/>
    </w:rPr>
  </w:style>
  <w:style w:type="character" w:customStyle="1" w:styleId="142">
    <w:name w:val="apple-style-span"/>
    <w:qFormat/>
    <w:uiPriority w:val="0"/>
    <w:rPr>
      <w:rFonts w:eastAsia="楷体_GB2312"/>
      <w:bCs/>
      <w:spacing w:val="34"/>
      <w:kern w:val="2"/>
      <w:sz w:val="28"/>
      <w:szCs w:val="32"/>
      <w:lang w:val="en-US" w:eastAsia="zh-CN" w:bidi="ar-SA"/>
    </w:rPr>
  </w:style>
  <w:style w:type="character" w:customStyle="1" w:styleId="143">
    <w:name w:val="description"/>
    <w:qFormat/>
    <w:uiPriority w:val="0"/>
    <w:rPr>
      <w:rFonts w:eastAsia="楷体_GB2312"/>
      <w:bCs/>
      <w:spacing w:val="34"/>
      <w:kern w:val="2"/>
      <w:sz w:val="28"/>
      <w:szCs w:val="32"/>
      <w:lang w:val="en-US" w:eastAsia="zh-CN" w:bidi="ar-SA"/>
    </w:rPr>
  </w:style>
  <w:style w:type="character" w:customStyle="1" w:styleId="144">
    <w:name w:val="ddd"/>
    <w:qFormat/>
    <w:uiPriority w:val="0"/>
  </w:style>
  <w:style w:type="character" w:customStyle="1" w:styleId="145">
    <w:name w:val="纯文本 Char1"/>
    <w:unhideWhenUsed/>
    <w:qFormat/>
    <w:uiPriority w:val="99"/>
    <w:rPr>
      <w:rFonts w:hint="eastAsia" w:ascii="宋体" w:hAnsi="Courier New" w:eastAsia="宋体"/>
      <w:bCs/>
      <w:spacing w:val="34"/>
      <w:kern w:val="2"/>
      <w:sz w:val="21"/>
      <w:szCs w:val="32"/>
      <w:lang w:val="en-US" w:eastAsia="zh-CN" w:bidi="ar-SA"/>
    </w:rPr>
  </w:style>
  <w:style w:type="character" w:customStyle="1" w:styleId="146">
    <w:name w:val="neirong1"/>
    <w:unhideWhenUsed/>
    <w:qFormat/>
    <w:uiPriority w:val="0"/>
    <w:rPr>
      <w:rFonts w:hint="default" w:ascii="Times New Roman" w:eastAsia="楷体_GB2312"/>
      <w:bCs/>
      <w:spacing w:val="34"/>
      <w:kern w:val="2"/>
      <w:sz w:val="21"/>
      <w:szCs w:val="32"/>
      <w:lang w:val="en-US" w:eastAsia="zh-CN" w:bidi="ar-SA"/>
    </w:rPr>
  </w:style>
  <w:style w:type="character" w:customStyle="1" w:styleId="147">
    <w:name w:val="样式 正文首行缩进 + 首行缩进:  1 字符 Char"/>
    <w:link w:val="148"/>
    <w:qFormat/>
    <w:locked/>
    <w:uiPriority w:val="0"/>
    <w:rPr>
      <w:rFonts w:cs="宋体"/>
      <w:sz w:val="24"/>
    </w:rPr>
  </w:style>
  <w:style w:type="paragraph" w:customStyle="1" w:styleId="148">
    <w:name w:val="样式 正文首行缩进 + 首行缩进:  1 字符"/>
    <w:basedOn w:val="17"/>
    <w:link w:val="147"/>
    <w:qFormat/>
    <w:uiPriority w:val="0"/>
    <w:pPr>
      <w:adjustRightInd w:val="0"/>
      <w:spacing w:after="0" w:line="360" w:lineRule="auto"/>
      <w:ind w:firstLine="100" w:firstLineChars="200"/>
      <w:textAlignment w:val="baseline"/>
    </w:pPr>
    <w:rPr>
      <w:rFonts w:cs="宋体"/>
      <w:kern w:val="0"/>
      <w:sz w:val="24"/>
      <w:szCs w:val="20"/>
    </w:rPr>
  </w:style>
  <w:style w:type="character" w:customStyle="1" w:styleId="149">
    <w:name w:val="表格文字2 Char"/>
    <w:link w:val="150"/>
    <w:qFormat/>
    <w:uiPriority w:val="0"/>
    <w:rPr>
      <w:rFonts w:cs="宋体"/>
      <w:sz w:val="21"/>
      <w:szCs w:val="21"/>
    </w:rPr>
  </w:style>
  <w:style w:type="paragraph" w:customStyle="1" w:styleId="150">
    <w:name w:val="表格文字2"/>
    <w:basedOn w:val="1"/>
    <w:link w:val="149"/>
    <w:qFormat/>
    <w:uiPriority w:val="0"/>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151">
    <w:name w:val="日期 字符"/>
    <w:semiHidden/>
    <w:qFormat/>
    <w:uiPriority w:val="0"/>
    <w:rPr>
      <w:rFonts w:ascii="Times New Roman" w:hAnsi="Times New Roman" w:eastAsia="宋体"/>
      <w:sz w:val="24"/>
    </w:rPr>
  </w:style>
  <w:style w:type="character" w:customStyle="1" w:styleId="152">
    <w:name w:val="样式 四号 行距: 固定值 26 磅 Char"/>
    <w:link w:val="153"/>
    <w:qFormat/>
    <w:uiPriority w:val="0"/>
    <w:rPr>
      <w:rFonts w:cs="宋体"/>
      <w:color w:val="0000FF"/>
      <w:kern w:val="44"/>
      <w:sz w:val="28"/>
      <w:szCs w:val="28"/>
    </w:rPr>
  </w:style>
  <w:style w:type="paragraph" w:customStyle="1" w:styleId="153">
    <w:name w:val="样式 四号 行距: 固定值 26 磅"/>
    <w:basedOn w:val="1"/>
    <w:link w:val="152"/>
    <w:qFormat/>
    <w:uiPriority w:val="0"/>
    <w:pPr>
      <w:spacing w:line="520" w:lineRule="exact"/>
      <w:ind w:firstLine="560" w:firstLineChars="200"/>
    </w:pPr>
    <w:rPr>
      <w:rFonts w:cs="宋体"/>
      <w:color w:val="0000FF"/>
      <w:kern w:val="44"/>
      <w:sz w:val="28"/>
      <w:szCs w:val="28"/>
    </w:rPr>
  </w:style>
  <w:style w:type="character" w:customStyle="1" w:styleId="154">
    <w:name w:val="报告书正文 Char"/>
    <w:link w:val="155"/>
    <w:semiHidden/>
    <w:qFormat/>
    <w:uiPriority w:val="0"/>
    <w:rPr>
      <w:kern w:val="2"/>
      <w:sz w:val="24"/>
      <w:szCs w:val="24"/>
    </w:rPr>
  </w:style>
  <w:style w:type="paragraph" w:customStyle="1" w:styleId="155">
    <w:name w:val="报告书正文"/>
    <w:basedOn w:val="1"/>
    <w:link w:val="154"/>
    <w:semiHidden/>
    <w:qFormat/>
    <w:uiPriority w:val="0"/>
    <w:pPr>
      <w:spacing w:line="360" w:lineRule="auto"/>
      <w:ind w:firstLine="480" w:firstLineChars="200"/>
    </w:pPr>
    <w:rPr>
      <w:sz w:val="24"/>
    </w:rPr>
  </w:style>
  <w:style w:type="character" w:customStyle="1" w:styleId="156">
    <w:name w:val="报告表正文 Char"/>
    <w:link w:val="157"/>
    <w:qFormat/>
    <w:uiPriority w:val="0"/>
    <w:rPr>
      <w:sz w:val="24"/>
    </w:rPr>
  </w:style>
  <w:style w:type="paragraph" w:customStyle="1" w:styleId="157">
    <w:name w:val="报告表正文"/>
    <w:basedOn w:val="1"/>
    <w:link w:val="156"/>
    <w:qFormat/>
    <w:uiPriority w:val="0"/>
    <w:pPr>
      <w:adjustRightInd w:val="0"/>
      <w:spacing w:line="312" w:lineRule="auto"/>
      <w:ind w:left="113" w:right="113" w:firstLine="482"/>
      <w:jc w:val="left"/>
      <w:textAlignment w:val="baseline"/>
    </w:pPr>
    <w:rPr>
      <w:kern w:val="0"/>
      <w:sz w:val="24"/>
      <w:szCs w:val="20"/>
    </w:rPr>
  </w:style>
  <w:style w:type="character" w:customStyle="1" w:styleId="158">
    <w:name w:val="正文文本 字符1"/>
    <w:semiHidden/>
    <w:qFormat/>
    <w:uiPriority w:val="0"/>
    <w:rPr>
      <w:rFonts w:ascii="Times New Roman" w:hAnsi="Times New Roman" w:eastAsia="宋体"/>
      <w:sz w:val="24"/>
    </w:rPr>
  </w:style>
  <w:style w:type="paragraph" w:customStyle="1" w:styleId="159">
    <w:name w:val="表内格式"/>
    <w:basedOn w:val="1"/>
    <w:qFormat/>
    <w:uiPriority w:val="0"/>
    <w:pPr>
      <w:jc w:val="center"/>
    </w:pPr>
    <w:rPr>
      <w:sz w:val="18"/>
      <w:szCs w:val="20"/>
    </w:rPr>
  </w:style>
  <w:style w:type="paragraph" w:customStyle="1" w:styleId="160">
    <w:name w:val="样式35"/>
    <w:basedOn w:val="1"/>
    <w:qFormat/>
    <w:uiPriority w:val="0"/>
    <w:pPr>
      <w:adjustRightInd w:val="0"/>
      <w:spacing w:line="312" w:lineRule="auto"/>
      <w:ind w:firstLine="567"/>
    </w:pPr>
    <w:rPr>
      <w:rFonts w:ascii="宋体"/>
      <w:kern w:val="0"/>
      <w:sz w:val="28"/>
      <w:szCs w:val="20"/>
    </w:rPr>
  </w:style>
  <w:style w:type="paragraph" w:customStyle="1" w:styleId="161">
    <w:name w:val="表格内容2"/>
    <w:basedOn w:val="1"/>
    <w:qFormat/>
    <w:uiPriority w:val="0"/>
    <w:pPr>
      <w:overflowPunct w:val="0"/>
      <w:adjustRightInd w:val="0"/>
      <w:snapToGrid w:val="0"/>
      <w:jc w:val="center"/>
      <w:textAlignment w:val="baseline"/>
    </w:pPr>
    <w:rPr>
      <w:rFonts w:ascii="_x000B__x000C_" w:hAnsi="_x000B__x000C_" w:eastAsia="Courier New" w:cs="楷体_GB2312"/>
      <w:color w:val="000000"/>
      <w:kern w:val="0"/>
    </w:rPr>
  </w:style>
  <w:style w:type="paragraph" w:customStyle="1" w:styleId="162">
    <w:name w:val="表内字体"/>
    <w:qFormat/>
    <w:uiPriority w:val="0"/>
    <w:pPr>
      <w:widowControl w:val="0"/>
      <w:adjustRightInd w:val="0"/>
      <w:snapToGrid w:val="0"/>
      <w:jc w:val="center"/>
      <w:textAlignment w:val="baseline"/>
    </w:pPr>
    <w:rPr>
      <w:rFonts w:ascii="Calibri" w:hAnsi="Calibri" w:eastAsia="宋体" w:cs="Times New Roman"/>
      <w:sz w:val="18"/>
      <w:szCs w:val="18"/>
      <w:lang w:val="en-US" w:eastAsia="zh-CN" w:bidi="ar-SA"/>
    </w:rPr>
  </w:style>
  <w:style w:type="paragraph" w:customStyle="1" w:styleId="163">
    <w:name w:val="表头"/>
    <w:basedOn w:val="117"/>
    <w:next w:val="1"/>
    <w:qFormat/>
    <w:uiPriority w:val="0"/>
    <w:pPr>
      <w:textAlignment w:val="baseline"/>
    </w:pPr>
    <w:rPr>
      <w:rFonts w:ascii="黑体" w:eastAsia="黑体"/>
      <w:kern w:val="0"/>
    </w:rPr>
  </w:style>
  <w:style w:type="paragraph" w:customStyle="1" w:styleId="164">
    <w:name w:val="样式 表格 32 + 首行缩进:  2 字符"/>
    <w:basedOn w:val="1"/>
    <w:qFormat/>
    <w:uiPriority w:val="0"/>
    <w:pPr>
      <w:autoSpaceDE w:val="0"/>
      <w:autoSpaceDN w:val="0"/>
      <w:spacing w:line="0" w:lineRule="atLeast"/>
      <w:jc w:val="center"/>
    </w:pPr>
    <w:rPr>
      <w:rFonts w:cs="宋体"/>
      <w:szCs w:val="21"/>
      <w:lang w:val="zh-CN"/>
    </w:rPr>
  </w:style>
  <w:style w:type="paragraph" w:customStyle="1" w:styleId="16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6">
    <w:name w:val="报告正文"/>
    <w:basedOn w:val="1"/>
    <w:link w:val="346"/>
    <w:qFormat/>
    <w:uiPriority w:val="0"/>
    <w:pPr>
      <w:spacing w:line="480" w:lineRule="exact"/>
      <w:ind w:firstLine="200" w:firstLineChars="200"/>
    </w:pPr>
    <w:rPr>
      <w:sz w:val="24"/>
    </w:rPr>
  </w:style>
  <w:style w:type="paragraph" w:customStyle="1" w:styleId="1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68">
    <w:name w:val="S备注"/>
    <w:basedOn w:val="118"/>
    <w:qFormat/>
    <w:uiPriority w:val="0"/>
    <w:pPr>
      <w:spacing w:before="60" w:after="120" w:line="240" w:lineRule="auto"/>
      <w:ind w:firstLine="0"/>
    </w:pPr>
    <w:rPr>
      <w:b/>
      <w:sz w:val="21"/>
      <w:szCs w:val="21"/>
    </w:rPr>
  </w:style>
  <w:style w:type="paragraph" w:customStyle="1" w:styleId="169">
    <w:name w:val="表文"/>
    <w:basedOn w:val="1"/>
    <w:link w:val="170"/>
    <w:qFormat/>
    <w:uiPriority w:val="0"/>
    <w:pPr>
      <w:jc w:val="center"/>
    </w:pPr>
    <w:rPr>
      <w:spacing w:val="-2"/>
      <w:kern w:val="0"/>
      <w:szCs w:val="20"/>
    </w:rPr>
  </w:style>
  <w:style w:type="character" w:customStyle="1" w:styleId="170">
    <w:name w:val="表文 Char"/>
    <w:link w:val="169"/>
    <w:qFormat/>
    <w:locked/>
    <w:uiPriority w:val="0"/>
    <w:rPr>
      <w:spacing w:val="-2"/>
      <w:sz w:val="21"/>
    </w:rPr>
  </w:style>
  <w:style w:type="paragraph" w:customStyle="1" w:styleId="171">
    <w:name w:val="君邦正文"/>
    <w:qFormat/>
    <w:uiPriority w:val="0"/>
    <w:pPr>
      <w:spacing w:after="60" w:line="360" w:lineRule="auto"/>
      <w:ind w:firstLine="480" w:firstLineChars="200"/>
      <w:jc w:val="both"/>
    </w:pPr>
    <w:rPr>
      <w:rFonts w:ascii="Calibri" w:hAnsi="Calibri" w:eastAsia="宋体" w:cs="Times New Roman"/>
      <w:bCs/>
      <w:snapToGrid w:val="0"/>
      <w:sz w:val="24"/>
      <w:lang w:val="en-US" w:eastAsia="zh-CN" w:bidi="ar-SA"/>
    </w:rPr>
  </w:style>
  <w:style w:type="paragraph" w:customStyle="1" w:styleId="172">
    <w:name w:val="中气表头"/>
    <w:basedOn w:val="1"/>
    <w:link w:val="173"/>
    <w:qFormat/>
    <w:uiPriority w:val="0"/>
    <w:pPr>
      <w:jc w:val="center"/>
    </w:pPr>
    <w:rPr>
      <w:rFonts w:eastAsia="黑体"/>
      <w:b/>
      <w:szCs w:val="21"/>
    </w:rPr>
  </w:style>
  <w:style w:type="character" w:customStyle="1" w:styleId="173">
    <w:name w:val="中气表头 Char"/>
    <w:link w:val="172"/>
    <w:qFormat/>
    <w:uiPriority w:val="0"/>
    <w:rPr>
      <w:rFonts w:eastAsia="黑体"/>
      <w:b/>
      <w:kern w:val="2"/>
      <w:sz w:val="21"/>
      <w:szCs w:val="21"/>
    </w:rPr>
  </w:style>
  <w:style w:type="paragraph" w:customStyle="1" w:styleId="174">
    <w:name w:val="段落"/>
    <w:basedOn w:val="1"/>
    <w:link w:val="175"/>
    <w:qFormat/>
    <w:uiPriority w:val="0"/>
    <w:pPr>
      <w:tabs>
        <w:tab w:val="left" w:pos="1021"/>
      </w:tabs>
      <w:snapToGrid w:val="0"/>
      <w:spacing w:line="360" w:lineRule="auto"/>
      <w:ind w:firstLine="480" w:firstLineChars="200"/>
    </w:pPr>
    <w:rPr>
      <w:rFonts w:ascii="宋体" w:hAnsi="宋体"/>
      <w:sz w:val="24"/>
    </w:rPr>
  </w:style>
  <w:style w:type="character" w:customStyle="1" w:styleId="175">
    <w:name w:val="段落 Char"/>
    <w:link w:val="174"/>
    <w:qFormat/>
    <w:uiPriority w:val="0"/>
    <w:rPr>
      <w:rFonts w:ascii="宋体" w:hAnsi="宋体"/>
      <w:kern w:val="2"/>
      <w:sz w:val="24"/>
      <w:szCs w:val="24"/>
    </w:rPr>
  </w:style>
  <w:style w:type="paragraph" w:customStyle="1" w:styleId="176">
    <w:name w:val="正文_21"/>
    <w:qFormat/>
    <w:uiPriority w:val="0"/>
    <w:pPr>
      <w:widowControl w:val="0"/>
      <w:jc w:val="both"/>
    </w:pPr>
    <w:rPr>
      <w:rFonts w:ascii="Calibri" w:hAnsi="Calibri" w:eastAsia="宋体" w:cs="Times New Roman"/>
      <w:kern w:val="2"/>
      <w:sz w:val="21"/>
      <w:lang w:val="en-US" w:eastAsia="zh-CN" w:bidi="ar-SA"/>
    </w:rPr>
  </w:style>
  <w:style w:type="paragraph" w:customStyle="1" w:styleId="177">
    <w:name w:val="sheet"/>
    <w:basedOn w:val="1"/>
    <w:qFormat/>
    <w:uiPriority w:val="0"/>
    <w:pPr>
      <w:jc w:val="center"/>
    </w:pPr>
    <w:rPr>
      <w:kern w:val="0"/>
      <w:sz w:val="20"/>
    </w:rPr>
  </w:style>
  <w:style w:type="paragraph" w:customStyle="1" w:styleId="178">
    <w:name w:val="TOC 标题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79">
    <w:name w:val="列表段落"/>
    <w:basedOn w:val="1"/>
    <w:qFormat/>
    <w:uiPriority w:val="0"/>
    <w:pPr>
      <w:ind w:firstLine="420" w:firstLineChars="200"/>
    </w:pPr>
  </w:style>
  <w:style w:type="paragraph" w:customStyle="1" w:styleId="180">
    <w:name w:val="表格长征"/>
    <w:basedOn w:val="1"/>
    <w:qFormat/>
    <w:uiPriority w:val="0"/>
    <w:pPr>
      <w:adjustRightInd w:val="0"/>
      <w:snapToGrid w:val="0"/>
      <w:jc w:val="center"/>
    </w:pPr>
    <w:rPr>
      <w:rFonts w:eastAsia="仿宋_GB2312"/>
      <w:snapToGrid w:val="0"/>
      <w:szCs w:val="21"/>
      <w:lang w:val="zh-CN"/>
    </w:rPr>
  </w:style>
  <w:style w:type="paragraph" w:customStyle="1" w:styleId="181">
    <w:name w:val="Table Paragraph"/>
    <w:basedOn w:val="1"/>
    <w:qFormat/>
    <w:uiPriority w:val="1"/>
    <w:pPr>
      <w:jc w:val="left"/>
    </w:pPr>
    <w:rPr>
      <w:rFonts w:ascii="Calibri" w:hAnsi="Calibri"/>
      <w:kern w:val="0"/>
      <w:sz w:val="22"/>
      <w:szCs w:val="22"/>
      <w:lang w:eastAsia="en-US"/>
    </w:rPr>
  </w:style>
  <w:style w:type="paragraph" w:customStyle="1" w:styleId="182">
    <w:name w:val="表格文字1"/>
    <w:basedOn w:val="150"/>
    <w:qFormat/>
    <w:uiPriority w:val="0"/>
    <w:pPr>
      <w:jc w:val="both"/>
    </w:pPr>
  </w:style>
  <w:style w:type="paragraph" w:customStyle="1" w:styleId="183">
    <w:name w:val="表头长征"/>
    <w:basedOn w:val="1"/>
    <w:qFormat/>
    <w:uiPriority w:val="0"/>
    <w:pPr>
      <w:autoSpaceDE w:val="0"/>
      <w:autoSpaceDN w:val="0"/>
      <w:adjustRightInd w:val="0"/>
      <w:snapToGrid w:val="0"/>
      <w:jc w:val="center"/>
      <w:textAlignment w:val="center"/>
    </w:pPr>
    <w:rPr>
      <w:b/>
      <w:sz w:val="24"/>
    </w:rPr>
  </w:style>
  <w:style w:type="paragraph" w:customStyle="1" w:styleId="184">
    <w:name w:val="标题 31"/>
    <w:basedOn w:val="1"/>
    <w:qFormat/>
    <w:uiPriority w:val="1"/>
    <w:pPr>
      <w:spacing w:before="26"/>
      <w:ind w:left="232"/>
      <w:jc w:val="left"/>
      <w:outlineLvl w:val="3"/>
    </w:pPr>
    <w:rPr>
      <w:rFonts w:ascii="宋体" w:hAnsi="宋体"/>
      <w:b/>
      <w:bCs/>
      <w:kern w:val="0"/>
      <w:sz w:val="24"/>
      <w:lang w:eastAsia="en-US"/>
    </w:rPr>
  </w:style>
  <w:style w:type="paragraph" w:customStyle="1" w:styleId="185">
    <w:name w:val="列出段落1"/>
    <w:basedOn w:val="1"/>
    <w:qFormat/>
    <w:uiPriority w:val="0"/>
    <w:pPr>
      <w:ind w:firstLine="420"/>
    </w:pPr>
  </w:style>
  <w:style w:type="paragraph" w:customStyle="1" w:styleId="186">
    <w:name w:val="Char1"/>
    <w:basedOn w:val="1"/>
    <w:qFormat/>
    <w:uiPriority w:val="0"/>
    <w:pPr>
      <w:spacing w:line="360" w:lineRule="auto"/>
      <w:ind w:firstLine="200" w:firstLineChars="200"/>
    </w:pPr>
    <w:rPr>
      <w:rFonts w:ascii="宋体" w:hAnsi="宋体"/>
      <w:kern w:val="0"/>
      <w:sz w:val="24"/>
    </w:rPr>
  </w:style>
  <w:style w:type="table" w:customStyle="1" w:styleId="187">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88">
    <w:name w:val="网格型1"/>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Default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90">
    <w:name w:val="标准正文"/>
    <w:basedOn w:val="1"/>
    <w:link w:val="191"/>
    <w:qFormat/>
    <w:uiPriority w:val="0"/>
    <w:pPr>
      <w:spacing w:line="360" w:lineRule="auto"/>
      <w:ind w:firstLine="480" w:firstLineChars="200"/>
      <w:jc w:val="left"/>
    </w:pPr>
    <w:rPr>
      <w:rFonts w:ascii="宋体"/>
      <w:kern w:val="0"/>
      <w:sz w:val="24"/>
      <w:szCs w:val="22"/>
    </w:rPr>
  </w:style>
  <w:style w:type="character" w:customStyle="1" w:styleId="191">
    <w:name w:val="标准正文 Char"/>
    <w:link w:val="190"/>
    <w:qFormat/>
    <w:uiPriority w:val="0"/>
    <w:rPr>
      <w:rFonts w:ascii="宋体"/>
      <w:sz w:val="24"/>
      <w:szCs w:val="22"/>
    </w:rPr>
  </w:style>
  <w:style w:type="paragraph" w:customStyle="1" w:styleId="192">
    <w:name w:val="江锂报告书正文"/>
    <w:basedOn w:val="1"/>
    <w:qFormat/>
    <w:uiPriority w:val="0"/>
    <w:pPr>
      <w:spacing w:line="360" w:lineRule="auto"/>
      <w:ind w:firstLine="480" w:firstLineChars="200"/>
    </w:pPr>
    <w:rPr>
      <w:color w:val="000000"/>
      <w:kern w:val="0"/>
      <w:sz w:val="24"/>
    </w:rPr>
  </w:style>
  <w:style w:type="paragraph" w:customStyle="1" w:styleId="193">
    <w:name w:val="正文首行缩进2个字 Char"/>
    <w:basedOn w:val="1"/>
    <w:qFormat/>
    <w:uiPriority w:val="0"/>
    <w:pPr>
      <w:ind w:firstLine="480" w:firstLineChars="200"/>
    </w:pPr>
    <w:rPr>
      <w:rFonts w:eastAsia="楷体"/>
      <w:sz w:val="24"/>
    </w:rPr>
  </w:style>
  <w:style w:type="paragraph" w:customStyle="1" w:styleId="194">
    <w:name w:val="杜正文1"/>
    <w:basedOn w:val="1"/>
    <w:next w:val="17"/>
    <w:qFormat/>
    <w:uiPriority w:val="0"/>
    <w:pPr>
      <w:ind w:firstLine="480" w:firstLineChars="200"/>
      <w:jc w:val="left"/>
    </w:pPr>
    <w:rPr>
      <w:szCs w:val="32"/>
    </w:rPr>
  </w:style>
  <w:style w:type="paragraph" w:customStyle="1" w:styleId="195">
    <w:name w:val="Char11"/>
    <w:basedOn w:val="1"/>
    <w:qFormat/>
    <w:uiPriority w:val="0"/>
    <w:pPr>
      <w:widowControl/>
      <w:wordWrap w:val="0"/>
      <w:topLinePunct/>
      <w:adjustRightInd w:val="0"/>
      <w:snapToGrid w:val="0"/>
      <w:spacing w:line="360" w:lineRule="auto"/>
      <w:ind w:firstLine="200" w:firstLineChars="200"/>
      <w:jc w:val="left"/>
    </w:pPr>
    <w:rPr>
      <w:rFonts w:ascii="宋体" w:hAnsi="宋体" w:cs="宋体"/>
      <w:sz w:val="24"/>
    </w:rPr>
  </w:style>
  <w:style w:type="character" w:customStyle="1" w:styleId="196">
    <w:name w:val="NormalCharacter"/>
    <w:link w:val="197"/>
    <w:qFormat/>
    <w:uiPriority w:val="0"/>
    <w:rPr>
      <w:rFonts w:ascii="Times New Roman" w:hAnsi="Times New Roman"/>
      <w:kern w:val="0"/>
      <w:sz w:val="20"/>
      <w:szCs w:val="20"/>
    </w:rPr>
  </w:style>
  <w:style w:type="paragraph" w:customStyle="1" w:styleId="197">
    <w:name w:val="UserStyle_1"/>
    <w:basedOn w:val="1"/>
    <w:link w:val="196"/>
    <w:qFormat/>
    <w:uiPriority w:val="0"/>
    <w:pPr>
      <w:widowControl/>
      <w:textAlignment w:val="baseline"/>
    </w:pPr>
    <w:rPr>
      <w:kern w:val="0"/>
      <w:sz w:val="20"/>
      <w:szCs w:val="20"/>
    </w:rPr>
  </w:style>
  <w:style w:type="paragraph" w:customStyle="1" w:styleId="198">
    <w:name w:val="标题1"/>
    <w:basedOn w:val="47"/>
    <w:qFormat/>
    <w:uiPriority w:val="0"/>
    <w:pPr>
      <w:widowControl w:val="0"/>
      <w:adjustRightInd w:val="0"/>
      <w:snapToGrid w:val="0"/>
      <w:spacing w:before="120" w:beforeLines="50" w:beforeAutospacing="0" w:after="120" w:afterLines="50" w:afterAutospacing="0"/>
      <w:jc w:val="center"/>
      <w:outlineLvl w:val="0"/>
    </w:pPr>
    <w:rPr>
      <w:snapToGrid w:val="0"/>
      <w:sz w:val="30"/>
      <w:szCs w:val="30"/>
    </w:rPr>
  </w:style>
  <w:style w:type="paragraph" w:customStyle="1" w:styleId="199">
    <w:name w:val="D图表小四"/>
    <w:basedOn w:val="1"/>
    <w:qFormat/>
    <w:uiPriority w:val="0"/>
    <w:pPr>
      <w:spacing w:before="120" w:after="120"/>
      <w:jc w:val="center"/>
    </w:pPr>
    <w:rPr>
      <w:b/>
      <w:spacing w:val="4"/>
      <w:sz w:val="24"/>
    </w:rPr>
  </w:style>
  <w:style w:type="table" w:customStyle="1" w:styleId="200">
    <w:name w:val="网格型2"/>
    <w:basedOn w:val="51"/>
    <w:qFormat/>
    <w:uiPriority w:val="59"/>
    <w:pPr>
      <w:widowControl w:val="0"/>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201">
    <w:name w:val="BG-表头"/>
    <w:basedOn w:val="1"/>
    <w:qFormat/>
    <w:uiPriority w:val="0"/>
    <w:pPr>
      <w:jc w:val="center"/>
    </w:pPr>
    <w:rPr>
      <w:b/>
    </w:rPr>
  </w:style>
  <w:style w:type="paragraph" w:customStyle="1" w:styleId="202">
    <w:name w:val="正文1"/>
    <w:basedOn w:val="1"/>
    <w:qFormat/>
    <w:uiPriority w:val="0"/>
    <w:pPr>
      <w:wordWrap w:val="0"/>
      <w:topLinePunct/>
      <w:adjustRightInd w:val="0"/>
      <w:snapToGrid w:val="0"/>
      <w:spacing w:line="360" w:lineRule="auto"/>
      <w:ind w:firstLine="480" w:firstLineChars="200"/>
    </w:pPr>
    <w:rPr>
      <w:rFonts w:ascii="宋体" w:hAnsi="宋体"/>
      <w:bCs/>
    </w:rPr>
  </w:style>
  <w:style w:type="character" w:customStyle="1" w:styleId="203">
    <w:name w:val="fontstyle01"/>
    <w:qFormat/>
    <w:uiPriority w:val="0"/>
    <w:rPr>
      <w:rFonts w:hint="eastAsia" w:ascii="宋体" w:hAnsi="宋体" w:eastAsia="宋体"/>
      <w:color w:val="000000"/>
      <w:sz w:val="24"/>
      <w:szCs w:val="24"/>
    </w:rPr>
  </w:style>
  <w:style w:type="paragraph" w:customStyle="1" w:styleId="204">
    <w:name w:val="表格正文"/>
    <w:link w:val="340"/>
    <w:qFormat/>
    <w:uiPriority w:val="0"/>
    <w:pPr>
      <w:spacing w:after="31" w:afterLines="10" w:line="380" w:lineRule="exact"/>
      <w:jc w:val="center"/>
    </w:pPr>
    <w:rPr>
      <w:rFonts w:ascii="Times New Roman" w:hAnsi="Times New Roman" w:eastAsia="宋体" w:cs="Times New Roman"/>
      <w:sz w:val="21"/>
      <w:szCs w:val="22"/>
      <w:lang w:val="en-US" w:eastAsia="zh-CN" w:bidi="ar-SA"/>
    </w:rPr>
  </w:style>
  <w:style w:type="paragraph" w:customStyle="1" w:styleId="205">
    <w:name w:val="无间隔1"/>
    <w:qFormat/>
    <w:uiPriority w:val="0"/>
    <w:pPr>
      <w:widowControl w:val="0"/>
      <w:jc w:val="both"/>
    </w:pPr>
    <w:rPr>
      <w:rFonts w:ascii="Calibri" w:hAnsi="Calibri" w:eastAsia="宋体" w:cs="Times New Roman"/>
      <w:kern w:val="2"/>
      <w:sz w:val="21"/>
      <w:lang w:val="en-US" w:eastAsia="zh-CN" w:bidi="ar-SA"/>
    </w:rPr>
  </w:style>
  <w:style w:type="character" w:customStyle="1" w:styleId="206">
    <w:name w:val="font61"/>
    <w:qFormat/>
    <w:uiPriority w:val="0"/>
    <w:rPr>
      <w:rFonts w:hint="default" w:ascii="Times New Roman" w:hAnsi="Times New Roman" w:cs="Times New Roman"/>
      <w:b/>
      <w:color w:val="000000"/>
      <w:sz w:val="21"/>
      <w:szCs w:val="21"/>
      <w:u w:val="none"/>
    </w:rPr>
  </w:style>
  <w:style w:type="character" w:customStyle="1" w:styleId="207">
    <w:name w:val="正文01 Char"/>
    <w:link w:val="208"/>
    <w:qFormat/>
    <w:uiPriority w:val="0"/>
    <w:rPr>
      <w:rFonts w:ascii="宋体" w:hAnsi="宋体"/>
      <w:sz w:val="24"/>
      <w:szCs w:val="28"/>
    </w:rPr>
  </w:style>
  <w:style w:type="paragraph" w:customStyle="1" w:styleId="208">
    <w:name w:val="正文01"/>
    <w:basedOn w:val="1"/>
    <w:link w:val="207"/>
    <w:qFormat/>
    <w:uiPriority w:val="0"/>
    <w:pPr>
      <w:adjustRightInd w:val="0"/>
      <w:spacing w:line="520" w:lineRule="exact"/>
      <w:ind w:firstLine="480" w:firstLineChars="200"/>
      <w:textAlignment w:val="baseline"/>
    </w:pPr>
    <w:rPr>
      <w:rFonts w:ascii="宋体" w:hAnsi="宋体"/>
      <w:kern w:val="0"/>
      <w:sz w:val="24"/>
      <w:szCs w:val="28"/>
    </w:rPr>
  </w:style>
  <w:style w:type="character" w:customStyle="1" w:styleId="209">
    <w:name w:val="time"/>
    <w:basedOn w:val="53"/>
    <w:qFormat/>
    <w:uiPriority w:val="0"/>
    <w:rPr>
      <w:color w:val="555555"/>
      <w:szCs w:val="20"/>
      <w:bdr w:val="single" w:color="FFFFFF" w:sz="6" w:space="0"/>
    </w:rPr>
  </w:style>
  <w:style w:type="character" w:customStyle="1" w:styleId="210">
    <w:name w:val="bds_nopic"/>
    <w:basedOn w:val="53"/>
    <w:qFormat/>
    <w:uiPriority w:val="0"/>
    <w:rPr>
      <w:szCs w:val="20"/>
    </w:rPr>
  </w:style>
  <w:style w:type="character" w:customStyle="1" w:styleId="211">
    <w:name w:val="hover15"/>
    <w:basedOn w:val="53"/>
    <w:qFormat/>
    <w:uiPriority w:val="0"/>
    <w:rPr>
      <w:color w:val="000000"/>
      <w:szCs w:val="20"/>
      <w:shd w:val="clear" w:color="auto" w:fill="FFFFFF"/>
    </w:rPr>
  </w:style>
  <w:style w:type="character" w:customStyle="1" w:styleId="212">
    <w:name w:val="表文字 Char"/>
    <w:link w:val="213"/>
    <w:qFormat/>
    <w:uiPriority w:val="0"/>
    <w:rPr>
      <w:sz w:val="24"/>
    </w:rPr>
  </w:style>
  <w:style w:type="paragraph" w:customStyle="1" w:styleId="213">
    <w:name w:val="表文字"/>
    <w:basedOn w:val="16"/>
    <w:next w:val="214"/>
    <w:link w:val="212"/>
    <w:qFormat/>
    <w:uiPriority w:val="0"/>
    <w:pPr>
      <w:widowControl w:val="0"/>
      <w:overflowPunct w:val="0"/>
      <w:autoSpaceDE w:val="0"/>
      <w:autoSpaceDN w:val="0"/>
      <w:adjustRightInd w:val="0"/>
      <w:snapToGrid/>
      <w:spacing w:before="0" w:after="0" w:line="240" w:lineRule="atLeast"/>
      <w:ind w:right="0"/>
      <w:jc w:val="center"/>
      <w:textAlignment w:val="baseline"/>
    </w:pPr>
    <w:rPr>
      <w:sz w:val="24"/>
    </w:rPr>
  </w:style>
  <w:style w:type="paragraph" w:customStyle="1" w:styleId="214">
    <w:name w:val="表字居中"/>
    <w:basedOn w:val="213"/>
    <w:next w:val="16"/>
    <w:link w:val="215"/>
    <w:qFormat/>
    <w:uiPriority w:val="0"/>
    <w:rPr>
      <w:rFonts w:ascii="Verdana" w:hAnsi="Verdana"/>
      <w:kern w:val="2"/>
      <w:sz w:val="21"/>
      <w:szCs w:val="24"/>
    </w:rPr>
  </w:style>
  <w:style w:type="character" w:customStyle="1" w:styleId="215">
    <w:name w:val="表字居中 Char"/>
    <w:link w:val="214"/>
    <w:qFormat/>
    <w:uiPriority w:val="0"/>
    <w:rPr>
      <w:rFonts w:ascii="Verdana" w:hAnsi="Verdana"/>
      <w:kern w:val="2"/>
      <w:sz w:val="21"/>
      <w:szCs w:val="24"/>
    </w:rPr>
  </w:style>
  <w:style w:type="character" w:customStyle="1" w:styleId="216">
    <w:name w:val="font21"/>
    <w:qFormat/>
    <w:uiPriority w:val="0"/>
    <w:rPr>
      <w:rFonts w:hint="default" w:ascii="Times New Roman" w:hAnsi="Times New Roman" w:cs="Times New Roman"/>
      <w:b/>
      <w:color w:val="000000"/>
      <w:sz w:val="21"/>
      <w:szCs w:val="21"/>
      <w:u w:val="none"/>
      <w:vertAlign w:val="superscript"/>
    </w:rPr>
  </w:style>
  <w:style w:type="character" w:customStyle="1" w:styleId="217">
    <w:name w:val="bds_more"/>
    <w:basedOn w:val="53"/>
    <w:qFormat/>
    <w:uiPriority w:val="0"/>
    <w:rPr>
      <w:szCs w:val="20"/>
    </w:rPr>
  </w:style>
  <w:style w:type="character" w:customStyle="1" w:styleId="218">
    <w:name w:val="章 Char Char1"/>
    <w:qFormat/>
    <w:uiPriority w:val="0"/>
    <w:rPr>
      <w:rFonts w:ascii="Calibri" w:hAnsi="Calibri" w:eastAsia="黑体" w:cs="Calibri"/>
      <w:kern w:val="44"/>
      <w:sz w:val="44"/>
      <w:szCs w:val="44"/>
    </w:rPr>
  </w:style>
  <w:style w:type="character" w:customStyle="1" w:styleId="219">
    <w:name w:val="C正文 Char"/>
    <w:link w:val="220"/>
    <w:qFormat/>
    <w:locked/>
    <w:uiPriority w:val="99"/>
    <w:rPr>
      <w:sz w:val="22"/>
      <w:szCs w:val="22"/>
    </w:rPr>
  </w:style>
  <w:style w:type="paragraph" w:customStyle="1" w:styleId="220">
    <w:name w:val="C正文"/>
    <w:link w:val="219"/>
    <w:qFormat/>
    <w:uiPriority w:val="99"/>
    <w:pPr>
      <w:spacing w:line="360" w:lineRule="auto"/>
      <w:ind w:firstLine="1440" w:firstLineChars="200"/>
    </w:pPr>
    <w:rPr>
      <w:rFonts w:ascii="Times New Roman" w:hAnsi="Times New Roman" w:eastAsia="宋体" w:cs="Times New Roman"/>
      <w:sz w:val="22"/>
      <w:szCs w:val="22"/>
      <w:lang w:val="en-US" w:eastAsia="zh-CN" w:bidi="ar-SA"/>
    </w:rPr>
  </w:style>
  <w:style w:type="character" w:customStyle="1" w:styleId="221">
    <w:name w:val="bds_nopic1"/>
    <w:basedOn w:val="53"/>
    <w:qFormat/>
    <w:uiPriority w:val="0"/>
    <w:rPr>
      <w:color w:val="444444"/>
      <w:szCs w:val="20"/>
      <w:u w:val="none"/>
    </w:rPr>
  </w:style>
  <w:style w:type="character" w:customStyle="1" w:styleId="222">
    <w:name w:val="bds_more7"/>
    <w:qFormat/>
    <w:uiPriority w:val="99"/>
    <w:rPr>
      <w:sz w:val="21"/>
    </w:rPr>
  </w:style>
  <w:style w:type="character" w:customStyle="1" w:styleId="223">
    <w:name w:val="content1"/>
    <w:qFormat/>
    <w:uiPriority w:val="0"/>
    <w:rPr>
      <w:color w:val="000000"/>
      <w:sz w:val="20"/>
      <w:szCs w:val="20"/>
    </w:rPr>
  </w:style>
  <w:style w:type="character" w:customStyle="1" w:styleId="224">
    <w:name w:val="text1"/>
    <w:qFormat/>
    <w:uiPriority w:val="0"/>
    <w:rPr>
      <w:rFonts w:hint="default" w:ascii="ˎ̥" w:hAnsi="ˎ̥"/>
      <w:color w:val="000000"/>
      <w:sz w:val="16"/>
      <w:szCs w:val="16"/>
      <w:u w:val="none"/>
    </w:rPr>
  </w:style>
  <w:style w:type="character" w:customStyle="1" w:styleId="225">
    <w:name w:val="列表(L) Char"/>
    <w:link w:val="226"/>
    <w:qFormat/>
    <w:uiPriority w:val="0"/>
    <w:rPr>
      <w:rFonts w:cs="宋体"/>
      <w:kern w:val="2"/>
      <w:sz w:val="21"/>
    </w:rPr>
  </w:style>
  <w:style w:type="paragraph" w:customStyle="1" w:styleId="226">
    <w:name w:val="列表(L)"/>
    <w:basedOn w:val="38"/>
    <w:link w:val="225"/>
    <w:qFormat/>
    <w:uiPriority w:val="0"/>
    <w:pPr>
      <w:snapToGrid w:val="0"/>
      <w:ind w:left="0" w:firstLine="0" w:firstLineChars="0"/>
    </w:pPr>
    <w:rPr>
      <w:rFonts w:ascii="Times New Roman" w:hAnsi="Times New Roman" w:cs="宋体"/>
      <w:szCs w:val="20"/>
    </w:rPr>
  </w:style>
  <w:style w:type="character" w:customStyle="1" w:styleId="227">
    <w:name w:val="wx-space1"/>
    <w:basedOn w:val="53"/>
    <w:qFormat/>
    <w:uiPriority w:val="0"/>
    <w:rPr>
      <w:szCs w:val="20"/>
    </w:rPr>
  </w:style>
  <w:style w:type="character" w:customStyle="1" w:styleId="228">
    <w:name w:val="表格标题 Exact"/>
    <w:qFormat/>
    <w:uiPriority w:val="0"/>
    <w:rPr>
      <w:rFonts w:ascii="MingLiU" w:hAnsi="MingLiU" w:eastAsia="MingLiU" w:cs="MingLiU"/>
      <w:sz w:val="16"/>
      <w:szCs w:val="16"/>
      <w:u w:val="none"/>
    </w:rPr>
  </w:style>
  <w:style w:type="character" w:customStyle="1" w:styleId="229">
    <w:name w:val="标题2"/>
    <w:basedOn w:val="53"/>
    <w:qFormat/>
    <w:uiPriority w:val="0"/>
    <w:rPr>
      <w:szCs w:val="20"/>
    </w:rPr>
  </w:style>
  <w:style w:type="character" w:customStyle="1" w:styleId="230">
    <w:name w:val="表格五号字 Char"/>
    <w:link w:val="231"/>
    <w:qFormat/>
    <w:uiPriority w:val="0"/>
    <w:rPr>
      <w:rFonts w:eastAsia="仿宋_GB2312"/>
      <w:kern w:val="2"/>
      <w:sz w:val="21"/>
      <w:szCs w:val="24"/>
    </w:rPr>
  </w:style>
  <w:style w:type="paragraph" w:customStyle="1" w:styleId="231">
    <w:name w:val="表格五号字"/>
    <w:basedOn w:val="1"/>
    <w:link w:val="230"/>
    <w:qFormat/>
    <w:uiPriority w:val="0"/>
    <w:pPr>
      <w:adjustRightInd w:val="0"/>
      <w:snapToGrid w:val="0"/>
      <w:jc w:val="center"/>
    </w:pPr>
    <w:rPr>
      <w:rFonts w:eastAsia="仿宋_GB2312"/>
    </w:rPr>
  </w:style>
  <w:style w:type="character" w:customStyle="1" w:styleId="232">
    <w:name w:val="wx-space"/>
    <w:basedOn w:val="53"/>
    <w:qFormat/>
    <w:uiPriority w:val="0"/>
    <w:rPr>
      <w:szCs w:val="20"/>
    </w:rPr>
  </w:style>
  <w:style w:type="character" w:customStyle="1" w:styleId="233">
    <w:name w:val="条 Char1"/>
    <w:qFormat/>
    <w:uiPriority w:val="0"/>
    <w:rPr>
      <w:rFonts w:ascii="Calibri" w:hAnsi="Calibri" w:eastAsia="宋体" w:cs="Calibri"/>
      <w:sz w:val="32"/>
      <w:szCs w:val="32"/>
    </w:rPr>
  </w:style>
  <w:style w:type="character" w:customStyle="1" w:styleId="234">
    <w:name w:val="newsimg"/>
    <w:basedOn w:val="53"/>
    <w:qFormat/>
    <w:uiPriority w:val="0"/>
    <w:rPr>
      <w:szCs w:val="20"/>
    </w:rPr>
  </w:style>
  <w:style w:type="character" w:customStyle="1" w:styleId="235">
    <w:name w:val="postbody1"/>
    <w:qFormat/>
    <w:uiPriority w:val="0"/>
    <w:rPr>
      <w:sz w:val="21"/>
      <w:szCs w:val="21"/>
    </w:rPr>
  </w:style>
  <w:style w:type="character" w:customStyle="1" w:styleId="236">
    <w:name w:val="bds_nopic2"/>
    <w:basedOn w:val="53"/>
    <w:qFormat/>
    <w:uiPriority w:val="0"/>
    <w:rPr>
      <w:rFonts w:ascii="宋体 ! important" w:hAnsi="宋体 ! important" w:eastAsia="宋体 ! important" w:cs="宋体 ! important"/>
      <w:color w:val="454545"/>
      <w:sz w:val="21"/>
      <w:szCs w:val="21"/>
    </w:rPr>
  </w:style>
  <w:style w:type="character" w:customStyle="1" w:styleId="237">
    <w:name w:val="bds_more1"/>
    <w:basedOn w:val="53"/>
    <w:qFormat/>
    <w:uiPriority w:val="0"/>
    <w:rPr>
      <w:rFonts w:hint="eastAsia" w:ascii="宋体" w:hAnsi="宋体" w:eastAsia="宋体" w:cs="宋体"/>
      <w:szCs w:val="20"/>
    </w:rPr>
  </w:style>
  <w:style w:type="character" w:customStyle="1" w:styleId="238">
    <w:name w:val="time1"/>
    <w:basedOn w:val="53"/>
    <w:qFormat/>
    <w:uiPriority w:val="0"/>
    <w:rPr>
      <w:color w:val="555555"/>
      <w:sz w:val="18"/>
      <w:szCs w:val="18"/>
    </w:rPr>
  </w:style>
  <w:style w:type="character" w:customStyle="1" w:styleId="239">
    <w:name w:val="bds_more2"/>
    <w:basedOn w:val="53"/>
    <w:qFormat/>
    <w:uiPriority w:val="0"/>
    <w:rPr>
      <w:szCs w:val="20"/>
    </w:rPr>
  </w:style>
  <w:style w:type="paragraph" w:customStyle="1" w:styleId="240">
    <w:name w:val="Char Char Char Char1"/>
    <w:basedOn w:val="1"/>
    <w:qFormat/>
    <w:uiPriority w:val="0"/>
    <w:rPr>
      <w:rFonts w:ascii="Calibri" w:hAnsi="Calibri"/>
      <w:sz w:val="24"/>
    </w:rPr>
  </w:style>
  <w:style w:type="paragraph" w:customStyle="1" w:styleId="241">
    <w:name w:val="Char Char Char Char Char Char"/>
    <w:basedOn w:val="1"/>
    <w:qFormat/>
    <w:uiPriority w:val="0"/>
    <w:rPr>
      <w:rFonts w:ascii="Calibri" w:hAnsi="Calibri"/>
      <w:sz w:val="24"/>
    </w:rPr>
  </w:style>
  <w:style w:type="paragraph" w:customStyle="1" w:styleId="242">
    <w:name w:val="xl26"/>
    <w:basedOn w:val="1"/>
    <w:qFormat/>
    <w:uiPriority w:val="0"/>
    <w:pPr>
      <w:widowControl/>
      <w:spacing w:before="100" w:after="100"/>
      <w:jc w:val="center"/>
    </w:pPr>
    <w:rPr>
      <w:rFonts w:ascii="宋体" w:hAnsi="Calibri"/>
      <w:color w:val="000000"/>
      <w:kern w:val="0"/>
      <w:sz w:val="24"/>
      <w:szCs w:val="20"/>
    </w:rPr>
  </w:style>
  <w:style w:type="paragraph" w:customStyle="1" w:styleId="243">
    <w:name w:val="报告表二级标题"/>
    <w:qFormat/>
    <w:uiPriority w:val="0"/>
    <w:pPr>
      <w:spacing w:line="360" w:lineRule="auto"/>
      <w:outlineLvl w:val="1"/>
    </w:pPr>
    <w:rPr>
      <w:rFonts w:ascii="宋体" w:hAnsi="宋体" w:eastAsia="宋体" w:cs="Times New Roman"/>
      <w:b/>
      <w:kern w:val="2"/>
      <w:sz w:val="28"/>
      <w:szCs w:val="28"/>
      <w:lang w:val="en-US" w:eastAsia="zh-CN" w:bidi="ar-SA"/>
    </w:rPr>
  </w:style>
  <w:style w:type="paragraph" w:customStyle="1" w:styleId="244">
    <w:name w:val="Char Char Char Char"/>
    <w:basedOn w:val="1"/>
    <w:qFormat/>
    <w:uiPriority w:val="0"/>
    <w:pPr>
      <w:spacing w:line="360" w:lineRule="auto"/>
      <w:ind w:firstLine="200" w:firstLineChars="200"/>
    </w:pPr>
    <w:rPr>
      <w:rFonts w:ascii="宋体" w:hAnsi="宋体" w:cs="宋体"/>
      <w:sz w:val="24"/>
    </w:rPr>
  </w:style>
  <w:style w:type="paragraph" w:customStyle="1" w:styleId="245">
    <w:name w:val="样式4"/>
    <w:basedOn w:val="4"/>
    <w:qFormat/>
    <w:uiPriority w:val="0"/>
    <w:pPr>
      <w:tabs>
        <w:tab w:val="left" w:pos="566"/>
      </w:tabs>
      <w:spacing w:before="0" w:after="0" w:line="560" w:lineRule="exact"/>
      <w:ind w:firstLine="560" w:firstLineChars="200"/>
    </w:pPr>
    <w:rPr>
      <w:rFonts w:ascii="黑体" w:hAnsi="Calibri" w:eastAsia="黑体"/>
      <w:b w:val="0"/>
      <w:sz w:val="28"/>
    </w:rPr>
  </w:style>
  <w:style w:type="paragraph" w:customStyle="1" w:styleId="246">
    <w:name w:val="1表格内容"/>
    <w:basedOn w:val="1"/>
    <w:qFormat/>
    <w:uiPriority w:val="0"/>
    <w:pPr>
      <w:widowControl/>
      <w:spacing w:line="240" w:lineRule="exact"/>
      <w:jc w:val="center"/>
    </w:pPr>
    <w:rPr>
      <w:rFonts w:ascii="Calibri" w:hAnsi="Calibri"/>
      <w:color w:val="000000"/>
      <w:sz w:val="18"/>
      <w:szCs w:val="22"/>
    </w:rPr>
  </w:style>
  <w:style w:type="paragraph" w:customStyle="1" w:styleId="247">
    <w:name w:val="样式 行距: 1.5 倍行距 首行缩进:  2 字符"/>
    <w:basedOn w:val="1"/>
    <w:qFormat/>
    <w:uiPriority w:val="0"/>
    <w:pPr>
      <w:tabs>
        <w:tab w:val="left" w:pos="1021"/>
      </w:tabs>
      <w:spacing w:line="360" w:lineRule="auto"/>
      <w:ind w:firstLine="480" w:firstLineChars="200"/>
    </w:pPr>
    <w:rPr>
      <w:rFonts w:ascii="Calibri" w:hAnsi="Calibri" w:cs="宋体"/>
      <w:sz w:val="24"/>
    </w:rPr>
  </w:style>
  <w:style w:type="paragraph" w:customStyle="1" w:styleId="248">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249">
    <w:name w:val="样式 样式 (符号) 宋体 小四 行距: 固定值 26 磅 + 宋体"/>
    <w:basedOn w:val="250"/>
    <w:qFormat/>
    <w:uiPriority w:val="0"/>
    <w:rPr>
      <w:rFonts w:ascii="宋体"/>
      <w:kern w:val="0"/>
    </w:rPr>
  </w:style>
  <w:style w:type="paragraph" w:customStyle="1" w:styleId="250">
    <w:name w:val="样式 (符号) 宋体 小四 行距: 固定值 26 磅"/>
    <w:basedOn w:val="1"/>
    <w:qFormat/>
    <w:uiPriority w:val="0"/>
    <w:pPr>
      <w:spacing w:line="520" w:lineRule="exact"/>
      <w:ind w:firstLine="480" w:firstLineChars="200"/>
    </w:pPr>
    <w:rPr>
      <w:rFonts w:ascii="Calibri" w:hAnsi="宋体" w:cs="宋体"/>
      <w:sz w:val="24"/>
      <w:szCs w:val="20"/>
    </w:rPr>
  </w:style>
  <w:style w:type="paragraph" w:customStyle="1" w:styleId="251">
    <w:name w:val="固定表格"/>
    <w:basedOn w:val="1"/>
    <w:qFormat/>
    <w:uiPriority w:val="0"/>
    <w:pPr>
      <w:spacing w:line="360" w:lineRule="exact"/>
      <w:jc w:val="center"/>
    </w:pPr>
    <w:rPr>
      <w:rFonts w:ascii="Calibri" w:hAnsi="Calibri"/>
      <w:szCs w:val="20"/>
    </w:rPr>
  </w:style>
  <w:style w:type="paragraph" w:customStyle="1" w:styleId="252">
    <w:name w:val="样式13"/>
    <w:basedOn w:val="1"/>
    <w:qFormat/>
    <w:uiPriority w:val="0"/>
    <w:pPr>
      <w:jc w:val="center"/>
    </w:pPr>
    <w:rPr>
      <w:sz w:val="24"/>
      <w:szCs w:val="20"/>
    </w:rPr>
  </w:style>
  <w:style w:type="paragraph" w:customStyle="1" w:styleId="253">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54">
    <w:name w:val="Char"/>
    <w:basedOn w:val="1"/>
    <w:qFormat/>
    <w:uiPriority w:val="0"/>
    <w:pPr>
      <w:spacing w:line="360" w:lineRule="auto"/>
      <w:ind w:firstLine="200" w:firstLineChars="200"/>
    </w:pPr>
    <w:rPr>
      <w:rFonts w:ascii="宋体" w:hAnsi="宋体" w:cs="宋体"/>
      <w:sz w:val="24"/>
    </w:rPr>
  </w:style>
  <w:style w:type="paragraph" w:customStyle="1" w:styleId="255">
    <w:name w:val="正文缩进2"/>
    <w:basedOn w:val="1"/>
    <w:qFormat/>
    <w:uiPriority w:val="0"/>
    <w:pPr>
      <w:ind w:firstLine="420"/>
    </w:pPr>
    <w:rPr>
      <w:rFonts w:ascii="Calibri" w:hAnsi="Calibri"/>
      <w:kern w:val="0"/>
      <w:sz w:val="20"/>
      <w:szCs w:val="20"/>
    </w:rPr>
  </w:style>
  <w:style w:type="paragraph" w:customStyle="1" w:styleId="256">
    <w:name w:val="Char Char Char Char Char Char Char"/>
    <w:basedOn w:val="1"/>
    <w:qFormat/>
    <w:uiPriority w:val="0"/>
    <w:rPr>
      <w:rFonts w:ascii="Calibri" w:hAnsi="Calibri"/>
      <w:szCs w:val="20"/>
    </w:rPr>
  </w:style>
  <w:style w:type="paragraph" w:customStyle="1" w:styleId="257">
    <w:name w:val="样式 小四 黑色 行距: 固定值 26 磅"/>
    <w:basedOn w:val="1"/>
    <w:qFormat/>
    <w:uiPriority w:val="0"/>
    <w:pPr>
      <w:spacing w:line="520" w:lineRule="exact"/>
      <w:ind w:firstLine="509" w:firstLineChars="202"/>
    </w:pPr>
    <w:rPr>
      <w:rFonts w:ascii="Calibri" w:hAnsi="Calibri" w:cs="宋体"/>
      <w:color w:val="000000"/>
      <w:spacing w:val="6"/>
      <w:sz w:val="24"/>
      <w:szCs w:val="20"/>
    </w:rPr>
  </w:style>
  <w:style w:type="paragraph" w:customStyle="1" w:styleId="258">
    <w:name w:val="正  文"/>
    <w:basedOn w:val="1"/>
    <w:next w:val="1"/>
    <w:qFormat/>
    <w:uiPriority w:val="0"/>
    <w:pPr>
      <w:snapToGrid w:val="0"/>
      <w:spacing w:line="500" w:lineRule="exact"/>
      <w:ind w:firstLine="640" w:firstLineChars="200"/>
    </w:pPr>
    <w:rPr>
      <w:sz w:val="24"/>
    </w:rPr>
  </w:style>
  <w:style w:type="paragraph" w:customStyle="1" w:styleId="259">
    <w:name w:val="正文首行缩进2个字"/>
    <w:basedOn w:val="1"/>
    <w:qFormat/>
    <w:uiPriority w:val="0"/>
    <w:pPr>
      <w:ind w:firstLine="200" w:firstLineChars="200"/>
    </w:pPr>
    <w:rPr>
      <w:rFonts w:ascii="Calibri" w:hAnsi="Calibri"/>
      <w:spacing w:val="3"/>
    </w:rPr>
  </w:style>
  <w:style w:type="paragraph" w:customStyle="1" w:styleId="260">
    <w:name w:val="表格 23"/>
    <w:basedOn w:val="1"/>
    <w:qFormat/>
    <w:uiPriority w:val="0"/>
    <w:pPr>
      <w:jc w:val="center"/>
    </w:pPr>
    <w:rPr>
      <w:rFonts w:ascii="Calibri" w:hAnsi="Calibri"/>
      <w:szCs w:val="21"/>
    </w:rPr>
  </w:style>
  <w:style w:type="paragraph" w:customStyle="1" w:styleId="261">
    <w:name w:val="UserStyle_0"/>
    <w:basedOn w:val="1"/>
    <w:qFormat/>
    <w:uiPriority w:val="0"/>
    <w:pPr>
      <w:snapToGrid w:val="0"/>
      <w:spacing w:line="480" w:lineRule="exact"/>
    </w:pPr>
    <w:rPr>
      <w:rFonts w:ascii="Calibri" w:hAnsi="Calibri"/>
      <w:sz w:val="24"/>
      <w:szCs w:val="22"/>
    </w:rPr>
  </w:style>
  <w:style w:type="paragraph" w:customStyle="1" w:styleId="262">
    <w:name w:val="Body Text Indent 21"/>
    <w:basedOn w:val="1"/>
    <w:qFormat/>
    <w:uiPriority w:val="99"/>
    <w:pPr>
      <w:spacing w:line="480" w:lineRule="auto"/>
      <w:ind w:left="420" w:leftChars="200" w:firstLine="510"/>
    </w:pPr>
    <w:rPr>
      <w:rFonts w:ascii="Calibri" w:hAnsi="Calibri"/>
      <w:sz w:val="28"/>
    </w:rPr>
  </w:style>
  <w:style w:type="paragraph" w:customStyle="1" w:styleId="263">
    <w:name w:val="p0"/>
    <w:basedOn w:val="1"/>
    <w:qFormat/>
    <w:uiPriority w:val="0"/>
    <w:pPr>
      <w:widowControl/>
    </w:pPr>
    <w:rPr>
      <w:rFonts w:ascii="Calibri" w:hAnsi="Calibri"/>
      <w:kern w:val="0"/>
      <w:sz w:val="24"/>
    </w:rPr>
  </w:style>
  <w:style w:type="paragraph" w:customStyle="1" w:styleId="264">
    <w:name w:val="样式 首行缩进:  2 字符"/>
    <w:basedOn w:val="1"/>
    <w:qFormat/>
    <w:uiPriority w:val="0"/>
    <w:pPr>
      <w:spacing w:line="360" w:lineRule="auto"/>
      <w:ind w:firstLine="420" w:firstLineChars="200"/>
    </w:pPr>
    <w:rPr>
      <w:rFonts w:ascii="Calibri" w:hAnsi="Calibri"/>
      <w:szCs w:val="20"/>
    </w:rPr>
  </w:style>
  <w:style w:type="paragraph" w:customStyle="1" w:styleId="265">
    <w:name w:val="Char4 Char Char Char"/>
    <w:basedOn w:val="1"/>
    <w:qFormat/>
    <w:uiPriority w:val="0"/>
    <w:rPr>
      <w:rFonts w:ascii="Calibri" w:hAnsi="Calibri"/>
      <w:szCs w:val="20"/>
    </w:rPr>
  </w:style>
  <w:style w:type="paragraph" w:customStyle="1" w:styleId="266">
    <w:name w:val="样式2"/>
    <w:basedOn w:val="1"/>
    <w:qFormat/>
    <w:uiPriority w:val="0"/>
    <w:pPr>
      <w:spacing w:line="500" w:lineRule="exact"/>
      <w:ind w:firstLine="480" w:firstLineChars="200"/>
      <w:textAlignment w:val="baseline"/>
    </w:pPr>
    <w:rPr>
      <w:rFonts w:ascii="Calibri" w:hAnsi="Calibri"/>
      <w:sz w:val="24"/>
      <w:szCs w:val="20"/>
    </w:rPr>
  </w:style>
  <w:style w:type="paragraph" w:customStyle="1" w:styleId="267">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69">
    <w:name w:val="222表头"/>
    <w:basedOn w:val="1"/>
    <w:qFormat/>
    <w:uiPriority w:val="0"/>
    <w:pPr>
      <w:jc w:val="center"/>
    </w:pPr>
    <w:rPr>
      <w:rFonts w:ascii="黑体" w:hAnsi="宋体" w:eastAsia="黑体"/>
      <w:sz w:val="22"/>
    </w:rPr>
  </w:style>
  <w:style w:type="paragraph" w:customStyle="1" w:styleId="270">
    <w:name w:val="样式 文本正文 + 首行缩进:  2 字符"/>
    <w:basedOn w:val="271"/>
    <w:qFormat/>
    <w:uiPriority w:val="0"/>
    <w:pPr>
      <w:spacing w:line="360" w:lineRule="auto"/>
    </w:pPr>
    <w:rPr>
      <w:rFonts w:cs="宋体"/>
      <w:szCs w:val="20"/>
    </w:rPr>
  </w:style>
  <w:style w:type="paragraph" w:customStyle="1" w:styleId="271">
    <w:name w:val="文本正文"/>
    <w:basedOn w:val="1"/>
    <w:qFormat/>
    <w:uiPriority w:val="0"/>
    <w:pPr>
      <w:spacing w:line="520" w:lineRule="exact"/>
      <w:ind w:firstLine="200" w:firstLineChars="200"/>
    </w:pPr>
    <w:rPr>
      <w:rFonts w:ascii="Calibri" w:hAnsi="Calibri"/>
      <w:sz w:val="24"/>
    </w:rPr>
  </w:style>
  <w:style w:type="paragraph" w:customStyle="1" w:styleId="272">
    <w:name w:val="Char Char Char Char Char Char1 Char Char Char Char Char Char Char Char Char Char Char Char Char Char Char Char"/>
    <w:basedOn w:val="1"/>
    <w:qFormat/>
    <w:uiPriority w:val="0"/>
    <w:rPr>
      <w:rFonts w:ascii="Calibri" w:hAnsi="Calibri"/>
      <w:sz w:val="24"/>
    </w:rPr>
  </w:style>
  <w:style w:type="paragraph" w:customStyle="1" w:styleId="273">
    <w:name w:val="列出段落2"/>
    <w:basedOn w:val="1"/>
    <w:unhideWhenUsed/>
    <w:qFormat/>
    <w:uiPriority w:val="99"/>
    <w:pPr>
      <w:ind w:firstLine="420" w:firstLineChars="200"/>
    </w:pPr>
    <w:rPr>
      <w:rFonts w:ascii="Calibri" w:hAnsi="Calibri"/>
    </w:rPr>
  </w:style>
  <w:style w:type="paragraph" w:customStyle="1" w:styleId="274">
    <w:name w:val="罗英样式"/>
    <w:basedOn w:val="1"/>
    <w:qFormat/>
    <w:uiPriority w:val="0"/>
    <w:pPr>
      <w:spacing w:line="500" w:lineRule="exact"/>
      <w:ind w:firstLine="200" w:firstLineChars="200"/>
    </w:pPr>
    <w:rPr>
      <w:rFonts w:ascii="宋体" w:hAnsi="宋体"/>
      <w:sz w:val="24"/>
    </w:rPr>
  </w:style>
  <w:style w:type="paragraph" w:customStyle="1" w:styleId="275">
    <w:name w:val="样式 黑体 小三 加粗 居中1"/>
    <w:basedOn w:val="1"/>
    <w:qFormat/>
    <w:uiPriority w:val="0"/>
    <w:pPr>
      <w:spacing w:before="156" w:beforeLines="50"/>
      <w:jc w:val="center"/>
    </w:pPr>
    <w:rPr>
      <w:rFonts w:ascii="黑体" w:hAnsi="Calibri" w:eastAsia="黑体" w:cs="宋体"/>
      <w:bCs/>
      <w:sz w:val="24"/>
      <w:szCs w:val="20"/>
    </w:rPr>
  </w:style>
  <w:style w:type="paragraph" w:customStyle="1" w:styleId="276">
    <w:name w:val="表格题注"/>
    <w:qFormat/>
    <w:uiPriority w:val="0"/>
    <w:pPr>
      <w:jc w:val="center"/>
    </w:pPr>
    <w:rPr>
      <w:rFonts w:ascii="Calibri" w:hAnsi="Calibri" w:eastAsia="宋体" w:cs="Times New Roman"/>
      <w:b/>
      <w:sz w:val="21"/>
      <w:szCs w:val="22"/>
      <w:lang w:val="en-US" w:eastAsia="zh-CN" w:bidi="ar-SA"/>
    </w:rPr>
  </w:style>
  <w:style w:type="paragraph" w:customStyle="1" w:styleId="277">
    <w:name w:val="列出段落3"/>
    <w:basedOn w:val="1"/>
    <w:qFormat/>
    <w:uiPriority w:val="1"/>
    <w:pPr>
      <w:ind w:left="1049" w:hanging="720"/>
    </w:pPr>
    <w:rPr>
      <w:rFonts w:ascii="宋体" w:hAnsi="宋体" w:cs="宋体"/>
      <w:lang w:val="zh-CN" w:bidi="zh-CN"/>
    </w:rPr>
  </w:style>
  <w:style w:type="paragraph" w:customStyle="1" w:styleId="278">
    <w:name w:val="表图 内容 五号"/>
    <w:basedOn w:val="1"/>
    <w:qFormat/>
    <w:uiPriority w:val="0"/>
    <w:pPr>
      <w:jc w:val="center"/>
    </w:pPr>
    <w:rPr>
      <w:color w:val="000000"/>
      <w:szCs w:val="18"/>
    </w:rPr>
  </w:style>
  <w:style w:type="paragraph" w:customStyle="1" w:styleId="279">
    <w:name w:val="正文首行"/>
    <w:basedOn w:val="11"/>
    <w:qFormat/>
    <w:uiPriority w:val="0"/>
    <w:pPr>
      <w:widowControl w:val="0"/>
      <w:spacing w:after="120" w:line="480" w:lineRule="exact"/>
      <w:ind w:firstLine="200" w:firstLineChars="200"/>
      <w:jc w:val="both"/>
    </w:pPr>
    <w:rPr>
      <w:rFonts w:eastAsia="宋体"/>
      <w:w w:val="100"/>
      <w:kern w:val="2"/>
      <w:sz w:val="24"/>
    </w:rPr>
  </w:style>
  <w:style w:type="paragraph" w:customStyle="1" w:styleId="280">
    <w:name w:val="_cyj_正文"/>
    <w:basedOn w:val="1"/>
    <w:qFormat/>
    <w:uiPriority w:val="0"/>
    <w:pPr>
      <w:spacing w:line="480" w:lineRule="exact"/>
      <w:ind w:firstLine="200" w:firstLineChars="200"/>
    </w:pPr>
    <w:rPr>
      <w:rFonts w:ascii="Calibri" w:hAnsi="宋体"/>
      <w:sz w:val="24"/>
    </w:rPr>
  </w:style>
  <w:style w:type="paragraph" w:customStyle="1" w:styleId="281">
    <w:name w:val="ab表格内字体"/>
    <w:basedOn w:val="1"/>
    <w:qFormat/>
    <w:uiPriority w:val="0"/>
    <w:rPr>
      <w:rFonts w:ascii="Calibri" w:hAnsi="Calibri"/>
      <w:szCs w:val="21"/>
    </w:rPr>
  </w:style>
  <w:style w:type="paragraph" w:customStyle="1" w:styleId="282">
    <w:name w:val="表格居中"/>
    <w:basedOn w:val="1"/>
    <w:qFormat/>
    <w:uiPriority w:val="0"/>
    <w:pPr>
      <w:spacing w:line="0" w:lineRule="atLeast"/>
      <w:jc w:val="center"/>
    </w:pPr>
    <w:rPr>
      <w:rFonts w:ascii="Calibri" w:hAnsi="Calibri" w:cs="Arial"/>
      <w:kern w:val="0"/>
      <w:szCs w:val="21"/>
    </w:rPr>
  </w:style>
  <w:style w:type="paragraph" w:customStyle="1" w:styleId="283">
    <w:name w:val="居中正文"/>
    <w:basedOn w:val="1"/>
    <w:next w:val="1"/>
    <w:qFormat/>
    <w:uiPriority w:val="0"/>
    <w:pPr>
      <w:adjustRightInd w:val="0"/>
      <w:spacing w:before="120" w:line="360" w:lineRule="auto"/>
      <w:jc w:val="center"/>
      <w:textAlignment w:val="baseline"/>
    </w:pPr>
    <w:rPr>
      <w:rFonts w:ascii="宋体" w:hAnsi="Calibri"/>
      <w:kern w:val="28"/>
      <w:sz w:val="24"/>
    </w:rPr>
  </w:style>
  <w:style w:type="paragraph" w:customStyle="1" w:styleId="284">
    <w:name w:val="样式1"/>
    <w:basedOn w:val="35"/>
    <w:next w:val="1"/>
    <w:qFormat/>
    <w:uiPriority w:val="0"/>
    <w:pPr>
      <w:spacing w:after="40" w:line="300" w:lineRule="atLeast"/>
      <w:jc w:val="center"/>
      <w:outlineLvl w:val="2"/>
    </w:pPr>
    <w:rPr>
      <w:rFonts w:ascii="Calibri" w:hAnsi="Calibri" w:eastAsia="楷体_GB2312"/>
    </w:rPr>
  </w:style>
  <w:style w:type="paragraph" w:customStyle="1" w:styleId="285">
    <w:name w:val="1文章"/>
    <w:basedOn w:val="1"/>
    <w:qFormat/>
    <w:uiPriority w:val="0"/>
    <w:pPr>
      <w:snapToGrid w:val="0"/>
      <w:spacing w:line="360" w:lineRule="auto"/>
      <w:ind w:firstLine="573"/>
    </w:pPr>
    <w:rPr>
      <w:rFonts w:ascii="Calibri" w:hAnsi="Calibri" w:eastAsia="仿宋_GB2312"/>
      <w:sz w:val="28"/>
      <w:szCs w:val="20"/>
    </w:rPr>
  </w:style>
  <w:style w:type="paragraph" w:customStyle="1" w:styleId="286">
    <w:name w:val="Char Char Char Char Char Char Char Char Char Char Char Char Char Char Char Char Char Char"/>
    <w:basedOn w:val="1"/>
    <w:qFormat/>
    <w:uiPriority w:val="0"/>
    <w:rPr>
      <w:rFonts w:ascii="Calibri" w:hAnsi="Calibri"/>
      <w:sz w:val="20"/>
      <w:szCs w:val="20"/>
    </w:rPr>
  </w:style>
  <w:style w:type="paragraph" w:customStyle="1" w:styleId="287">
    <w:name w:val="1"/>
    <w:qFormat/>
    <w:uiPriority w:val="0"/>
    <w:pPr>
      <w:widowControl w:val="0"/>
      <w:spacing w:line="300" w:lineRule="auto"/>
      <w:ind w:firstLine="480" w:firstLineChars="200"/>
      <w:jc w:val="both"/>
    </w:pPr>
    <w:rPr>
      <w:rFonts w:ascii="Calibri" w:hAnsi="Calibri" w:eastAsia="仿宋_GB2312" w:cs="Times New Roman"/>
      <w:kern w:val="2"/>
      <w:sz w:val="24"/>
      <w:szCs w:val="24"/>
      <w:lang w:val="en-US" w:eastAsia="zh-CN" w:bidi="ar-SA"/>
    </w:rPr>
  </w:style>
  <w:style w:type="paragraph" w:customStyle="1" w:styleId="288">
    <w:name w:val="Char12"/>
    <w:basedOn w:val="1"/>
    <w:qFormat/>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289">
    <w:name w:val="图表标题"/>
    <w:basedOn w:val="42"/>
    <w:qFormat/>
    <w:uiPriority w:val="0"/>
    <w:pPr>
      <w:outlineLvl w:val="4"/>
    </w:pPr>
    <w:rPr>
      <w:rFonts w:ascii="Times New Roman" w:hAnsi="Times New Roman"/>
      <w:bCs/>
      <w:snapToGrid w:val="0"/>
    </w:rPr>
  </w:style>
  <w:style w:type="paragraph" w:customStyle="1" w:styleId="290">
    <w:name w:val="报告表内中"/>
    <w:basedOn w:val="1"/>
    <w:qFormat/>
    <w:uiPriority w:val="0"/>
    <w:pPr>
      <w:snapToGrid w:val="0"/>
      <w:spacing w:before="100" w:beforeAutospacing="1"/>
      <w:jc w:val="center"/>
    </w:pPr>
    <w:rPr>
      <w:rFonts w:ascii="宋体" w:hAnsi="Calibri"/>
      <w:bCs/>
      <w:sz w:val="24"/>
    </w:rPr>
  </w:style>
  <w:style w:type="paragraph" w:customStyle="1" w:styleId="291">
    <w:name w:val="胡表格标题"/>
    <w:basedOn w:val="1"/>
    <w:qFormat/>
    <w:uiPriority w:val="0"/>
    <w:pPr>
      <w:spacing w:line="360" w:lineRule="auto"/>
      <w:jc w:val="center"/>
    </w:pPr>
    <w:rPr>
      <w:rFonts w:ascii="宋体" w:hAnsi="宋体"/>
      <w:sz w:val="24"/>
      <w:szCs w:val="28"/>
    </w:rPr>
  </w:style>
  <w:style w:type="paragraph" w:customStyle="1" w:styleId="292">
    <w:name w:val="Char Char Char1 Char Char Char Char"/>
    <w:basedOn w:val="1"/>
    <w:qFormat/>
    <w:uiPriority w:val="0"/>
    <w:pPr>
      <w:widowControl/>
      <w:spacing w:after="160" w:line="240" w:lineRule="exact"/>
      <w:jc w:val="left"/>
    </w:pPr>
    <w:rPr>
      <w:rFonts w:ascii="Verdana" w:hAnsi="Verdana"/>
      <w:kern w:val="0"/>
      <w:sz w:val="24"/>
      <w:szCs w:val="20"/>
      <w:lang w:eastAsia="en-US"/>
    </w:rPr>
  </w:style>
  <w:style w:type="paragraph" w:customStyle="1" w:styleId="293">
    <w:name w:val="报告文本"/>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94">
    <w:name w:val="填表内容"/>
    <w:basedOn w:val="1"/>
    <w:qFormat/>
    <w:uiPriority w:val="0"/>
    <w:pPr>
      <w:adjustRightInd w:val="0"/>
      <w:spacing w:line="480" w:lineRule="exact"/>
      <w:ind w:firstLine="560" w:firstLineChars="200"/>
      <w:jc w:val="left"/>
      <w:textAlignment w:val="baseline"/>
    </w:pPr>
    <w:rPr>
      <w:rFonts w:ascii="楷体_GB2312" w:hAnsi="Calibri" w:eastAsia="楷体_GB2312"/>
      <w:sz w:val="28"/>
      <w:szCs w:val="20"/>
    </w:rPr>
  </w:style>
  <w:style w:type="paragraph" w:customStyle="1" w:styleId="295">
    <w:name w:val="表"/>
    <w:basedOn w:val="1"/>
    <w:qFormat/>
    <w:uiPriority w:val="0"/>
    <w:pPr>
      <w:snapToGrid w:val="0"/>
      <w:jc w:val="center"/>
    </w:pPr>
    <w:rPr>
      <w:rFonts w:ascii="Calibri" w:hAnsi="Calibri"/>
      <w:spacing w:val="2"/>
      <w:szCs w:val="20"/>
    </w:rPr>
  </w:style>
  <w:style w:type="paragraph" w:customStyle="1" w:styleId="296">
    <w:name w:val="无间隔2"/>
    <w:qFormat/>
    <w:uiPriority w:val="0"/>
    <w:pPr>
      <w:widowControl w:val="0"/>
      <w:jc w:val="both"/>
    </w:pPr>
    <w:rPr>
      <w:rFonts w:ascii="Calibri" w:hAnsi="Calibri" w:eastAsia="宋体" w:cs="Times New Roman"/>
      <w:kern w:val="2"/>
      <w:sz w:val="21"/>
      <w:lang w:val="en-US" w:eastAsia="zh-CN" w:bidi="ar-SA"/>
    </w:rPr>
  </w:style>
  <w:style w:type="paragraph" w:customStyle="1" w:styleId="297">
    <w:name w:val="表头样式1"/>
    <w:basedOn w:val="1"/>
    <w:qFormat/>
    <w:uiPriority w:val="0"/>
    <w:pPr>
      <w:spacing w:after="80" w:line="480" w:lineRule="atLeast"/>
      <w:jc w:val="center"/>
    </w:pPr>
    <w:rPr>
      <w:rFonts w:ascii="Calibri" w:hAnsi="Calibri" w:eastAsia="黑体"/>
      <w:b/>
      <w:sz w:val="24"/>
    </w:rPr>
  </w:style>
  <w:style w:type="paragraph" w:customStyle="1" w:styleId="298">
    <w:name w:val="Char2"/>
    <w:basedOn w:val="1"/>
    <w:qFormat/>
    <w:uiPriority w:val="0"/>
    <w:pPr>
      <w:snapToGrid w:val="0"/>
      <w:spacing w:line="360" w:lineRule="auto"/>
      <w:ind w:firstLine="529" w:firstLineChars="200"/>
    </w:pPr>
    <w:rPr>
      <w:rFonts w:ascii="Calibri" w:hAnsi="Calibri"/>
      <w:szCs w:val="20"/>
    </w:rPr>
  </w:style>
  <w:style w:type="paragraph" w:customStyle="1" w:styleId="299">
    <w:name w:val="样式 文本正文 + 首行缩进:  2 字符1"/>
    <w:basedOn w:val="1"/>
    <w:qFormat/>
    <w:uiPriority w:val="0"/>
    <w:pPr>
      <w:spacing w:line="520" w:lineRule="exact"/>
      <w:ind w:firstLine="200" w:firstLineChars="200"/>
    </w:pPr>
    <w:rPr>
      <w:rFonts w:ascii="Calibri" w:hAnsi="Calibri" w:cs="宋体"/>
      <w:sz w:val="24"/>
      <w:szCs w:val="20"/>
    </w:rPr>
  </w:style>
  <w:style w:type="paragraph" w:customStyle="1" w:styleId="300">
    <w:name w:val="表1"/>
    <w:basedOn w:val="1"/>
    <w:qFormat/>
    <w:uiPriority w:val="0"/>
    <w:pPr>
      <w:jc w:val="center"/>
    </w:pPr>
    <w:rPr>
      <w:szCs w:val="21"/>
    </w:rPr>
  </w:style>
  <w:style w:type="paragraph" w:customStyle="1" w:styleId="301">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02">
    <w:name w:val="表图标题"/>
    <w:basedOn w:val="1"/>
    <w:qFormat/>
    <w:uiPriority w:val="0"/>
    <w:pPr>
      <w:autoSpaceDE w:val="0"/>
      <w:autoSpaceDN w:val="0"/>
      <w:adjustRightInd w:val="0"/>
      <w:spacing w:line="240" w:lineRule="exact"/>
      <w:jc w:val="center"/>
    </w:pPr>
    <w:rPr>
      <w:rFonts w:eastAsia="黑体" w:cs="黑体"/>
      <w:kern w:val="0"/>
      <w:sz w:val="24"/>
    </w:rPr>
  </w:style>
  <w:style w:type="character" w:customStyle="1" w:styleId="303">
    <w:name w:val="标题 6 Char"/>
    <w:basedOn w:val="53"/>
    <w:link w:val="7"/>
    <w:qFormat/>
    <w:uiPriority w:val="0"/>
    <w:rPr>
      <w:rFonts w:ascii="Arial" w:hAnsi="Arial" w:eastAsia="黑体"/>
      <w:b/>
      <w:bCs/>
      <w:sz w:val="24"/>
      <w:szCs w:val="24"/>
    </w:rPr>
  </w:style>
  <w:style w:type="character" w:customStyle="1" w:styleId="304">
    <w:name w:val="正文首行缩进 2 + Times New Roman Char"/>
    <w:basedOn w:val="53"/>
    <w:qFormat/>
    <w:uiPriority w:val="0"/>
    <w:rPr>
      <w:color w:val="000000"/>
      <w:sz w:val="24"/>
      <w:szCs w:val="22"/>
    </w:rPr>
  </w:style>
  <w:style w:type="paragraph" w:customStyle="1" w:styleId="305">
    <w:name w:val="5级标题"/>
    <w:basedOn w:val="1"/>
    <w:qFormat/>
    <w:uiPriority w:val="0"/>
    <w:pPr>
      <w:spacing w:line="360" w:lineRule="auto"/>
      <w:jc w:val="left"/>
    </w:pPr>
    <w:rPr>
      <w:rFonts w:ascii="Calibri" w:hAnsi="Calibri"/>
      <w:kern w:val="0"/>
      <w:sz w:val="24"/>
    </w:rPr>
  </w:style>
  <w:style w:type="paragraph" w:customStyle="1" w:styleId="306">
    <w:name w:val="表格、图片"/>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307">
    <w:name w:val="报告书表格"/>
    <w:basedOn w:val="1"/>
    <w:qFormat/>
    <w:uiPriority w:val="0"/>
    <w:pPr>
      <w:adjustRightInd w:val="0"/>
      <w:snapToGrid w:val="0"/>
      <w:spacing w:line="400" w:lineRule="exact"/>
      <w:jc w:val="center"/>
      <w:textAlignment w:val="baseline"/>
    </w:pPr>
    <w:rPr>
      <w:kern w:val="0"/>
      <w:szCs w:val="20"/>
    </w:rPr>
  </w:style>
  <w:style w:type="paragraph" w:customStyle="1" w:styleId="308">
    <w:name w:val="正文文本缩进1"/>
    <w:basedOn w:val="1"/>
    <w:qFormat/>
    <w:uiPriority w:val="0"/>
    <w:pPr>
      <w:adjustRightInd w:val="0"/>
      <w:snapToGrid w:val="0"/>
      <w:spacing w:line="360" w:lineRule="auto"/>
      <w:ind w:firstLine="480" w:firstLineChars="200"/>
    </w:pPr>
    <w:rPr>
      <w:rFonts w:hAnsi="宋体"/>
      <w:color w:val="000000"/>
      <w:sz w:val="24"/>
      <w:szCs w:val="22"/>
    </w:rPr>
  </w:style>
  <w:style w:type="paragraph" w:customStyle="1" w:styleId="309">
    <w:name w:val="样式正文无级"/>
    <w:basedOn w:val="1"/>
    <w:link w:val="310"/>
    <w:qFormat/>
    <w:uiPriority w:val="0"/>
    <w:pPr>
      <w:spacing w:line="360" w:lineRule="auto"/>
      <w:ind w:firstLine="480" w:firstLineChars="200"/>
    </w:pPr>
    <w:rPr>
      <w:kern w:val="0"/>
      <w:sz w:val="24"/>
    </w:rPr>
  </w:style>
  <w:style w:type="character" w:customStyle="1" w:styleId="310">
    <w:name w:val="样式正文无级 Char"/>
    <w:link w:val="309"/>
    <w:qFormat/>
    <w:uiPriority w:val="0"/>
    <w:rPr>
      <w:sz w:val="24"/>
      <w:szCs w:val="24"/>
    </w:rPr>
  </w:style>
  <w:style w:type="paragraph" w:customStyle="1" w:styleId="311">
    <w:name w:val="图表"/>
    <w:basedOn w:val="1"/>
    <w:qFormat/>
    <w:uiPriority w:val="0"/>
    <w:pPr>
      <w:adjustRightInd w:val="0"/>
      <w:snapToGrid w:val="0"/>
      <w:jc w:val="center"/>
    </w:pPr>
    <w:rPr>
      <w:rFonts w:ascii="Calibri" w:hAnsi="Calibri"/>
      <w:color w:val="000000"/>
      <w:szCs w:val="21"/>
    </w:rPr>
  </w:style>
  <w:style w:type="paragraph" w:customStyle="1" w:styleId="31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3">
    <w:name w:val="标题三"/>
    <w:next w:val="1"/>
    <w:qFormat/>
    <w:uiPriority w:val="0"/>
    <w:pPr>
      <w:numPr>
        <w:ilvl w:val="2"/>
        <w:numId w:val="2"/>
      </w:numPr>
      <w:adjustRightInd w:val="0"/>
      <w:snapToGrid w:val="0"/>
      <w:spacing w:beforeLines="50" w:afterLines="50" w:line="360" w:lineRule="auto"/>
      <w:ind w:left="1418" w:hanging="567"/>
      <w:outlineLvl w:val="2"/>
    </w:pPr>
    <w:rPr>
      <w:rFonts w:ascii="Times New Roman" w:hAnsi="Times New Roman" w:eastAsia="黑体" w:cs="Times New Roman"/>
      <w:sz w:val="24"/>
      <w:lang w:val="zh-CN" w:eastAsia="zh-CN" w:bidi="ar-SA"/>
    </w:rPr>
  </w:style>
  <w:style w:type="paragraph" w:customStyle="1" w:styleId="314">
    <w:name w:val="样式 样式 纯文本纯文本 Char Char普通文字 Char + (符号) 宋体 小四 + 首行缩进:  2 字符"/>
    <w:basedOn w:val="1"/>
    <w:qFormat/>
    <w:uiPriority w:val="0"/>
    <w:pPr>
      <w:adjustRightInd w:val="0"/>
      <w:snapToGrid w:val="0"/>
      <w:spacing w:line="360" w:lineRule="auto"/>
      <w:ind w:firstLine="480" w:firstLineChars="200"/>
    </w:pPr>
    <w:rPr>
      <w:rFonts w:cs="宋体"/>
      <w:kern w:val="0"/>
      <w:sz w:val="24"/>
      <w:szCs w:val="22"/>
    </w:rPr>
  </w:style>
  <w:style w:type="paragraph" w:customStyle="1" w:styleId="315">
    <w:name w:val="zw1"/>
    <w:basedOn w:val="1"/>
    <w:qFormat/>
    <w:uiPriority w:val="0"/>
    <w:pPr>
      <w:spacing w:line="520" w:lineRule="exact"/>
      <w:ind w:right="-107" w:rightChars="-51" w:firstLine="480" w:firstLineChars="200"/>
    </w:pPr>
    <w:rPr>
      <w:rFonts w:hAnsi="宋体"/>
      <w:bCs/>
      <w:kern w:val="8"/>
      <w:sz w:val="24"/>
      <w:szCs w:val="22"/>
    </w:rPr>
  </w:style>
  <w:style w:type="paragraph" w:customStyle="1" w:styleId="316">
    <w:name w:val="样式3"/>
    <w:basedOn w:val="1"/>
    <w:link w:val="317"/>
    <w:qFormat/>
    <w:uiPriority w:val="0"/>
    <w:pPr>
      <w:spacing w:line="360" w:lineRule="auto"/>
      <w:ind w:firstLine="200" w:firstLineChars="200"/>
      <w:jc w:val="center"/>
    </w:pPr>
    <w:rPr>
      <w:rFonts w:eastAsia="黑体"/>
      <w:sz w:val="44"/>
      <w:szCs w:val="22"/>
    </w:rPr>
  </w:style>
  <w:style w:type="character" w:customStyle="1" w:styleId="317">
    <w:name w:val="样式3 Char"/>
    <w:link w:val="316"/>
    <w:qFormat/>
    <w:uiPriority w:val="0"/>
    <w:rPr>
      <w:rFonts w:eastAsia="黑体"/>
      <w:kern w:val="2"/>
      <w:sz w:val="44"/>
      <w:szCs w:val="22"/>
    </w:rPr>
  </w:style>
  <w:style w:type="paragraph" w:customStyle="1" w:styleId="318">
    <w:name w:val="样式正文"/>
    <w:basedOn w:val="1"/>
    <w:link w:val="319"/>
    <w:qFormat/>
    <w:uiPriority w:val="0"/>
    <w:pPr>
      <w:spacing w:line="460" w:lineRule="atLeast"/>
      <w:ind w:firstLine="480" w:firstLineChars="200"/>
    </w:pPr>
    <w:rPr>
      <w:rFonts w:hAnsi="宋体"/>
      <w:bCs/>
      <w:sz w:val="24"/>
      <w:szCs w:val="22"/>
    </w:rPr>
  </w:style>
  <w:style w:type="character" w:customStyle="1" w:styleId="319">
    <w:name w:val="样式正文 Char"/>
    <w:link w:val="318"/>
    <w:qFormat/>
    <w:uiPriority w:val="0"/>
    <w:rPr>
      <w:rFonts w:hAnsi="宋体"/>
      <w:bCs/>
      <w:kern w:val="2"/>
      <w:sz w:val="24"/>
      <w:szCs w:val="22"/>
    </w:rPr>
  </w:style>
  <w:style w:type="paragraph" w:customStyle="1" w:styleId="320">
    <w:name w:val="报告表格表头"/>
    <w:basedOn w:val="19"/>
    <w:qFormat/>
    <w:uiPriority w:val="0"/>
    <w:pPr>
      <w:tabs>
        <w:tab w:val="left" w:pos="0"/>
      </w:tabs>
      <w:spacing w:beforeLines="50" w:line="240" w:lineRule="auto"/>
      <w:ind w:left="0" w:leftChars="0" w:right="0" w:rightChars="0" w:hanging="331"/>
      <w:jc w:val="center"/>
    </w:pPr>
    <w:rPr>
      <w:rFonts w:ascii="Times New Roman" w:hAnsi="Times New Roman"/>
      <w:b/>
      <w:color w:val="000000"/>
      <w:sz w:val="24"/>
      <w:szCs w:val="22"/>
    </w:rPr>
  </w:style>
  <w:style w:type="paragraph" w:customStyle="1" w:styleId="321">
    <w:name w:val="WPSOffice手动目录 1"/>
    <w:qFormat/>
    <w:uiPriority w:val="0"/>
    <w:rPr>
      <w:rFonts w:ascii="Times New Roman" w:hAnsi="Times New Roman" w:eastAsia="宋体" w:cs="Times New Roman"/>
      <w:lang w:val="en-US" w:eastAsia="zh-CN" w:bidi="ar-SA"/>
    </w:rPr>
  </w:style>
  <w:style w:type="paragraph" w:customStyle="1" w:styleId="3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24">
    <w:name w:val="鑫裕段落(G)"/>
    <w:basedOn w:val="1"/>
    <w:qFormat/>
    <w:uiPriority w:val="0"/>
    <w:pPr>
      <w:tabs>
        <w:tab w:val="left" w:pos="1021"/>
        <w:tab w:val="left" w:pos="1320"/>
      </w:tabs>
      <w:spacing w:line="360" w:lineRule="auto"/>
      <w:ind w:firstLine="480" w:firstLineChars="200"/>
    </w:pPr>
    <w:rPr>
      <w:color w:val="000000"/>
      <w:kern w:val="24"/>
      <w:sz w:val="24"/>
      <w:szCs w:val="22"/>
      <w:lang w:val="zh-CN"/>
    </w:rPr>
  </w:style>
  <w:style w:type="paragraph" w:customStyle="1" w:styleId="325">
    <w:name w:val="鑫裕表头"/>
    <w:basedOn w:val="1"/>
    <w:qFormat/>
    <w:uiPriority w:val="0"/>
    <w:pPr>
      <w:tabs>
        <w:tab w:val="left" w:pos="1021"/>
      </w:tabs>
      <w:spacing w:before="60" w:line="360" w:lineRule="auto"/>
      <w:ind w:firstLine="200" w:firstLineChars="200"/>
      <w:jc w:val="center"/>
    </w:pPr>
    <w:rPr>
      <w:rFonts w:eastAsia="黑体"/>
      <w:kern w:val="24"/>
      <w:sz w:val="24"/>
      <w:szCs w:val="22"/>
    </w:rPr>
  </w:style>
  <w:style w:type="paragraph" w:styleId="326">
    <w:name w:val="List Paragraph"/>
    <w:basedOn w:val="1"/>
    <w:qFormat/>
    <w:uiPriority w:val="99"/>
    <w:pPr>
      <w:spacing w:line="360" w:lineRule="auto"/>
      <w:ind w:firstLine="420" w:firstLineChars="200"/>
    </w:pPr>
    <w:rPr>
      <w:sz w:val="24"/>
      <w:szCs w:val="22"/>
    </w:rPr>
  </w:style>
  <w:style w:type="paragraph" w:customStyle="1" w:styleId="327">
    <w:name w:val="环正文"/>
    <w:basedOn w:val="1"/>
    <w:qFormat/>
    <w:uiPriority w:val="0"/>
    <w:pPr>
      <w:widowControl/>
      <w:suppressAutoHyphens/>
      <w:adjustRightInd w:val="0"/>
      <w:spacing w:line="500" w:lineRule="exact"/>
      <w:ind w:firstLine="555" w:firstLineChars="200"/>
      <w:textAlignment w:val="baseline"/>
    </w:pPr>
    <w:rPr>
      <w:rFonts w:eastAsia="仿宋_GB2312"/>
      <w:color w:val="000000"/>
      <w:sz w:val="28"/>
      <w:szCs w:val="28"/>
    </w:rPr>
  </w:style>
  <w:style w:type="character" w:customStyle="1" w:styleId="328">
    <w:name w:val="font11"/>
    <w:basedOn w:val="53"/>
    <w:qFormat/>
    <w:uiPriority w:val="0"/>
    <w:rPr>
      <w:rFonts w:hint="default" w:ascii="Times New Roman" w:hAnsi="Times New Roman" w:cs="Times New Roman"/>
      <w:color w:val="000000"/>
      <w:sz w:val="21"/>
      <w:szCs w:val="21"/>
      <w:u w:val="none"/>
      <w:vertAlign w:val="subscript"/>
    </w:rPr>
  </w:style>
  <w:style w:type="character" w:customStyle="1" w:styleId="329">
    <w:name w:val="明显引用 Char"/>
    <w:link w:val="330"/>
    <w:qFormat/>
    <w:uiPriority w:val="0"/>
    <w:rPr>
      <w:sz w:val="21"/>
      <w:szCs w:val="21"/>
    </w:rPr>
  </w:style>
  <w:style w:type="paragraph" w:styleId="330">
    <w:name w:val="Intense Quote"/>
    <w:basedOn w:val="1"/>
    <w:next w:val="1"/>
    <w:link w:val="329"/>
    <w:qFormat/>
    <w:uiPriority w:val="0"/>
    <w:pPr>
      <w:widowControl/>
      <w:snapToGrid w:val="0"/>
      <w:contextualSpacing/>
      <w:jc w:val="center"/>
    </w:pPr>
    <w:rPr>
      <w:kern w:val="0"/>
      <w:szCs w:val="21"/>
    </w:rPr>
  </w:style>
  <w:style w:type="character" w:customStyle="1" w:styleId="331">
    <w:name w:val="明显引用 Char1"/>
    <w:basedOn w:val="53"/>
    <w:qFormat/>
    <w:uiPriority w:val="99"/>
    <w:rPr>
      <w:b/>
      <w:bCs/>
      <w:i/>
      <w:iCs/>
      <w:color w:val="4F81BD" w:themeColor="accent1"/>
      <w:kern w:val="2"/>
      <w:sz w:val="21"/>
      <w:szCs w:val="24"/>
      <w14:textFill>
        <w14:solidFill>
          <w14:schemeClr w14:val="accent1"/>
        </w14:solidFill>
      </w14:textFill>
    </w:rPr>
  </w:style>
  <w:style w:type="paragraph" w:customStyle="1" w:styleId="332">
    <w:name w:val="表格中文字"/>
    <w:basedOn w:val="1"/>
    <w:qFormat/>
    <w:uiPriority w:val="0"/>
    <w:pPr>
      <w:adjustRightInd w:val="0"/>
      <w:snapToGrid w:val="0"/>
      <w:spacing w:line="500" w:lineRule="exact"/>
      <w:ind w:firstLine="200" w:firstLineChars="200"/>
      <w:jc w:val="center"/>
    </w:pPr>
    <w:rPr>
      <w:kern w:val="18"/>
      <w:sz w:val="24"/>
      <w:szCs w:val="21"/>
    </w:rPr>
  </w:style>
  <w:style w:type="paragraph" w:customStyle="1" w:styleId="333">
    <w:name w:val="明显引用1"/>
    <w:basedOn w:val="1"/>
    <w:next w:val="1"/>
    <w:qFormat/>
    <w:uiPriority w:val="0"/>
    <w:pPr>
      <w:widowControl/>
      <w:snapToGrid w:val="0"/>
      <w:contextualSpacing/>
      <w:jc w:val="center"/>
    </w:pPr>
    <w:rPr>
      <w:bCs/>
      <w:iCs/>
      <w:kern w:val="0"/>
      <w:szCs w:val="22"/>
      <w:lang w:eastAsia="en-US" w:bidi="en-US"/>
    </w:rPr>
  </w:style>
  <w:style w:type="paragraph" w:customStyle="1" w:styleId="334">
    <w:name w:val="ZW"/>
    <w:basedOn w:val="1"/>
    <w:qFormat/>
    <w:uiPriority w:val="0"/>
    <w:pPr>
      <w:keepNext/>
      <w:keepLines/>
      <w:spacing w:line="360" w:lineRule="auto"/>
      <w:ind w:firstLine="480" w:firstLineChars="200"/>
    </w:pPr>
    <w:rPr>
      <w:rFonts w:cs="黑体"/>
      <w:sz w:val="24"/>
    </w:rPr>
  </w:style>
  <w:style w:type="character" w:customStyle="1" w:styleId="335">
    <w:name w:val="样式1.1.1.1 Char"/>
    <w:link w:val="336"/>
    <w:qFormat/>
    <w:uiPriority w:val="0"/>
    <w:rPr>
      <w:rFonts w:hAnsi="宋体"/>
      <w:bCs/>
      <w:kern w:val="2"/>
      <w:sz w:val="24"/>
      <w:szCs w:val="24"/>
    </w:rPr>
  </w:style>
  <w:style w:type="paragraph" w:customStyle="1" w:styleId="336">
    <w:name w:val="样式1.1.1.1"/>
    <w:basedOn w:val="318"/>
    <w:link w:val="335"/>
    <w:qFormat/>
    <w:uiPriority w:val="0"/>
    <w:pPr>
      <w:adjustRightInd w:val="0"/>
      <w:snapToGrid w:val="0"/>
    </w:pPr>
    <w:rPr>
      <w:szCs w:val="24"/>
    </w:rPr>
  </w:style>
  <w:style w:type="paragraph" w:customStyle="1" w:styleId="337">
    <w:name w:val="明显引用2"/>
    <w:basedOn w:val="1"/>
    <w:next w:val="1"/>
    <w:qFormat/>
    <w:uiPriority w:val="0"/>
    <w:pPr>
      <w:widowControl/>
      <w:snapToGrid w:val="0"/>
      <w:contextualSpacing/>
      <w:jc w:val="center"/>
    </w:pPr>
    <w:rPr>
      <w:rFonts w:eastAsia="Times New Roman"/>
      <w:kern w:val="0"/>
      <w:szCs w:val="21"/>
    </w:rPr>
  </w:style>
  <w:style w:type="character" w:customStyle="1" w:styleId="338">
    <w:name w:val="font31"/>
    <w:qFormat/>
    <w:uiPriority w:val="0"/>
    <w:rPr>
      <w:rFonts w:hint="default" w:ascii="Times New Roman" w:hAnsi="Times New Roman" w:cs="Times New Roman"/>
      <w:color w:val="000000"/>
      <w:sz w:val="21"/>
      <w:szCs w:val="21"/>
      <w:u w:val="none"/>
    </w:rPr>
  </w:style>
  <w:style w:type="character" w:customStyle="1" w:styleId="339">
    <w:name w:val="font41"/>
    <w:qFormat/>
    <w:uiPriority w:val="0"/>
    <w:rPr>
      <w:rFonts w:hint="default" w:ascii="Times New Roman" w:hAnsi="Times New Roman" w:cs="Times New Roman"/>
      <w:color w:val="000000"/>
      <w:sz w:val="21"/>
      <w:szCs w:val="21"/>
      <w:u w:val="none"/>
    </w:rPr>
  </w:style>
  <w:style w:type="character" w:customStyle="1" w:styleId="340">
    <w:name w:val="表格正文 Char"/>
    <w:link w:val="204"/>
    <w:qFormat/>
    <w:uiPriority w:val="0"/>
    <w:rPr>
      <w:sz w:val="21"/>
      <w:szCs w:val="22"/>
    </w:rPr>
  </w:style>
  <w:style w:type="character" w:customStyle="1" w:styleId="341">
    <w:name w:val="未处理的提及1"/>
    <w:basedOn w:val="53"/>
    <w:semiHidden/>
    <w:unhideWhenUsed/>
    <w:qFormat/>
    <w:uiPriority w:val="99"/>
    <w:rPr>
      <w:color w:val="605E5C"/>
      <w:shd w:val="clear" w:color="auto" w:fill="E1DFDD"/>
    </w:rPr>
  </w:style>
  <w:style w:type="character" w:customStyle="1" w:styleId="342">
    <w:name w:val="未处理的提及2"/>
    <w:basedOn w:val="53"/>
    <w:semiHidden/>
    <w:unhideWhenUsed/>
    <w:qFormat/>
    <w:uiPriority w:val="99"/>
    <w:rPr>
      <w:color w:val="605E5C"/>
      <w:shd w:val="clear" w:color="auto" w:fill="E1DFDD"/>
    </w:rPr>
  </w:style>
  <w:style w:type="character" w:customStyle="1" w:styleId="343">
    <w:name w:val="标题 3 Char Char Char1"/>
    <w:qFormat/>
    <w:uiPriority w:val="0"/>
    <w:rPr>
      <w:rFonts w:ascii="Arial" w:hAnsi="Arial" w:eastAsia="宋体" w:cs="Arial"/>
      <w:b/>
      <w:bCs/>
      <w:sz w:val="26"/>
      <w:szCs w:val="26"/>
      <w:lang w:val="en-US" w:eastAsia="zh-CN" w:bidi="ar-SA"/>
    </w:rPr>
  </w:style>
  <w:style w:type="character" w:customStyle="1" w:styleId="344">
    <w:name w:val="font01"/>
    <w:qFormat/>
    <w:uiPriority w:val="0"/>
    <w:rPr>
      <w:rFonts w:hint="default" w:ascii="Times New Roman" w:hAnsi="Times New Roman" w:cs="Times New Roman"/>
      <w:color w:val="000000"/>
      <w:sz w:val="21"/>
      <w:szCs w:val="21"/>
      <w:u w:val="none"/>
    </w:rPr>
  </w:style>
  <w:style w:type="paragraph" w:customStyle="1" w:styleId="345">
    <w:name w:val="正文首缩进"/>
    <w:basedOn w:val="1"/>
    <w:next w:val="1"/>
    <w:qFormat/>
    <w:uiPriority w:val="0"/>
    <w:pPr>
      <w:spacing w:line="500" w:lineRule="exact"/>
      <w:ind w:firstLine="200" w:firstLineChars="200"/>
    </w:pPr>
    <w:rPr>
      <w:rFonts w:cstheme="minorBidi"/>
      <w:sz w:val="24"/>
      <w:szCs w:val="22"/>
    </w:rPr>
  </w:style>
  <w:style w:type="character" w:customStyle="1" w:styleId="346">
    <w:name w:val="报告正文 Char"/>
    <w:link w:val="166"/>
    <w:qFormat/>
    <w:uiPriority w:val="0"/>
    <w:rPr>
      <w:kern w:val="2"/>
      <w:sz w:val="24"/>
      <w:szCs w:val="24"/>
    </w:rPr>
  </w:style>
  <w:style w:type="paragraph" w:customStyle="1" w:styleId="347">
    <w:name w:val="01表内居中小四1.0"/>
    <w:qFormat/>
    <w:uiPriority w:val="0"/>
    <w:pPr>
      <w:overflowPunct w:val="0"/>
      <w:autoSpaceDE w:val="0"/>
      <w:autoSpaceDN w:val="0"/>
      <w:jc w:val="center"/>
      <w:textAlignment w:val="baseline"/>
    </w:pPr>
    <w:rPr>
      <w:rFonts w:ascii="Times New Roman" w:hAnsi="Times New Roman" w:eastAsia="宋体" w:cs="Times New Roman"/>
      <w:sz w:val="24"/>
      <w:szCs w:val="24"/>
      <w:lang w:val="en-US" w:eastAsia="zh-CN" w:bidi="ar-SA"/>
    </w:rPr>
  </w:style>
  <w:style w:type="paragraph" w:customStyle="1" w:styleId="348">
    <w:name w:val="03表内表"/>
    <w:qFormat/>
    <w:uiPriority w:val="0"/>
    <w:pPr>
      <w:adjustRightInd w:val="0"/>
      <w:snapToGrid w:val="0"/>
      <w:spacing w:line="276" w:lineRule="auto"/>
      <w:jc w:val="center"/>
    </w:pPr>
    <w:rPr>
      <w:rFonts w:ascii="Times New Roman" w:hAnsi="Times New Roman" w:eastAsia="宋体" w:cs="Times New Roman"/>
      <w:sz w:val="21"/>
      <w:szCs w:val="21"/>
      <w:lang w:val="en-US" w:eastAsia="zh-CN" w:bidi="ar-SA"/>
    </w:rPr>
  </w:style>
  <w:style w:type="paragraph" w:customStyle="1" w:styleId="349">
    <w:name w:val="表中文字"/>
    <w:basedOn w:val="1"/>
    <w:qFormat/>
    <w:uiPriority w:val="0"/>
    <w:pPr>
      <w:adjustRightInd w:val="0"/>
      <w:snapToGrid w:val="0"/>
      <w:jc w:val="center"/>
    </w:pPr>
    <w:rPr>
      <w:bCs/>
    </w:rPr>
  </w:style>
  <w:style w:type="paragraph" w:customStyle="1" w:styleId="350">
    <w:name w:val="0正文唐"/>
    <w:basedOn w:val="1"/>
    <w:qFormat/>
    <w:uiPriority w:val="0"/>
    <w:pPr>
      <w:spacing w:line="360" w:lineRule="auto"/>
      <w:ind w:firstLine="720" w:firstLineChars="200"/>
      <w:jc w:val="left"/>
    </w:pPr>
    <w:rPr>
      <w:sz w:val="24"/>
      <w:szCs w:val="24"/>
    </w:rPr>
  </w:style>
  <w:style w:type="paragraph" w:customStyle="1" w:styleId="351">
    <w:name w:val="正文小四"/>
    <w:autoRedefine/>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352">
    <w:name w:val="表格内文字"/>
    <w:qFormat/>
    <w:uiPriority w:val="0"/>
    <w:pPr>
      <w:jc w:val="center"/>
    </w:pPr>
    <w:rPr>
      <w:rFonts w:ascii="Times New Roman" w:hAnsi="Times New Roman" w:eastAsia="宋体" w:cs="Times New Roman"/>
      <w:sz w:val="21"/>
      <w:szCs w:val="21"/>
      <w:lang w:val="en-US" w:eastAsia="zh-CN" w:bidi="ar-SA"/>
    </w:rPr>
  </w:style>
  <w:style w:type="paragraph" w:customStyle="1" w:styleId="353">
    <w:name w:val="表字体"/>
    <w:basedOn w:val="1"/>
    <w:next w:val="1"/>
    <w:qFormat/>
    <w:uiPriority w:val="0"/>
    <w:pPr>
      <w:jc w:val="center"/>
    </w:pPr>
    <w:rPr>
      <w:rFonts w:ascii="Times New Roman" w:hAnsi="Times New Roman" w:eastAsia="宋体"/>
    </w:rPr>
  </w:style>
  <w:style w:type="paragraph" w:customStyle="1" w:styleId="354">
    <w:name w:val="Table Text"/>
    <w:basedOn w:val="1"/>
    <w:semiHidden/>
    <w:qFormat/>
    <w:uiPriority w:val="0"/>
    <w:rPr>
      <w:rFonts w:ascii="宋体" w:hAnsi="宋体" w:eastAsia="宋体" w:cs="宋体"/>
      <w:sz w:val="14"/>
      <w:szCs w:val="14"/>
      <w:lang w:val="en-US" w:eastAsia="en-US" w:bidi="ar-SA"/>
    </w:rPr>
  </w:style>
  <w:style w:type="paragraph" w:customStyle="1" w:styleId="355">
    <w:name w:val="_Style 1"/>
    <w:basedOn w:val="1"/>
    <w:next w:val="1"/>
    <w:autoRedefine/>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C620C-34E1-4CD6-8797-16B44AEA519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47025</Words>
  <Characters>53957</Characters>
  <Lines>384</Lines>
  <Paragraphs>108</Paragraphs>
  <TotalTime>43</TotalTime>
  <ScaleCrop>false</ScaleCrop>
  <LinksUpToDate>false</LinksUpToDate>
  <CharactersWithSpaces>54327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2023-04-28T07:47:00Z</dcterms:created>
  <dc:creator>lhj</dc:creator>
  <cp:lastModifiedBy>＊＊沁园惊鸿＊＊</cp:lastModifiedBy>
  <cp:lastPrinted>2023-05-03T13:17:00Z</cp:lastPrinted>
  <dcterms:modified xsi:type="dcterms:W3CDTF">2025-10-15T08:12:27Z</dcterms:modified>
  <dc:title>附件2</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729D33E31DE340A6AB400B202FBF9C4D_13</vt:lpwstr>
  </property>
  <property fmtid="{D5CDD505-2E9C-101B-9397-08002B2CF9AE}" pid="4" name="KSOTemplateDocerSaveRecord">
    <vt:lpwstr>eyJoZGlkIjoiY2Q2NmI5ZDcyOTIwZmM1N2RmZTczMzMzODQ2NDI5ZDEiLCJ1c2VySWQiOiIxMjgyMzI5MjM3In0=</vt:lpwstr>
  </property>
</Properties>
</file>