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E9" w:rsidRDefault="001747E9">
      <w:pPr>
        <w:pStyle w:val="Default"/>
        <w:jc w:val="both"/>
        <w:rPr>
          <w:rFonts w:hAnsi="黑体" w:hint="eastAsia"/>
          <w:sz w:val="36"/>
          <w:szCs w:val="36"/>
        </w:rPr>
      </w:pPr>
    </w:p>
    <w:p w:rsidR="001747E9" w:rsidRDefault="001747E9">
      <w:pPr>
        <w:pStyle w:val="Default"/>
        <w:jc w:val="center"/>
        <w:rPr>
          <w:rFonts w:ascii="Times New Roman" w:hAnsi="Times New Roman" w:cs="Times New Roman"/>
          <w:sz w:val="56"/>
          <w:szCs w:val="56"/>
        </w:rPr>
      </w:pPr>
    </w:p>
    <w:p w:rsidR="001747E9" w:rsidRDefault="001747E9">
      <w:pPr>
        <w:pStyle w:val="Default"/>
        <w:jc w:val="center"/>
        <w:rPr>
          <w:rFonts w:ascii="Times New Roman" w:hAnsi="Times New Roman" w:cs="Times New Roman"/>
          <w:sz w:val="84"/>
          <w:szCs w:val="84"/>
        </w:rPr>
      </w:pPr>
    </w:p>
    <w:p w:rsidR="001747E9" w:rsidRDefault="001747E9">
      <w:pPr>
        <w:pStyle w:val="Default"/>
        <w:jc w:val="center"/>
        <w:rPr>
          <w:rFonts w:ascii="Times New Roman" w:hAnsi="Times New Roman" w:cs="Times New Roman"/>
          <w:sz w:val="84"/>
          <w:szCs w:val="84"/>
        </w:rPr>
      </w:pPr>
    </w:p>
    <w:p w:rsidR="001747E9"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1747E9"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祁阳市八宝镇人民政府</w:t>
      </w:r>
    </w:p>
    <w:p w:rsidR="001747E9"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1747E9" w:rsidRDefault="001747E9">
      <w:pPr>
        <w:pStyle w:val="Default"/>
        <w:jc w:val="center"/>
        <w:rPr>
          <w:rFonts w:ascii="Times New Roman" w:eastAsia="方正小标宋_GBK" w:hAnsi="Times New Roman" w:cs="Times New Roman"/>
          <w:sz w:val="56"/>
          <w:szCs w:val="56"/>
        </w:rPr>
      </w:pPr>
    </w:p>
    <w:p w:rsidR="001747E9" w:rsidRDefault="001747E9">
      <w:pPr>
        <w:pStyle w:val="Default"/>
        <w:jc w:val="center"/>
        <w:rPr>
          <w:rFonts w:ascii="Times New Roman" w:hAnsi="Times New Roman" w:cs="Times New Roman"/>
          <w:sz w:val="56"/>
          <w:szCs w:val="56"/>
        </w:rPr>
      </w:pPr>
    </w:p>
    <w:p w:rsidR="001747E9" w:rsidRDefault="001747E9">
      <w:pPr>
        <w:pStyle w:val="Default"/>
        <w:rPr>
          <w:rFonts w:ascii="Times New Roman" w:hAnsi="Times New Roman" w:cs="Times New Roman"/>
          <w:sz w:val="56"/>
          <w:szCs w:val="56"/>
        </w:rPr>
      </w:pPr>
    </w:p>
    <w:p w:rsidR="001747E9" w:rsidRDefault="001747E9">
      <w:pPr>
        <w:pStyle w:val="Default"/>
        <w:jc w:val="center"/>
        <w:rPr>
          <w:rFonts w:ascii="Times New Roman" w:hAnsi="Times New Roman" w:cs="Times New Roman"/>
          <w:sz w:val="32"/>
          <w:szCs w:val="32"/>
        </w:rPr>
      </w:pPr>
    </w:p>
    <w:p w:rsidR="001747E9" w:rsidRDefault="001747E9">
      <w:pPr>
        <w:pStyle w:val="Default"/>
        <w:jc w:val="center"/>
        <w:rPr>
          <w:rFonts w:ascii="Times New Roman" w:hAnsi="Times New Roman" w:cs="Times New Roman"/>
          <w:sz w:val="32"/>
          <w:szCs w:val="32"/>
        </w:rPr>
      </w:pPr>
    </w:p>
    <w:p w:rsidR="001747E9" w:rsidRDefault="001747E9">
      <w:pPr>
        <w:pStyle w:val="Default"/>
        <w:jc w:val="center"/>
        <w:rPr>
          <w:rFonts w:ascii="Times New Roman" w:hAnsi="Times New Roman" w:cs="Times New Roman"/>
          <w:sz w:val="32"/>
          <w:szCs w:val="32"/>
        </w:rPr>
      </w:pPr>
    </w:p>
    <w:p w:rsidR="001747E9" w:rsidRDefault="001747E9">
      <w:pPr>
        <w:pStyle w:val="Default"/>
        <w:jc w:val="center"/>
        <w:rPr>
          <w:rFonts w:ascii="Times New Roman" w:hAnsi="Times New Roman" w:cs="Times New Roman"/>
          <w:sz w:val="32"/>
          <w:szCs w:val="32"/>
        </w:rPr>
      </w:pPr>
    </w:p>
    <w:p w:rsidR="001747E9" w:rsidRDefault="001747E9">
      <w:pPr>
        <w:pStyle w:val="Default"/>
        <w:jc w:val="both"/>
        <w:rPr>
          <w:rFonts w:ascii="Times New Roman" w:hAnsi="Times New Roman" w:cs="Times New Roman"/>
          <w:sz w:val="32"/>
          <w:szCs w:val="32"/>
        </w:rPr>
      </w:pPr>
    </w:p>
    <w:p w:rsidR="001747E9" w:rsidRDefault="001747E9">
      <w:pPr>
        <w:rPr>
          <w:rFonts w:ascii="Times New Roman" w:hAnsi="Times New Roman" w:cs="Times New Roman"/>
          <w:b/>
          <w:sz w:val="36"/>
          <w:szCs w:val="28"/>
        </w:rPr>
        <w:sectPr w:rsidR="001747E9">
          <w:pgSz w:w="11906" w:h="16838"/>
          <w:pgMar w:top="1417" w:right="1588" w:bottom="1417" w:left="1588" w:header="851" w:footer="992" w:gutter="0"/>
          <w:cols w:space="425"/>
          <w:docGrid w:type="lines" w:linePitch="312"/>
        </w:sectPr>
      </w:pPr>
    </w:p>
    <w:p w:rsidR="001747E9" w:rsidRDefault="001747E9">
      <w:pPr>
        <w:pStyle w:val="Default"/>
        <w:spacing w:line="600" w:lineRule="exact"/>
        <w:jc w:val="both"/>
        <w:rPr>
          <w:rFonts w:ascii="Times New Roman" w:hAnsi="Times New Roman" w:cs="Times New Roman"/>
          <w:b/>
          <w:sz w:val="36"/>
          <w:szCs w:val="28"/>
        </w:rPr>
      </w:pPr>
    </w:p>
    <w:p w:rsidR="001747E9"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1747E9" w:rsidRDefault="001747E9">
      <w:pPr>
        <w:pStyle w:val="Default"/>
        <w:spacing w:line="600" w:lineRule="exact"/>
        <w:jc w:val="center"/>
        <w:rPr>
          <w:rFonts w:ascii="Times New Roman" w:hAnsi="Times New Roman" w:cs="Times New Roman"/>
          <w:b/>
          <w:sz w:val="36"/>
          <w:szCs w:val="28"/>
        </w:rPr>
      </w:pPr>
    </w:p>
    <w:p w:rsidR="001747E9"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祁阳市八宝镇人民政府</w:t>
      </w:r>
      <w:r>
        <w:rPr>
          <w:rFonts w:ascii="Times New Roman" w:hAnsi="Times New Roman" w:cs="Times New Roman"/>
          <w:bCs/>
          <w:sz w:val="32"/>
          <w:szCs w:val="32"/>
        </w:rPr>
        <w:t>部门概况</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1747E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1747E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1747E9"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1747E9" w:rsidRDefault="001747E9">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1747E9">
          <w:footerReference w:type="default" r:id="rId8"/>
          <w:pgSz w:w="11906" w:h="16838"/>
          <w:pgMar w:top="1417" w:right="1588" w:bottom="1417" w:left="1588" w:header="851" w:footer="992" w:gutter="0"/>
          <w:pgNumType w:start="1"/>
          <w:cols w:space="425"/>
          <w:docGrid w:type="lines" w:linePitch="312"/>
        </w:sectPr>
      </w:pP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1747E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1747E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1747E9" w:rsidRDefault="001747E9">
      <w:pPr>
        <w:pStyle w:val="Default"/>
        <w:spacing w:line="600" w:lineRule="exact"/>
        <w:rPr>
          <w:rFonts w:ascii="Times New Roman" w:hAnsi="Times New Roman" w:cs="Times New Roman"/>
          <w:bCs/>
          <w:sz w:val="28"/>
          <w:szCs w:val="28"/>
        </w:rPr>
      </w:pPr>
    </w:p>
    <w:p w:rsidR="001747E9" w:rsidRDefault="001747E9">
      <w:pPr>
        <w:pStyle w:val="ab"/>
        <w:rPr>
          <w:rFonts w:ascii="Times New Roman" w:hAnsi="Times New Roman" w:cs="Times New Roman"/>
        </w:rPr>
        <w:sectPr w:rsidR="001747E9">
          <w:footerReference w:type="default" r:id="rId9"/>
          <w:pgSz w:w="11906" w:h="16838"/>
          <w:pgMar w:top="1417" w:right="1588" w:bottom="1417" w:left="1588" w:header="851" w:footer="992" w:gutter="0"/>
          <w:pgNumType w:start="1"/>
          <w:cols w:space="425"/>
          <w:docGrid w:type="lines" w:linePitch="312"/>
        </w:sectPr>
      </w:pP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祁阳市八宝镇人民政府</w:t>
      </w:r>
      <w:r>
        <w:rPr>
          <w:rFonts w:ascii="Times New Roman" w:eastAsia="方正小标宋_GBK" w:hAnsi="Times New Roman" w:cs="Times New Roman"/>
          <w:sz w:val="52"/>
          <w:szCs w:val="52"/>
        </w:rPr>
        <w:t>单位概况</w:t>
      </w:r>
    </w:p>
    <w:p w:rsidR="001747E9" w:rsidRDefault="001747E9">
      <w:pPr>
        <w:pStyle w:val="2"/>
        <w:ind w:leftChars="0" w:left="0" w:firstLineChars="0" w:firstLine="0"/>
        <w:rPr>
          <w:rFonts w:ascii="Times New Roman" w:hAnsi="Times New Roman" w:cs="Times New Roman"/>
        </w:rPr>
      </w:pPr>
    </w:p>
    <w:p w:rsidR="001747E9"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1747E9" w:rsidRDefault="00000000">
      <w:pPr>
        <w:ind w:firstLineChars="250" w:firstLine="800"/>
        <w:jc w:val="left"/>
        <w:rPr>
          <w:rFonts w:ascii="仿宋_GB2312" w:eastAsia="仿宋_GB2312" w:hAnsi="仿宋_GB2312" w:cs="仿宋_GB2312" w:hint="eastAsia"/>
          <w:sz w:val="32"/>
          <w:szCs w:val="32"/>
        </w:rPr>
      </w:pPr>
      <w:r>
        <w:rPr>
          <w:rFonts w:ascii="Times New Roman" w:eastAsia="仿宋_GB2312" w:hAnsi="Times New Roman" w:cs="仿宋_GB2312" w:hint="eastAsia"/>
          <w:sz w:val="32"/>
          <w:szCs w:val="32"/>
        </w:rPr>
        <w:t>（一）</w:t>
      </w:r>
      <w:r>
        <w:rPr>
          <w:rFonts w:ascii="仿宋_GB2312" w:eastAsia="仿宋_GB2312" w:hAnsi="仿宋_GB2312" w:cs="仿宋_GB2312" w:hint="eastAsia"/>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（二）制定并组织实施乡村建设规划，部署重点工程建设，地方道路建设及公共设施，水利设施的管理，负责土地、林木、水等自然资源和生态环境的保护，做好护林防火工作。</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（四）按计划组织本级财政收入的征收，完成国家财政计划，管好财政资金，增强财政实力。</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（五）抓好精神文明建设，丰富群众文化生活，提倡移风易俗，反对封建迷信，破除陈规陋习，树立社会主义新风尚。</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（六）完成上级党委、政府交办的其它事项。</w:t>
      </w:r>
    </w:p>
    <w:p w:rsidR="001747E9" w:rsidRDefault="00000000">
      <w:pPr>
        <w:widowControl/>
        <w:spacing w:line="6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rsidR="001747E9" w:rsidRDefault="00000000">
      <w:pPr>
        <w:widowControl/>
        <w:spacing w:line="600" w:lineRule="exact"/>
        <w:ind w:firstLineChars="100" w:firstLine="320"/>
        <w:rPr>
          <w:rFonts w:ascii="仿宋_GB2312" w:eastAsia="仿宋_GB2312" w:hAnsi="仿宋_GB2312" w:cs="仿宋_GB2312" w:hint="eastAsia"/>
          <w:bCs/>
          <w:kern w:val="0"/>
          <w:sz w:val="32"/>
          <w:szCs w:val="32"/>
        </w:rPr>
      </w:pPr>
      <w:r>
        <w:rPr>
          <w:rFonts w:ascii="Times New Roman" w:eastAsia="仿宋_GB2312" w:hAnsi="Times New Roman" w:cs="仿宋_GB2312" w:hint="eastAsia"/>
          <w:bCs/>
          <w:kern w:val="0"/>
          <w:sz w:val="32"/>
          <w:szCs w:val="32"/>
        </w:rPr>
        <w:lastRenderedPageBreak/>
        <w:t>（一）内设机构设置。</w:t>
      </w:r>
      <w:r>
        <w:rPr>
          <w:rFonts w:ascii="仿宋_GB2312" w:eastAsia="仿宋_GB2312" w:hAnsi="仿宋_GB2312" w:cs="仿宋_GB2312" w:hint="eastAsia"/>
          <w:bCs/>
          <w:kern w:val="0"/>
          <w:sz w:val="32"/>
          <w:szCs w:val="32"/>
        </w:rPr>
        <w:t>祁阳市八宝镇人民政府内设10个机构包括：</w:t>
      </w:r>
      <w:r>
        <w:rPr>
          <w:rFonts w:eastAsia="仿宋_GB2312" w:hint="eastAsia"/>
          <w:sz w:val="32"/>
          <w:szCs w:val="32"/>
        </w:rPr>
        <w:t>党政办公室、党建办公室、经济发展办公室、乡村振兴办公室、平安法治和应急管理办公室、生态事务中心、农业综合服务中心、便民服务中心、退役军人服务站、综合行政执法大队。</w:t>
      </w:r>
    </w:p>
    <w:p w:rsidR="001747E9" w:rsidRDefault="00000000">
      <w:pPr>
        <w:jc w:val="left"/>
        <w:rPr>
          <w:rFonts w:ascii="Times New Roman" w:eastAsia="仿宋_GB2312" w:hAnsi="Times New Roman" w:cs="Times New Roman"/>
          <w:sz w:val="28"/>
          <w:szCs w:val="32"/>
        </w:rPr>
      </w:pPr>
      <w:r>
        <w:rPr>
          <w:rFonts w:ascii="Times New Roman" w:eastAsia="仿宋_GB2312" w:hAnsi="Times New Roman" w:cs="仿宋_GB2312" w:hint="eastAsia"/>
          <w:bCs/>
          <w:kern w:val="0"/>
          <w:sz w:val="32"/>
          <w:szCs w:val="32"/>
        </w:rPr>
        <w:t>（二）决算单位构成。</w:t>
      </w:r>
      <w:r>
        <w:rPr>
          <w:rFonts w:ascii="仿宋_GB2312" w:eastAsia="仿宋_GB2312" w:hAnsi="仿宋_GB2312" w:cs="仿宋_GB2312" w:hint="eastAsia"/>
          <w:bCs/>
          <w:kern w:val="0"/>
          <w:sz w:val="32"/>
          <w:szCs w:val="32"/>
        </w:rPr>
        <w:t>祁阳市八宝镇人民政府2024年部门决算汇总公开单位构成包括：祁阳市八宝镇人民政府。</w:t>
      </w:r>
    </w:p>
    <w:p w:rsidR="001747E9" w:rsidRDefault="001747E9">
      <w:pPr>
        <w:jc w:val="center"/>
        <w:rPr>
          <w:rFonts w:ascii="Times New Roman" w:eastAsia="黑体" w:hAnsi="Times New Roman" w:cs="Times New Roman"/>
          <w:sz w:val="28"/>
          <w:szCs w:val="28"/>
        </w:rPr>
      </w:pPr>
    </w:p>
    <w:p w:rsidR="001747E9" w:rsidRDefault="001747E9">
      <w:pPr>
        <w:jc w:val="center"/>
        <w:rPr>
          <w:rFonts w:ascii="Times New Roman" w:eastAsia="黑体" w:hAnsi="Times New Roman" w:cs="Times New Roman"/>
          <w:sz w:val="28"/>
          <w:szCs w:val="28"/>
        </w:rPr>
      </w:pPr>
    </w:p>
    <w:p w:rsidR="001747E9" w:rsidRDefault="001747E9">
      <w:pPr>
        <w:jc w:val="center"/>
        <w:rPr>
          <w:rFonts w:ascii="Times New Roman" w:eastAsia="黑体" w:hAnsi="Times New Roman" w:cs="Times New Roman"/>
          <w:sz w:val="28"/>
          <w:szCs w:val="28"/>
        </w:rPr>
      </w:pPr>
    </w:p>
    <w:p w:rsidR="001747E9" w:rsidRDefault="001747E9">
      <w:pPr>
        <w:jc w:val="center"/>
        <w:rPr>
          <w:rFonts w:ascii="Times New Roman" w:eastAsia="黑体" w:hAnsi="Times New Roman" w:cs="Times New Roman"/>
          <w:sz w:val="28"/>
          <w:szCs w:val="28"/>
        </w:rPr>
      </w:pPr>
    </w:p>
    <w:p w:rsidR="001747E9" w:rsidRDefault="001747E9">
      <w:pPr>
        <w:jc w:val="center"/>
        <w:rPr>
          <w:rFonts w:ascii="Times New Roman" w:eastAsia="黑体" w:hAnsi="Times New Roman" w:cs="Times New Roman"/>
          <w:sz w:val="28"/>
          <w:szCs w:val="28"/>
        </w:rPr>
      </w:pPr>
    </w:p>
    <w:p w:rsidR="001747E9" w:rsidRDefault="001747E9">
      <w:pPr>
        <w:pStyle w:val="ab"/>
        <w:rPr>
          <w:rFonts w:ascii="Times New Roman" w:hAnsi="Times New Roman" w:cs="Times New Roman"/>
        </w:rPr>
        <w:sectPr w:rsidR="001747E9">
          <w:footerReference w:type="default" r:id="rId10"/>
          <w:pgSz w:w="11906" w:h="16838"/>
          <w:pgMar w:top="1417" w:right="1588" w:bottom="1417" w:left="1588" w:header="851" w:footer="992" w:gutter="0"/>
          <w:pgNumType w:start="1"/>
          <w:cols w:space="425"/>
          <w:docGrid w:type="lines" w:linePitch="312"/>
        </w:sectPr>
      </w:pPr>
    </w:p>
    <w:p w:rsidR="001747E9"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1747E9"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1747E9"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1747E9"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2"/>
        <w:gridCol w:w="850"/>
        <w:gridCol w:w="1291"/>
        <w:gridCol w:w="4851"/>
        <w:gridCol w:w="850"/>
        <w:gridCol w:w="1292"/>
      </w:tblGrid>
      <w:tr w:rsidR="001747E9">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1747E9">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1747E9">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1,733.25</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31</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1,158.80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25.09</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32</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33</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34</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35</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36</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37</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38</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112.54</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9</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39</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50.18</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40</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41</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25.09</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12</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42</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308.80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43</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14</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44</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15</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45</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16</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46</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17</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47</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18</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48</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19</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49</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20</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50</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21</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51</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22</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52</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23</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53</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24</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二十四、债务还本支出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54</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二十五、债务付息支出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55</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26</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二十六、抗疫特别国债安排的支出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56</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Cs/>
              </w:rPr>
              <w:t>27</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
              </w:rPr>
              <w:t>1,758.34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Cs/>
                <w:color w:val="000000"/>
                <w:kern w:val="0"/>
                <w:sz w:val="22"/>
                <w:lang w:bidi="ar"/>
              </w:rPr>
              <w:t>57</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
              </w:rPr>
              <w:t>1,758.34</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28</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center"/>
              <w:rPr>
                <w:rFonts w:ascii="Times New Roman" w:eastAsia="仿宋_GB2312"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58</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29</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59</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Cs/>
              </w:rPr>
              <w:t>30</w:t>
            </w:r>
          </w:p>
        </w:tc>
        <w:tc>
          <w:tcPr>
            <w:tcW w:w="1291"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
              </w:rPr>
              <w:t>1,758.34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Cs/>
                <w:color w:val="000000"/>
                <w:kern w:val="0"/>
                <w:sz w:val="22"/>
                <w:lang w:bidi="ar"/>
              </w:rPr>
              <w:t>60</w:t>
            </w:r>
          </w:p>
        </w:tc>
        <w:tc>
          <w:tcPr>
            <w:tcW w:w="1292"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
              </w:rPr>
              <w:t>1,758.34</w:t>
            </w:r>
          </w:p>
        </w:tc>
      </w:tr>
    </w:tbl>
    <w:p w:rsidR="001747E9" w:rsidRDefault="001747E9">
      <w:pPr>
        <w:widowControl/>
        <w:jc w:val="left"/>
        <w:textAlignment w:val="center"/>
        <w:rPr>
          <w:rFonts w:ascii="Times New Roman" w:eastAsia="宋体" w:hAnsi="Times New Roman" w:cs="Times New Roman"/>
          <w:color w:val="000000"/>
          <w:kern w:val="0"/>
          <w:sz w:val="24"/>
          <w:szCs w:val="24"/>
          <w:lang w:bidi="ar"/>
        </w:rPr>
      </w:pPr>
    </w:p>
    <w:p w:rsidR="001747E9"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1747E9" w:rsidRDefault="00000000">
      <w:pPr>
        <w:rPr>
          <w:rFonts w:ascii="Times New Roman" w:eastAsia="黑体" w:hAnsi="Times New Roman" w:cs="Times New Roman"/>
          <w:color w:val="000000"/>
          <w:kern w:val="0"/>
          <w:sz w:val="32"/>
          <w:szCs w:val="32"/>
          <w:lang w:bidi="ar"/>
        </w:rPr>
      </w:pPr>
      <w:r>
        <w:rPr>
          <w:rFonts w:ascii="Times New Roman" w:eastAsia="华文中宋" w:hAnsi="Times New Roman" w:cs="Times New Roman"/>
          <w:color w:val="000000"/>
          <w:sz w:val="32"/>
          <w:szCs w:val="32"/>
        </w:rPr>
        <w:br w:type="page"/>
      </w: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收入决算表</w:t>
      </w:r>
    </w:p>
    <w:p w:rsidR="001747E9"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1747E9"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2613"/>
        <w:gridCol w:w="1215"/>
        <w:gridCol w:w="1380"/>
        <w:gridCol w:w="1680"/>
        <w:gridCol w:w="1500"/>
        <w:gridCol w:w="1605"/>
        <w:gridCol w:w="1404"/>
        <w:gridCol w:w="1383"/>
      </w:tblGrid>
      <w:tr w:rsidR="001747E9">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3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1747E9">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61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215"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r>
      <w:tr w:rsidR="001747E9">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2613" w:type="dxa"/>
            <w:vMerge/>
            <w:tcBorders>
              <w:top w:val="nil"/>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r>
      <w:tr w:rsidR="001747E9">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2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5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4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1747E9">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rPr>
            </w:pPr>
            <w:r>
              <w:rPr>
                <w:rFonts w:ascii="Times New Roman" w:eastAsia="仿宋_GB2312" w:hAnsi="Times New Roman" w:cs="Times New Roman" w:hint="eastAsia"/>
                <w:b/>
                <w:bCs/>
              </w:rPr>
              <w:t>1,758.34</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rPr>
            </w:pPr>
            <w:r>
              <w:rPr>
                <w:rFonts w:ascii="Times New Roman" w:eastAsia="仿宋_GB2312" w:hAnsi="Times New Roman" w:cs="Times New Roman" w:hint="eastAsia"/>
                <w:b/>
                <w:bCs/>
              </w:rPr>
              <w:t>1,758.34</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一般公共服务支出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1,158.80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1,158.80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20103</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政府办公厅（室）及相关机构事务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1,158.75</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1,158.75</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2010301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行政运行</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1,136.60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1,136.60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2010302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13.06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13.06</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2010399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其他政府办公厅（室）及相关机构事务支出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9.09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9.09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财政事务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0.06</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2010602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0.06</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公共安全支出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公安</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3.50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3.50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2040202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3.50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3.50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20406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司法</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2040602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208</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112.54</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112.54</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20805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104.80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104.80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2080505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104.80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104.80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20899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7.74</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7.74</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2089999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7.74</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7.74</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50.18</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50.18</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21011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44.18</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44.18</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2101101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44.18</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44.18</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其他卫生健康支出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2109999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其他卫生健康支出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节能环保支出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21104</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自然生态保护</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2110499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其他自然生态保护支出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城乡社区支出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25.09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25.09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21208</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国有土地使用权出让收入安排的支出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24.70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24.70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2120816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农业农村生态环境支出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23.20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23.20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2120899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其他国有土地使用权出让收入安排的支出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1.50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1.50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21213</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城市基础设施配套费安排的支出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0.39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0.39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2121399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其他城市基础设施配套费安排的支出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0.39</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0.39</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农林水支出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308.80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308.80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巩固脱贫攻坚成果衔接乡村振兴</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2130504</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农村基础设施建设</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21307</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农村综合改革</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300.80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300.80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2130701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对村级公益事业建设的补助</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2130705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对村民委员会和村党支部的补助</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295.80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295.80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商业服务业等支出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21602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商业流通事务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2160299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其他商业流通事务支出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22102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2210201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住房公积金</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粮油物资储备支出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粮油物资事务</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2220199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其他粮油物资事务支出</w:t>
            </w:r>
          </w:p>
        </w:tc>
        <w:tc>
          <w:tcPr>
            <w:tcW w:w="12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1747E9"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1747E9" w:rsidRDefault="00000000">
      <w:pPr>
        <w:widowControl/>
        <w:jc w:val="left"/>
        <w:rPr>
          <w:rFonts w:ascii="Times New Roman" w:eastAsia="黑体" w:hAnsi="Times New Roman" w:cs="Times New Roman"/>
          <w:color w:val="000000"/>
          <w:kern w:val="0"/>
          <w:sz w:val="32"/>
          <w:szCs w:val="32"/>
          <w:lang w:bidi="ar"/>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1747E9"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1747E9"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706"/>
        <w:gridCol w:w="2794"/>
        <w:gridCol w:w="1681"/>
        <w:gridCol w:w="1320"/>
        <w:gridCol w:w="1393"/>
        <w:gridCol w:w="1618"/>
        <w:gridCol w:w="1452"/>
        <w:gridCol w:w="2245"/>
      </w:tblGrid>
      <w:tr w:rsidR="001747E9">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5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1747E9">
        <w:trPr>
          <w:trHeight w:hRule="exact" w:val="312"/>
          <w:jc w:val="center"/>
        </w:trPr>
        <w:tc>
          <w:tcPr>
            <w:tcW w:w="6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981" w:type="pct"/>
            <w:vMerge w:val="restart"/>
            <w:tcBorders>
              <w:top w:val="nil"/>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91"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r>
      <w:tr w:rsidR="001747E9">
        <w:trPr>
          <w:trHeight w:val="595"/>
          <w:jc w:val="center"/>
        </w:trPr>
        <w:tc>
          <w:tcPr>
            <w:tcW w:w="600"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981" w:type="pct"/>
            <w:vMerge/>
            <w:tcBorders>
              <w:top w:val="nil"/>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591"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r>
      <w:tr w:rsidR="001747E9">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91"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4"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90"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69"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511"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89"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1747E9">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1,758.34</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1,708.64</w:t>
            </w: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49.71</w:t>
            </w:r>
          </w:p>
        </w:tc>
        <w:tc>
          <w:tcPr>
            <w:tcW w:w="56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一般公共服务支出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1,158.80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1,145.69</w:t>
            </w: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13.12</w:t>
            </w:r>
          </w:p>
        </w:tc>
        <w:tc>
          <w:tcPr>
            <w:tcW w:w="56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政府办公厅（室）及相关机构事务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1,158.75</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1,145.69</w:t>
            </w: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13.06</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行政运行</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1,136.60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1,136.60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13.06</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13.06</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其他政府办公厅（室）及相关机构事务支出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9.09</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9.09</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20106</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财政事务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0.06</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0.06</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2010602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0.06</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0.06</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公共安全支出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11.50</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11.50</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20402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公安</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3.50</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3.50</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2040202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3.50</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3.50</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20406</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司法</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2040602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社会保障和就业支出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112.54</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112.54</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行政事业单位养老支出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104.80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104.80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2080505</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机关事业单位基本养老保险缴费支出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104.80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104.80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其他社会保障和就业支出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7.74</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7.74</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其他社会保障和就业支出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7.74</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7.74</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卫生健康支出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50.18</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50.18</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行政事业单位医疗</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44.18</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44.18</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行政单位医疗</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44.18</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44.18</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其他卫生健康支出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2109999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其他卫生健康支出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6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节能环保支出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21104</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自然生态保护</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2110499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其他自然生态保护支出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城乡社区支出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25.09</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25.09</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国有土地使用权出让收入安排的支出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24.70</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24.70</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2120816</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农业农村生态环境支出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23.20</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23.20</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其他国有土地使用权出让收入安排的支出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21213</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城市基础设施配套费安排的支出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0.39</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0.39</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2121399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其他城市基础设施配套费安排的支出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0.39</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0.39</w:t>
            </w: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农林水支出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308.80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308.80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21305</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巩固脱贫攻坚成果衔接乡村振兴</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2130504</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农村基础设施建设</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农村综合改革</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300.80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300.80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对村级公益事业建设的补助</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2130705</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对村民委员会和村党支部的补助</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295.80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295.80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216</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商业服务业等支出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21602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商业流通事务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2160299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其他商业流通事务支出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住房保障支出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住房改革支出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住房公积金</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粮油物资储备支出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粮油物资事务</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2220199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其他粮油物资事务支出</w:t>
            </w:r>
          </w:p>
        </w:tc>
        <w:tc>
          <w:tcPr>
            <w:tcW w:w="168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9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1747E9"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1747E9"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1747E9" w:rsidRDefault="001747E9">
      <w:pPr>
        <w:widowControl/>
        <w:spacing w:line="400" w:lineRule="exact"/>
        <w:jc w:val="center"/>
        <w:textAlignment w:val="center"/>
        <w:rPr>
          <w:rFonts w:ascii="Times New Roman" w:eastAsia="黑体" w:hAnsi="Times New Roman" w:cs="Times New Roman"/>
          <w:color w:val="000000"/>
          <w:kern w:val="0"/>
          <w:sz w:val="32"/>
          <w:szCs w:val="32"/>
          <w:lang w:bidi="ar"/>
        </w:rPr>
      </w:pPr>
    </w:p>
    <w:p w:rsidR="001747E9" w:rsidRDefault="001747E9">
      <w:pPr>
        <w:pStyle w:val="ab"/>
        <w:rPr>
          <w:rFonts w:ascii="Times New Roman" w:eastAsia="黑体" w:hAnsi="Times New Roman" w:cs="Times New Roman"/>
          <w:color w:val="000000"/>
          <w:kern w:val="0"/>
          <w:sz w:val="32"/>
          <w:szCs w:val="32"/>
          <w:lang w:bidi="ar"/>
        </w:rPr>
      </w:pPr>
    </w:p>
    <w:p w:rsidR="001747E9" w:rsidRDefault="001747E9">
      <w:pPr>
        <w:pStyle w:val="2"/>
        <w:ind w:firstLine="480"/>
        <w:rPr>
          <w:rFonts w:hint="eastAsia"/>
        </w:rPr>
      </w:pPr>
    </w:p>
    <w:p w:rsidR="001747E9" w:rsidRDefault="001747E9"/>
    <w:p w:rsidR="001747E9" w:rsidRDefault="001747E9">
      <w:pPr>
        <w:pStyle w:val="ab"/>
      </w:pPr>
    </w:p>
    <w:p w:rsidR="001747E9" w:rsidRDefault="001747E9">
      <w:pPr>
        <w:pStyle w:val="2"/>
        <w:ind w:firstLine="480"/>
        <w:rPr>
          <w:rFonts w:hint="eastAsia"/>
        </w:rPr>
      </w:pPr>
    </w:p>
    <w:p w:rsidR="001747E9" w:rsidRDefault="001747E9"/>
    <w:p w:rsidR="001747E9" w:rsidRDefault="001747E9"/>
    <w:p w:rsidR="001747E9" w:rsidRDefault="001747E9">
      <w:pPr>
        <w:pStyle w:val="ab"/>
      </w:pP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1747E9"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1747E9"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986"/>
        <w:gridCol w:w="2636"/>
        <w:gridCol w:w="616"/>
        <w:gridCol w:w="1051"/>
        <w:gridCol w:w="1320"/>
        <w:gridCol w:w="1635"/>
        <w:gridCol w:w="1844"/>
      </w:tblGrid>
      <w:tr w:rsidR="001747E9">
        <w:trPr>
          <w:trHeight w:val="402"/>
          <w:jc w:val="center"/>
        </w:trPr>
        <w:tc>
          <w:tcPr>
            <w:tcW w:w="51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02" w:type="dxa"/>
            <w:gridSpan w:val="6"/>
            <w:tcBorders>
              <w:top w:val="single" w:sz="4" w:space="0" w:color="auto"/>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1747E9">
        <w:trPr>
          <w:trHeight w:val="630"/>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8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3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32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635"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844"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8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3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844"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p>
        </w:tc>
        <w:tc>
          <w:tcPr>
            <w:tcW w:w="98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1,733.25</w:t>
            </w: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一、一般公共服务支出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33</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1,158.80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1,158.80</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p>
        </w:tc>
        <w:tc>
          <w:tcPr>
            <w:tcW w:w="98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25.09</w:t>
            </w: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二、外交支出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三、国防支出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35</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四、公共安全支出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36</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11.50</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五、教育支出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37</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六、科学技术支出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38</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七、文化旅游体育与传媒支出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39</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40</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112.54</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112.54</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41</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50.18</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50.18</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十、节能环保支出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42</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8.00</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十一、城乡社区支出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43</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25.09</w:t>
            </w:r>
          </w:p>
        </w:tc>
        <w:tc>
          <w:tcPr>
            <w:tcW w:w="1320"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25.09</w:t>
            </w: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十二、农林水支出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44</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308.80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308.80</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十三、交通运输支出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十四、资源勘探工业信息等支出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46</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十五、商业服务业等支出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47</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1.31</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1.31</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十六、金融支出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48</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十七、援助其他地区支出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49</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十八、自然资源海洋气象等支出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50</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十九、住房保障支出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51</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79.12</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79.12</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二十、粮油物资储备支出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52</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p>
        </w:tc>
        <w:tc>
          <w:tcPr>
            <w:tcW w:w="1635" w:type="dxa"/>
            <w:tcBorders>
              <w:top w:val="nil"/>
              <w:left w:val="nil"/>
              <w:bottom w:val="single" w:sz="4" w:space="0" w:color="auto"/>
              <w:right w:val="single" w:sz="4" w:space="0" w:color="auto"/>
            </w:tcBorders>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二十一、国有资本经营预算支出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53</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二十二、灾害防治及应急管理支出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54</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二十三、其他支出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55</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二十四、债务还本支出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二十五、债务付息支出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57</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二十六、抗疫特别国债安排的支出</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58</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98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1,758.34</w:t>
            </w:r>
          </w:p>
        </w:tc>
        <w:tc>
          <w:tcPr>
            <w:tcW w:w="263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59</w:t>
            </w:r>
          </w:p>
        </w:tc>
        <w:tc>
          <w:tcPr>
            <w:tcW w:w="1051"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1,758.34</w:t>
            </w:r>
          </w:p>
        </w:tc>
        <w:tc>
          <w:tcPr>
            <w:tcW w:w="1320"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1,733.25</w:t>
            </w:r>
          </w:p>
        </w:tc>
        <w:tc>
          <w:tcPr>
            <w:tcW w:w="163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25.09</w:t>
            </w:r>
          </w:p>
        </w:tc>
        <w:tc>
          <w:tcPr>
            <w:tcW w:w="1844"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98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263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60</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61</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98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62</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98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63</w:t>
            </w:r>
          </w:p>
        </w:tc>
        <w:tc>
          <w:tcPr>
            <w:tcW w:w="1051"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986"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1,758.34</w:t>
            </w:r>
          </w:p>
        </w:tc>
        <w:tc>
          <w:tcPr>
            <w:tcW w:w="2636"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64</w:t>
            </w:r>
          </w:p>
        </w:tc>
        <w:tc>
          <w:tcPr>
            <w:tcW w:w="1051"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1,758.34</w:t>
            </w:r>
          </w:p>
        </w:tc>
        <w:tc>
          <w:tcPr>
            <w:tcW w:w="1320"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1,733.25</w:t>
            </w:r>
          </w:p>
        </w:tc>
        <w:tc>
          <w:tcPr>
            <w:tcW w:w="1635" w:type="dxa"/>
            <w:tcBorders>
              <w:top w:val="nil"/>
              <w:left w:val="nil"/>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25.09</w:t>
            </w:r>
          </w:p>
        </w:tc>
        <w:tc>
          <w:tcPr>
            <w:tcW w:w="1844"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1747E9"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1747E9" w:rsidRDefault="001747E9">
      <w:pPr>
        <w:widowControl/>
        <w:jc w:val="center"/>
        <w:rPr>
          <w:rFonts w:ascii="Times New Roman" w:eastAsia="方正小标宋_GBK" w:hAnsi="Times New Roman" w:cs="Times New Roman"/>
          <w:kern w:val="0"/>
          <w:sz w:val="36"/>
          <w:szCs w:val="36"/>
        </w:rPr>
      </w:pP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1747E9" w:rsidRDefault="00000000">
      <w:pPr>
        <w:widowControl/>
        <w:spacing w:beforeLines="50" w:before="156"/>
        <w:ind w:left="11760" w:hangingChars="5600" w:hanging="1176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1747E9"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1747E9">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1747E9">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1747E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1747E9" w:rsidRDefault="001747E9">
            <w:pPr>
              <w:widowControl/>
              <w:jc w:val="left"/>
              <w:rPr>
                <w:rFonts w:ascii="Times New Roman" w:eastAsia="仿宋_GB2312" w:hAnsi="Times New Roman" w:cs="Times New Roman"/>
                <w:kern w:val="0"/>
                <w:szCs w:val="21"/>
              </w:rPr>
            </w:pPr>
          </w:p>
        </w:tc>
      </w:tr>
      <w:tr w:rsidR="001747E9">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1747E9" w:rsidRDefault="001747E9">
            <w:pPr>
              <w:widowControl/>
              <w:jc w:val="left"/>
              <w:rPr>
                <w:rFonts w:ascii="Times New Roman" w:eastAsia="仿宋_GB2312" w:hAnsi="Times New Roman" w:cs="Times New Roman"/>
                <w:kern w:val="0"/>
                <w:szCs w:val="21"/>
              </w:rPr>
            </w:pPr>
          </w:p>
        </w:tc>
      </w:tr>
      <w:tr w:rsidR="001747E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1747E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1,733.25</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1,708.64</w:t>
            </w: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24.62</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1,158.80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1,145.69</w:t>
            </w: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13.12</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政府办公厅（室）及相关机构事务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1,158.75</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1,145.69</w:t>
            </w: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13.06</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1,136.60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1,136.60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2010302</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13.06</w:t>
            </w:r>
          </w:p>
        </w:tc>
        <w:tc>
          <w:tcPr>
            <w:tcW w:w="3492" w:type="dxa"/>
            <w:tcBorders>
              <w:top w:val="nil"/>
              <w:left w:val="nil"/>
              <w:bottom w:val="single" w:sz="4" w:space="0" w:color="auto"/>
              <w:right w:val="single" w:sz="4" w:space="0" w:color="auto"/>
            </w:tcBorders>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13.06</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2010399</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其他政府办公厅（室）及相关机构事务支出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9.09</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9.09</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20106</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财政事务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0.06</w:t>
            </w:r>
          </w:p>
        </w:tc>
        <w:tc>
          <w:tcPr>
            <w:tcW w:w="3492" w:type="dxa"/>
            <w:tcBorders>
              <w:top w:val="nil"/>
              <w:left w:val="nil"/>
              <w:bottom w:val="single" w:sz="4" w:space="0" w:color="auto"/>
              <w:right w:val="single" w:sz="4" w:space="0" w:color="auto"/>
            </w:tcBorders>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0.06</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2010602</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0.06</w:t>
            </w:r>
          </w:p>
        </w:tc>
        <w:tc>
          <w:tcPr>
            <w:tcW w:w="3492" w:type="dxa"/>
            <w:tcBorders>
              <w:top w:val="nil"/>
              <w:left w:val="nil"/>
              <w:bottom w:val="single" w:sz="4" w:space="0" w:color="auto"/>
              <w:right w:val="single" w:sz="4" w:space="0" w:color="auto"/>
            </w:tcBorders>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0.06</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公共安全支出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11.50</w:t>
            </w:r>
          </w:p>
        </w:tc>
        <w:tc>
          <w:tcPr>
            <w:tcW w:w="3492" w:type="dxa"/>
            <w:tcBorders>
              <w:top w:val="nil"/>
              <w:left w:val="nil"/>
              <w:bottom w:val="single" w:sz="4" w:space="0" w:color="auto"/>
              <w:right w:val="single" w:sz="4" w:space="0" w:color="auto"/>
            </w:tcBorders>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20402</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公安</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3.50</w:t>
            </w:r>
          </w:p>
        </w:tc>
        <w:tc>
          <w:tcPr>
            <w:tcW w:w="3492" w:type="dxa"/>
            <w:tcBorders>
              <w:top w:val="nil"/>
              <w:left w:val="nil"/>
              <w:bottom w:val="single" w:sz="4" w:space="0" w:color="auto"/>
              <w:right w:val="single" w:sz="4" w:space="0" w:color="auto"/>
            </w:tcBorders>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2040202</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3.50</w:t>
            </w:r>
          </w:p>
        </w:tc>
        <w:tc>
          <w:tcPr>
            <w:tcW w:w="3492" w:type="dxa"/>
            <w:tcBorders>
              <w:top w:val="nil"/>
              <w:left w:val="nil"/>
              <w:bottom w:val="single" w:sz="4" w:space="0" w:color="auto"/>
              <w:right w:val="single" w:sz="4" w:space="0" w:color="auto"/>
            </w:tcBorders>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20406</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司法</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2040602</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112.54</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112.54</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行政事业单位养老支出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7.74</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7.74</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2089999</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7.74</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7.74</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卫生健康支出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50.18</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50.18</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行政事业单位医疗</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44.18</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44.18</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行政单位医疗</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44.18</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44.18</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其他卫生健康支出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2109999</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其他卫生健康支出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节能环保支出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21104</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自然生态保护</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2110499</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其他自然生态保护支出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农林水支出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308.80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308.80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巩固脱贫攻坚成果衔接乡村振兴</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2130504</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农村基础设施建设</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农村综合改革</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300.80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300.80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对村级公益事业建设的补助</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2130705</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对村民委员会和村党支部的补助</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295.80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295.80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216</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商业服务业等支出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21602</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商业流通事务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2160299</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其他商业流通事务支出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粮油物资储备支出</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w:t>
            </w:r>
          </w:p>
        </w:tc>
        <w:tc>
          <w:tcPr>
            <w:tcW w:w="3527" w:type="dxa"/>
            <w:tcBorders>
              <w:top w:val="nil"/>
              <w:left w:val="nil"/>
              <w:bottom w:val="single" w:sz="4"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粮油物资事务</w:t>
            </w:r>
          </w:p>
        </w:tc>
        <w:tc>
          <w:tcPr>
            <w:tcW w:w="3000"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492" w:type="dxa"/>
            <w:tcBorders>
              <w:top w:val="nil"/>
              <w:left w:val="nil"/>
              <w:bottom w:val="single" w:sz="4"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000" w:type="dxa"/>
            <w:tcBorders>
              <w:top w:val="nil"/>
              <w:left w:val="nil"/>
              <w:bottom w:val="single" w:sz="4"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2220199</w:t>
            </w:r>
          </w:p>
        </w:tc>
        <w:tc>
          <w:tcPr>
            <w:tcW w:w="3527" w:type="dxa"/>
            <w:tcBorders>
              <w:top w:val="nil"/>
              <w:left w:val="nil"/>
              <w:bottom w:val="single" w:sz="8" w:space="0" w:color="auto"/>
              <w:right w:val="single" w:sz="4" w:space="0" w:color="auto"/>
            </w:tcBorders>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其他粮油物资事务支出</w:t>
            </w:r>
          </w:p>
        </w:tc>
        <w:tc>
          <w:tcPr>
            <w:tcW w:w="3000" w:type="dxa"/>
            <w:tcBorders>
              <w:top w:val="nil"/>
              <w:left w:val="nil"/>
              <w:bottom w:val="single" w:sz="8"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492" w:type="dxa"/>
            <w:tcBorders>
              <w:top w:val="nil"/>
              <w:left w:val="nil"/>
              <w:bottom w:val="single" w:sz="8" w:space="0" w:color="auto"/>
              <w:right w:val="single" w:sz="4" w:space="0" w:color="auto"/>
            </w:tcBorders>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000" w:type="dxa"/>
            <w:tcBorders>
              <w:top w:val="nil"/>
              <w:left w:val="nil"/>
              <w:bottom w:val="single" w:sz="8" w:space="0" w:color="auto"/>
              <w:right w:val="single" w:sz="8" w:space="0" w:color="auto"/>
            </w:tcBorders>
            <w:vAlign w:val="center"/>
          </w:tcPr>
          <w:p w:rsidR="001747E9" w:rsidRDefault="001747E9">
            <w:pPr>
              <w:widowControl/>
              <w:jc w:val="center"/>
              <w:rPr>
                <w:rFonts w:ascii="Times New Roman" w:eastAsia="仿宋_GB2312" w:hAnsi="Times New Roman" w:cs="Times New Roman"/>
                <w:kern w:val="0"/>
                <w:szCs w:val="21"/>
              </w:rPr>
            </w:pPr>
          </w:p>
        </w:tc>
      </w:tr>
    </w:tbl>
    <w:p w:rsidR="001747E9"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1747E9" w:rsidRDefault="001747E9">
      <w:pPr>
        <w:widowControl/>
        <w:jc w:val="left"/>
        <w:rPr>
          <w:rFonts w:ascii="Times New Roman" w:eastAsia="仿宋_GB2312" w:hAnsi="Times New Roman" w:cs="Times New Roman"/>
          <w:bCs/>
          <w:kern w:val="0"/>
          <w:szCs w:val="21"/>
        </w:rPr>
      </w:pPr>
    </w:p>
    <w:p w:rsidR="001747E9"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1747E9" w:rsidRDefault="00000000">
      <w:pPr>
        <w:widowControl/>
        <w:spacing w:after="120"/>
        <w:jc w:val="center"/>
        <w:textAlignment w:val="center"/>
        <w:rPr>
          <w:rFonts w:ascii="Times New Roman" w:eastAsia="仿宋_GB2312" w:hAnsi="Times New Roman" w:cs="Times New Roman"/>
          <w:color w:val="000000"/>
          <w:kern w:val="0"/>
          <w:szCs w:val="21"/>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1747E9" w:rsidRDefault="00000000">
      <w:pPr>
        <w:widowControl/>
        <w:wordWrap w:val="0"/>
        <w:spacing w:line="240" w:lineRule="exac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1747E9"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1747E9">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1,126.69</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260.84</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321.44</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69.56</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293.24</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33.54</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170.03</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20.00</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54.14</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104.80</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44.18</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13.74</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18.26</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79.12</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26.00</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321.11</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3.57</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321.11</w:t>
            </w: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6.30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1747E9" w:rsidRDefault="001747E9">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1747E9">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1747E9">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1747E9" w:rsidRDefault="001747E9">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1747E9">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1747E9">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1747E9"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1747E9" w:rsidRDefault="001747E9">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56.30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29.00</w:t>
            </w:r>
          </w:p>
        </w:tc>
        <w:tc>
          <w:tcPr>
            <w:tcW w:w="12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1,447.80</w:t>
            </w:r>
          </w:p>
        </w:tc>
        <w:tc>
          <w:tcPr>
            <w:tcW w:w="8801" w:type="dxa"/>
            <w:gridSpan w:val="5"/>
            <w:tcBorders>
              <w:top w:val="single" w:sz="4" w:space="0" w:color="auto"/>
              <w:left w:val="nil"/>
              <w:bottom w:val="single" w:sz="4" w:space="0" w:color="auto"/>
              <w:right w:val="single" w:sz="4" w:space="0" w:color="auto"/>
            </w:tcBorders>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公用经费合计</w:t>
            </w:r>
          </w:p>
        </w:tc>
        <w:tc>
          <w:tcPr>
            <w:tcW w:w="929" w:type="dxa"/>
            <w:tcBorders>
              <w:top w:val="nil"/>
              <w:left w:val="nil"/>
              <w:bottom w:val="single" w:sz="4" w:space="0" w:color="auto"/>
              <w:right w:val="single" w:sz="4" w:space="0" w:color="auto"/>
            </w:tcBorders>
            <w:shd w:val="clear" w:color="auto" w:fill="FFFFFF"/>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260.84</w:t>
            </w:r>
          </w:p>
        </w:tc>
      </w:tr>
    </w:tbl>
    <w:p w:rsidR="001747E9" w:rsidRDefault="00000000">
      <w:pPr>
        <w:widowControl/>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Cs w:val="24"/>
        </w:rPr>
        <w:t>注：本表反映部门本年度一般公共预算财政拨款基本支出明细情况。</w:t>
      </w: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政府性基金预算财政拨款收入支出决算表</w:t>
      </w:r>
    </w:p>
    <w:p w:rsidR="001747E9"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1747E9" w:rsidRDefault="00000000">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2652"/>
        <w:gridCol w:w="1650"/>
        <w:gridCol w:w="1590"/>
        <w:gridCol w:w="1860"/>
        <w:gridCol w:w="1650"/>
        <w:gridCol w:w="1860"/>
        <w:gridCol w:w="1567"/>
      </w:tblGrid>
      <w:tr w:rsidR="001747E9">
        <w:trPr>
          <w:trHeight w:val="459"/>
          <w:jc w:val="center"/>
        </w:trPr>
        <w:tc>
          <w:tcPr>
            <w:tcW w:w="4149" w:type="dxa"/>
            <w:gridSpan w:val="2"/>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370" w:type="dxa"/>
            <w:gridSpan w:val="3"/>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567" w:type="dxa"/>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1747E9">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652" w:type="dxa"/>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rPr>
                <w:rFonts w:ascii="Times New Roman" w:eastAsia="仿宋_GB2312" w:hAnsi="Times New Roman" w:cs="Times New Roman"/>
                <w:b/>
                <w:bCs/>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rPr>
                <w:rFonts w:ascii="Times New Roman" w:eastAsia="仿宋_GB2312" w:hAnsi="Times New Roman" w:cs="Times New Roman"/>
                <w:b/>
                <w:bCs/>
                <w:color w:val="000000"/>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860" w:type="dxa"/>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567"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rPr>
                <w:rFonts w:ascii="Times New Roman" w:eastAsia="仿宋_GB2312" w:hAnsi="Times New Roman" w:cs="Times New Roman"/>
                <w:color w:val="000000"/>
                <w:sz w:val="24"/>
                <w:szCs w:val="24"/>
              </w:rPr>
            </w:pPr>
          </w:p>
        </w:tc>
      </w:tr>
      <w:tr w:rsidR="001747E9">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2652"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567"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2652"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567" w:type="dxa"/>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509"/>
          <w:jc w:val="center"/>
        </w:trPr>
        <w:tc>
          <w:tcPr>
            <w:tcW w:w="4149" w:type="dxa"/>
            <w:gridSpan w:val="2"/>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59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567"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1747E9">
        <w:trPr>
          <w:trHeight w:val="509"/>
          <w:jc w:val="center"/>
        </w:trPr>
        <w:tc>
          <w:tcPr>
            <w:tcW w:w="4149" w:type="dxa"/>
            <w:gridSpan w:val="2"/>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b/>
                <w:bCs/>
                <w:color w:val="000000"/>
                <w:kern w:val="0"/>
                <w:szCs w:val="20"/>
              </w:rPr>
            </w:pPr>
            <w:r>
              <w:rPr>
                <w:rFonts w:ascii="Times New Roman" w:eastAsia="仿宋_GB2312" w:hAnsi="Times New Roman" w:cs="Times New Roman" w:hint="eastAsia"/>
                <w:b/>
                <w:bCs/>
                <w:color w:val="000000"/>
                <w:kern w:val="0"/>
                <w:szCs w:val="20"/>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b/>
                <w:bCs/>
                <w:color w:val="000000"/>
                <w:kern w:val="0"/>
                <w:szCs w:val="20"/>
              </w:rPr>
            </w:pPr>
            <w:r>
              <w:rPr>
                <w:rFonts w:ascii="Times New Roman" w:eastAsia="仿宋_GB2312" w:hAnsi="Times New Roman" w:cs="Times New Roman" w:hint="eastAsia"/>
                <w:b/>
                <w:bCs/>
                <w:color w:val="000000"/>
                <w:kern w:val="0"/>
                <w:szCs w:val="20"/>
              </w:rPr>
              <w:t>25.09</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b/>
                <w:bCs/>
                <w:color w:val="000000"/>
                <w:kern w:val="0"/>
                <w:szCs w:val="20"/>
              </w:rPr>
            </w:pPr>
            <w:r>
              <w:rPr>
                <w:rFonts w:ascii="Times New Roman" w:eastAsia="仿宋_GB2312" w:hAnsi="Times New Roman" w:cs="Times New Roman" w:hint="eastAsia"/>
                <w:b/>
                <w:bCs/>
                <w:color w:val="000000"/>
                <w:kern w:val="0"/>
                <w:szCs w:val="20"/>
              </w:rPr>
              <w:t>25.09</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rPr>
                <w:rFonts w:ascii="Times New Roman" w:eastAsia="仿宋_GB2312" w:hAnsi="Times New Roman" w:cs="Times New Roman"/>
                <w:b/>
                <w:bCs/>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b/>
                <w:bCs/>
                <w:color w:val="000000"/>
                <w:kern w:val="0"/>
                <w:szCs w:val="20"/>
              </w:rPr>
            </w:pPr>
            <w:r>
              <w:rPr>
                <w:rFonts w:ascii="Times New Roman" w:eastAsia="仿宋_GB2312" w:hAnsi="Times New Roman" w:cs="Times New Roman" w:hint="eastAsia"/>
                <w:b/>
                <w:bCs/>
                <w:color w:val="000000"/>
                <w:kern w:val="0"/>
                <w:szCs w:val="20"/>
              </w:rPr>
              <w:t>25.09</w:t>
            </w:r>
          </w:p>
        </w:tc>
        <w:tc>
          <w:tcPr>
            <w:tcW w:w="1567" w:type="dxa"/>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w:t>
            </w:r>
          </w:p>
        </w:tc>
        <w:tc>
          <w:tcPr>
            <w:tcW w:w="2652"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城乡社区支出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25.09</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25.09</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25.09</w:t>
            </w:r>
          </w:p>
        </w:tc>
        <w:tc>
          <w:tcPr>
            <w:tcW w:w="1567" w:type="dxa"/>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21208</w:t>
            </w:r>
          </w:p>
        </w:tc>
        <w:tc>
          <w:tcPr>
            <w:tcW w:w="2652"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国有土地使用权出让收入安排的支出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24.70</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24.70</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24.70</w:t>
            </w:r>
          </w:p>
        </w:tc>
        <w:tc>
          <w:tcPr>
            <w:tcW w:w="1567" w:type="dxa"/>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2120816</w:t>
            </w:r>
          </w:p>
        </w:tc>
        <w:tc>
          <w:tcPr>
            <w:tcW w:w="2652"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农业农村生态环境支出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23.20</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23.20</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23.20</w:t>
            </w:r>
          </w:p>
        </w:tc>
        <w:tc>
          <w:tcPr>
            <w:tcW w:w="1567" w:type="dxa"/>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2120899</w:t>
            </w:r>
          </w:p>
        </w:tc>
        <w:tc>
          <w:tcPr>
            <w:tcW w:w="2652"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其他国有土地使用权出让收入安排的支出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kern w:val="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1.50</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1.50</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1.50</w:t>
            </w:r>
          </w:p>
        </w:tc>
        <w:tc>
          <w:tcPr>
            <w:tcW w:w="1567" w:type="dxa"/>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21213</w:t>
            </w:r>
          </w:p>
        </w:tc>
        <w:tc>
          <w:tcPr>
            <w:tcW w:w="2652"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城市基础设施配套费安排的支出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kern w:val="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567" w:type="dxa"/>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2121399</w:t>
            </w:r>
          </w:p>
        </w:tc>
        <w:tc>
          <w:tcPr>
            <w:tcW w:w="2652"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其他城市基础设施配套费安排的支出</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kern w:val="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650" w:type="dxa"/>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567" w:type="dxa"/>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r>
    </w:tbl>
    <w:p w:rsidR="001747E9"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1747E9" w:rsidRDefault="001747E9">
      <w:pPr>
        <w:widowControl/>
        <w:jc w:val="left"/>
        <w:textAlignment w:val="center"/>
        <w:rPr>
          <w:rFonts w:ascii="Times New Roman" w:eastAsia="仿宋_GB2312" w:hAnsi="Times New Roman" w:cs="Times New Roman"/>
          <w:color w:val="000000"/>
          <w:kern w:val="0"/>
          <w:sz w:val="24"/>
          <w:szCs w:val="24"/>
          <w:lang w:bidi="ar"/>
        </w:rPr>
      </w:pPr>
    </w:p>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1747E9" w:rsidRDefault="001747E9">
      <w:pPr>
        <w:widowControl/>
        <w:spacing w:line="400" w:lineRule="exact"/>
        <w:textAlignment w:val="center"/>
        <w:rPr>
          <w:rFonts w:ascii="Times New Roman" w:eastAsia="黑体" w:hAnsi="Times New Roman" w:cs="Times New Roman"/>
          <w:color w:val="000000"/>
          <w:kern w:val="0"/>
          <w:sz w:val="36"/>
          <w:szCs w:val="36"/>
          <w:lang w:bidi="ar"/>
        </w:rPr>
      </w:pPr>
    </w:p>
    <w:p w:rsidR="001747E9" w:rsidRDefault="001747E9">
      <w:pPr>
        <w:pStyle w:val="ab"/>
      </w:pP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1747E9"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1747E9" w:rsidRDefault="00000000">
      <w:pPr>
        <w:widowControl/>
        <w:tabs>
          <w:tab w:val="left" w:pos="1326"/>
          <w:tab w:val="left" w:pos="2027"/>
          <w:tab w:val="left" w:pos="4319"/>
          <w:tab w:val="left" w:pos="7634"/>
          <w:tab w:val="left" w:pos="10949"/>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1747E9">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1747E9">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1747E9">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1747E9">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仿宋_GB2312"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1747E9" w:rsidRDefault="001747E9">
            <w:pPr>
              <w:rPr>
                <w:rFonts w:ascii="Times New Roman" w:eastAsia="宋体" w:hAnsi="Times New Roman" w:cs="Times New Roman"/>
                <w:color w:val="000000"/>
                <w:sz w:val="24"/>
                <w:szCs w:val="24"/>
              </w:rPr>
            </w:pPr>
          </w:p>
        </w:tc>
      </w:tr>
    </w:tbl>
    <w:p w:rsidR="001747E9"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1747E9" w:rsidRDefault="001747E9">
      <w:pPr>
        <w:widowControl/>
        <w:jc w:val="left"/>
        <w:textAlignment w:val="center"/>
        <w:rPr>
          <w:rFonts w:ascii="Times New Roman" w:eastAsia="宋体" w:hAnsi="Times New Roman" w:cs="Times New Roman"/>
          <w:color w:val="000000"/>
          <w:kern w:val="0"/>
          <w:sz w:val="24"/>
          <w:szCs w:val="24"/>
          <w:lang w:bidi="ar"/>
        </w:rPr>
      </w:pPr>
    </w:p>
    <w:p w:rsidR="001747E9"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1747E9" w:rsidRDefault="001747E9">
      <w:pPr>
        <w:widowControl/>
        <w:jc w:val="center"/>
        <w:rPr>
          <w:rFonts w:ascii="Times New Roman" w:eastAsia="方正小标宋_GBK" w:hAnsi="Times New Roman" w:cs="Times New Roman"/>
          <w:color w:val="000000"/>
          <w:kern w:val="0"/>
          <w:sz w:val="36"/>
          <w:szCs w:val="36"/>
        </w:rPr>
      </w:pPr>
    </w:p>
    <w:p w:rsidR="001747E9" w:rsidRDefault="001747E9">
      <w:pPr>
        <w:pStyle w:val="ab"/>
        <w:spacing w:line="400" w:lineRule="exact"/>
        <w:rPr>
          <w:rFonts w:ascii="Times New Roman" w:eastAsia="华文中宋" w:hAnsi="Times New Roman" w:cs="Times New Roman"/>
          <w:color w:val="000000"/>
          <w:kern w:val="0"/>
          <w:sz w:val="32"/>
          <w:szCs w:val="32"/>
          <w:lang w:bidi="ar"/>
        </w:rPr>
      </w:pP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1747E9"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kern w:val="0"/>
          <w:sz w:val="20"/>
          <w:szCs w:val="20"/>
          <w:lang w:bidi="ar"/>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1747E9"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1747E9">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1747E9">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1747E9">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1747E9" w:rsidRDefault="001747E9">
            <w:pPr>
              <w:jc w:val="center"/>
              <w:rPr>
                <w:rFonts w:ascii="Times New Roman" w:eastAsia="仿宋_GB2312" w:hAnsi="Times New Roman" w:cs="Times New Roman"/>
                <w:color w:val="000000"/>
                <w:sz w:val="22"/>
              </w:rPr>
            </w:pPr>
          </w:p>
        </w:tc>
      </w:tr>
      <w:tr w:rsidR="001747E9">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1747E9">
        <w:trPr>
          <w:trHeight w:val="579"/>
          <w:jc w:val="center"/>
        </w:trPr>
        <w:tc>
          <w:tcPr>
            <w:tcW w:w="934"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13.75</w:t>
            </w:r>
          </w:p>
        </w:tc>
        <w:tc>
          <w:tcPr>
            <w:tcW w:w="1228" w:type="dxa"/>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textAlignment w:val="center"/>
              <w:rPr>
                <w:rFonts w:ascii="Times New Roman" w:eastAsia="仿宋_GB2312" w:hAnsi="Times New Roman" w:cs="Times New Roman"/>
                <w:color w:val="000000"/>
                <w:kern w:val="0"/>
                <w:sz w:val="22"/>
                <w:lang w:bidi="ar"/>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9.45</w:t>
            </w:r>
          </w:p>
        </w:tc>
        <w:tc>
          <w:tcPr>
            <w:tcW w:w="1187" w:type="dxa"/>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textAlignment w:val="center"/>
              <w:rPr>
                <w:rFonts w:ascii="Times New Roman" w:eastAsia="仿宋_GB2312" w:hAnsi="Times New Roman" w:cs="Times New Roman"/>
                <w:color w:val="000000"/>
                <w:kern w:val="0"/>
                <w:sz w:val="22"/>
                <w:lang w:bidi="ar"/>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9.45</w:t>
            </w:r>
          </w:p>
        </w:tc>
        <w:tc>
          <w:tcPr>
            <w:tcW w:w="1379"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4.30</w:t>
            </w:r>
          </w:p>
        </w:tc>
        <w:tc>
          <w:tcPr>
            <w:tcW w:w="105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7.87</w:t>
            </w:r>
          </w:p>
        </w:tc>
        <w:tc>
          <w:tcPr>
            <w:tcW w:w="1166" w:type="dxa"/>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textAlignment w:val="center"/>
              <w:rPr>
                <w:rFonts w:ascii="Times New Roman" w:eastAsia="仿宋_GB2312" w:hAnsi="Times New Roman" w:cs="Times New Roman"/>
                <w:color w:val="000000"/>
                <w:kern w:val="0"/>
                <w:sz w:val="22"/>
                <w:lang w:bidi="ar"/>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4.30</w:t>
            </w:r>
          </w:p>
        </w:tc>
        <w:tc>
          <w:tcPr>
            <w:tcW w:w="1166" w:type="dxa"/>
            <w:tcBorders>
              <w:top w:val="single" w:sz="4" w:space="0" w:color="000000"/>
              <w:left w:val="single" w:sz="4" w:space="0" w:color="000000"/>
              <w:bottom w:val="single" w:sz="4" w:space="0" w:color="000000"/>
              <w:right w:val="single" w:sz="4" w:space="0" w:color="000000"/>
            </w:tcBorders>
            <w:vAlign w:val="center"/>
          </w:tcPr>
          <w:p w:rsidR="001747E9" w:rsidRDefault="001747E9">
            <w:pPr>
              <w:widowControl/>
              <w:jc w:val="center"/>
              <w:textAlignment w:val="center"/>
              <w:rPr>
                <w:rFonts w:ascii="Times New Roman" w:eastAsia="仿宋_GB2312" w:hAnsi="Times New Roman" w:cs="Times New Roman"/>
                <w:color w:val="000000"/>
                <w:kern w:val="0"/>
                <w:sz w:val="22"/>
                <w:lang w:bidi="ar"/>
              </w:rPr>
            </w:pPr>
          </w:p>
        </w:tc>
        <w:tc>
          <w:tcPr>
            <w:tcW w:w="1358"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4.30</w:t>
            </w:r>
          </w:p>
        </w:tc>
        <w:tc>
          <w:tcPr>
            <w:tcW w:w="1400" w:type="dxa"/>
            <w:tcBorders>
              <w:top w:val="single" w:sz="4" w:space="0" w:color="000000"/>
              <w:left w:val="single" w:sz="4" w:space="0" w:color="000000"/>
              <w:bottom w:val="single" w:sz="4" w:space="0" w:color="000000"/>
              <w:right w:val="single" w:sz="4" w:space="0" w:color="000000"/>
            </w:tcBorders>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3.57</w:t>
            </w:r>
          </w:p>
        </w:tc>
      </w:tr>
    </w:tbl>
    <w:p w:rsidR="001747E9"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000000">
      <w:pPr>
        <w:widowControl/>
        <w:rPr>
          <w:rFonts w:ascii="Times New Roman" w:hAnsi="Times New Roman" w:cs="Times New Roman"/>
          <w:sz w:val="72"/>
          <w:szCs w:val="72"/>
        </w:rPr>
        <w:sectPr w:rsidR="001747E9">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1747E9" w:rsidRDefault="001747E9">
      <w:pPr>
        <w:pStyle w:val="Default"/>
        <w:rPr>
          <w:rFonts w:ascii="Times New Roman" w:hAnsi="Times New Roman" w:cs="Times New Roman"/>
          <w:sz w:val="72"/>
          <w:szCs w:val="72"/>
        </w:rPr>
      </w:pPr>
    </w:p>
    <w:p w:rsidR="001747E9" w:rsidRDefault="001747E9">
      <w:pPr>
        <w:pStyle w:val="Default"/>
        <w:rPr>
          <w:rFonts w:ascii="Times New Roman" w:hAnsi="Times New Roman" w:cs="Times New Roman"/>
          <w:sz w:val="72"/>
          <w:szCs w:val="72"/>
        </w:rPr>
      </w:pPr>
    </w:p>
    <w:p w:rsidR="001747E9" w:rsidRDefault="001747E9">
      <w:pPr>
        <w:pStyle w:val="Default"/>
        <w:rPr>
          <w:rFonts w:ascii="Times New Roman" w:hAnsi="Times New Roman" w:cs="Times New Roman"/>
          <w:sz w:val="72"/>
          <w:szCs w:val="72"/>
        </w:rPr>
      </w:pPr>
    </w:p>
    <w:p w:rsidR="001747E9" w:rsidRDefault="001747E9">
      <w:pPr>
        <w:pStyle w:val="Default"/>
        <w:jc w:val="center"/>
        <w:rPr>
          <w:rFonts w:ascii="Times New Roman" w:hAnsi="Times New Roman" w:cs="Times New Roman"/>
          <w:sz w:val="72"/>
          <w:szCs w:val="72"/>
        </w:rPr>
      </w:pPr>
    </w:p>
    <w:p w:rsidR="001747E9" w:rsidRDefault="001747E9">
      <w:pPr>
        <w:pStyle w:val="Default"/>
        <w:jc w:val="center"/>
        <w:rPr>
          <w:rFonts w:ascii="Times New Roman" w:eastAsia="方正小标宋_GBK" w:hAnsi="Times New Roman" w:cs="Times New Roman"/>
          <w:sz w:val="72"/>
          <w:szCs w:val="72"/>
        </w:rPr>
      </w:pP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1747E9"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224.25</w:t>
      </w:r>
      <w:r>
        <w:rPr>
          <w:rFonts w:ascii="Times New Roman" w:eastAsia="仿宋_GB2312" w:hAnsi="Times New Roman" w:cs="Times New Roman"/>
          <w:sz w:val="32"/>
          <w:szCs w:val="32"/>
        </w:rPr>
        <w:t>万元，降</w:t>
      </w:r>
      <w:r>
        <w:rPr>
          <w:rFonts w:ascii="Times New Roman" w:eastAsia="仿宋_GB2312" w:hAnsi="Times New Roman" w:cs="Times New Roman" w:hint="eastAsia"/>
          <w:sz w:val="32"/>
          <w:szCs w:val="32"/>
        </w:rPr>
        <w:t>低</w:t>
      </w:r>
      <w:r>
        <w:rPr>
          <w:rFonts w:ascii="Times New Roman" w:eastAsia="仿宋_GB2312" w:hAnsi="Times New Roman" w:cs="Times New Roman" w:hint="eastAsia"/>
          <w:sz w:val="32"/>
          <w:szCs w:val="32"/>
        </w:rPr>
        <w:t>11.31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农林水支出减少。</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1708.64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97.17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49.71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224.25</w:t>
      </w:r>
      <w:r>
        <w:rPr>
          <w:rFonts w:ascii="Times New Roman" w:eastAsia="仿宋_GB2312" w:hAnsi="Times New Roman" w:cs="Times New Roman"/>
          <w:sz w:val="32"/>
          <w:szCs w:val="32"/>
        </w:rPr>
        <w:t>万元，降</w:t>
      </w:r>
      <w:r>
        <w:rPr>
          <w:rFonts w:ascii="Times New Roman" w:eastAsia="仿宋_GB2312" w:hAnsi="Times New Roman" w:cs="Times New Roman" w:hint="eastAsia"/>
          <w:sz w:val="32"/>
          <w:szCs w:val="32"/>
        </w:rPr>
        <w:t>低</w:t>
      </w:r>
      <w:r>
        <w:rPr>
          <w:rFonts w:ascii="Times New Roman" w:eastAsia="仿宋_GB2312" w:hAnsi="Times New Roman" w:cs="Times New Roman" w:hint="eastAsia"/>
          <w:sz w:val="32"/>
          <w:szCs w:val="32"/>
        </w:rPr>
        <w:t>11.31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农林水支出减少。</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1733.25</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98.57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249.34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14.39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，主要是因为为</w:t>
      </w:r>
      <w:r>
        <w:rPr>
          <w:rFonts w:ascii="Times New Roman" w:eastAsia="仿宋_GB2312" w:hAnsi="Times New Roman" w:cs="Times New Roman" w:hint="eastAsia"/>
          <w:sz w:val="32"/>
          <w:szCs w:val="32"/>
        </w:rPr>
        <w:t>农林水项目支出的减少。</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1733.25</w:t>
      </w:r>
      <w:r>
        <w:rPr>
          <w:rFonts w:ascii="Times New Roman" w:eastAsia="仿宋_GB2312" w:hAnsi="Times New Roman" w:cs="Times New Roman"/>
          <w:sz w:val="32"/>
          <w:szCs w:val="32"/>
        </w:rPr>
        <w:t>万元，主要用于以下方面：</w:t>
      </w:r>
      <w:r>
        <w:rPr>
          <w:rFonts w:ascii="Times New Roman" w:eastAsia="仿宋_GB2312" w:hAnsi="Times New Roman" w:cs="Times New Roman"/>
          <w:sz w:val="32"/>
          <w:szCs w:val="32"/>
        </w:rPr>
        <w:lastRenderedPageBreak/>
        <w:t>一般公共服务（类）支出</w:t>
      </w:r>
      <w:r>
        <w:rPr>
          <w:rFonts w:ascii="Times New Roman" w:eastAsia="仿宋_GB2312" w:hAnsi="Times New Roman" w:cs="Times New Roman" w:hint="eastAsia"/>
          <w:sz w:val="32"/>
          <w:szCs w:val="32"/>
        </w:rPr>
        <w:t>1158.8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66.86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公共安全支出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11.5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0.66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社会保障和就业支出（类）支出</w:t>
      </w:r>
      <w:r>
        <w:rPr>
          <w:rFonts w:ascii="Times New Roman" w:eastAsia="仿宋_GB2312" w:hAnsi="Times New Roman" w:cs="Times New Roman" w:hint="eastAsia"/>
          <w:sz w:val="32"/>
          <w:szCs w:val="32"/>
        </w:rPr>
        <w:t>112.54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6.49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卫生健康支出（类）支出</w:t>
      </w:r>
      <w:r>
        <w:rPr>
          <w:rFonts w:ascii="Times New Roman" w:eastAsia="仿宋_GB2312" w:hAnsi="Times New Roman" w:cs="Times New Roman" w:hint="eastAsia"/>
          <w:sz w:val="32"/>
          <w:szCs w:val="32"/>
        </w:rPr>
        <w:t>50.18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节能环保支出（类）支出</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0.46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农林水支出（类）支出</w:t>
      </w:r>
      <w:r>
        <w:rPr>
          <w:rFonts w:ascii="Times New Roman" w:eastAsia="仿宋_GB2312" w:hAnsi="Times New Roman" w:cs="Times New Roman" w:hint="eastAsia"/>
          <w:sz w:val="32"/>
          <w:szCs w:val="32"/>
        </w:rPr>
        <w:t>308.8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17.81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商业服务业等支出（类）支出</w:t>
      </w:r>
      <w:r>
        <w:rPr>
          <w:rFonts w:ascii="Times New Roman" w:eastAsia="仿宋_GB2312" w:hAnsi="Times New Roman" w:cs="Times New Roman" w:hint="eastAsia"/>
          <w:sz w:val="32"/>
          <w:szCs w:val="32"/>
        </w:rPr>
        <w:t>1.31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0.08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住房保障支出（类）支出</w:t>
      </w:r>
      <w:r>
        <w:rPr>
          <w:rFonts w:ascii="Times New Roman" w:eastAsia="仿宋_GB2312" w:hAnsi="Times New Roman" w:cs="Times New Roman" w:hint="eastAsia"/>
          <w:sz w:val="32"/>
          <w:szCs w:val="32"/>
        </w:rPr>
        <w:t>79.12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4.56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粮油物资储备支出（类）支出</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0.17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1824.53</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1733.25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1120.18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1136.6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101.46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w:t>
      </w:r>
      <w:r>
        <w:rPr>
          <w:rFonts w:ascii="Times New Roman" w:eastAsia="仿宋_GB2312" w:hAnsi="Times New Roman" w:hint="eastAsia"/>
          <w:sz w:val="32"/>
          <w:szCs w:val="32"/>
        </w:rPr>
        <w:t>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13.06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其他政府办公厅（室）及相关机构事务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9.09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lastRenderedPageBreak/>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财政事务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公共安全支出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公安</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公共安全支出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司法</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108.68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104.80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96.43%</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7.74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lastRenderedPageBreak/>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、卫生健康支出（类）行政事业单位医疗（款）行政单位医疗（项）</w:t>
      </w:r>
    </w:p>
    <w:p w:rsidR="001747E9"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44.18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44.18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w:t>
      </w:r>
      <w:r>
        <w:rPr>
          <w:rFonts w:ascii="仿宋" w:eastAsia="仿宋" w:hAnsi="仿宋" w:cs="仿宋" w:hint="eastAsia"/>
          <w:sz w:val="32"/>
          <w:szCs w:val="32"/>
        </w:rPr>
        <w:t>严格执行财政预算规定核算支出。</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、卫生健康支出（类）其他卫生健康支出（款）其他卫生健康支出（项）</w:t>
      </w:r>
    </w:p>
    <w:p w:rsidR="001747E9"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6</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、节能环保支出（类）自然生态保护（款）其他自然生态保护支出（项）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年初预算为万元，支出决算为</w:t>
      </w:r>
      <w:r>
        <w:rPr>
          <w:rFonts w:ascii="Times New Roman" w:eastAsia="仿宋_GB2312" w:hAnsi="Times New Roman" w:hint="eastAsia"/>
          <w:sz w:val="32"/>
          <w:szCs w:val="32"/>
        </w:rPr>
        <w:t>8</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、农林水支出（类）巩固脱贫攻坚成果衔接乡村振兴（款）农村基础设施建设（项）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、农林水支出（类）农村综合改革（款）对村级公益事</w:t>
      </w:r>
      <w:r>
        <w:rPr>
          <w:rFonts w:ascii="Times New Roman" w:eastAsia="仿宋_GB2312" w:hAnsi="Times New Roman" w:hint="eastAsia"/>
          <w:sz w:val="32"/>
          <w:szCs w:val="32"/>
        </w:rPr>
        <w:lastRenderedPageBreak/>
        <w:t>业建设的补助（项）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、农林水支出（类）农村综合改革（款）对村民委员会和村党支部的补助（项）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471.44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295.80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62.74%</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r>
        <w:rPr>
          <w:rFonts w:ascii="Times New Roman" w:eastAsia="仿宋_GB2312" w:hAnsi="Times New Roman" w:hint="eastAsia"/>
          <w:sz w:val="32"/>
          <w:szCs w:val="32"/>
        </w:rPr>
        <w:t>。</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、商业服务业等支出（类）商业流通事务（款）其他商业流通事务支出（项）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1.31</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、住房保障支出（类）住房改革支出（款）住房公积金（项）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80.05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79.12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98.84%</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hint="eastAsia"/>
          <w:sz w:val="32"/>
          <w:szCs w:val="32"/>
        </w:rPr>
        <w:t>、粮油物资储备支出（类）粮油物资事务（款）其他粮油物资事务支出（项）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w:t>
      </w:r>
      <w:r>
        <w:rPr>
          <w:rFonts w:ascii="Times New Roman" w:eastAsia="仿宋_GB2312" w:hAnsi="Times New Roman" w:hint="eastAsia"/>
          <w:sz w:val="32"/>
          <w:szCs w:val="32"/>
        </w:rPr>
        <w:lastRenderedPageBreak/>
        <w:t>项目经费未纳入年初预算，为本年财政追加。</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1708.64</w:t>
      </w:r>
      <w:r>
        <w:rPr>
          <w:rFonts w:ascii="Times New Roman" w:eastAsia="仿宋_GB2312" w:hAnsi="Times New Roman" w:cs="Times New Roman"/>
          <w:sz w:val="32"/>
          <w:szCs w:val="32"/>
        </w:rPr>
        <w:t>万元，其中：</w:t>
      </w:r>
    </w:p>
    <w:p w:rsidR="001747E9"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1447.8</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84.73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Pr>
          <w:rFonts w:ascii="Times New Roman" w:eastAsia="仿宋_GB2312" w:hAnsi="Times New Roman" w:hint="eastAsia"/>
          <w:sz w:val="32"/>
          <w:szCs w:val="32"/>
        </w:rPr>
        <w:t>主要包括基本工资、津贴补贴、奖金、伙食补助费、绩效工资、机关事业单位基本养老保险缴费、职工基本医疗保险缴费、其他社会保障缴费、住房公积金、其他工资福利支出、生活补助。</w:t>
      </w:r>
    </w:p>
    <w:p w:rsidR="001747E9"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260.84</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15.27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办公费、印刷费、水费、电费、邮电费、差旅费、维修（护）费、租赁费、会议费、培训费、公务接待费、专用材料费、专用燃料费、工会经费、公务用车运行维护费、其他交通费用、其他商品和服务支出。</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13.75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7.87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57.24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 w:eastAsia="仿宋" w:hAnsi="仿宋" w:cs="仿宋" w:hint="eastAsia"/>
          <w:color w:val="000000" w:themeColor="text1"/>
          <w:sz w:val="32"/>
          <w:szCs w:val="32"/>
        </w:rPr>
        <w:t>与上年相比无增减</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认真贯彻落实中央八项规定精神和厉行节约要求。</w:t>
      </w:r>
      <w:r>
        <w:rPr>
          <w:rFonts w:ascii="Times New Roman" w:eastAsia="仿宋_GB2312" w:hAnsi="Times New Roman" w:hint="eastAsia"/>
          <w:sz w:val="32"/>
          <w:szCs w:val="32"/>
        </w:rPr>
        <w:t>其中：</w:t>
      </w:r>
    </w:p>
    <w:p w:rsidR="001747E9" w:rsidRDefault="00000000">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sz w:val="32"/>
          <w:szCs w:val="32"/>
        </w:rPr>
        <w:t>决算数与年初预算数一致的主要原因是无因公出国人员，与上年相比无增减变化的主要原因是无因公出国人员。</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公务接待费支出预算为</w:t>
      </w:r>
      <w:r>
        <w:rPr>
          <w:rFonts w:ascii="Times New Roman" w:eastAsia="仿宋_GB2312" w:hAnsi="Times New Roman" w:hint="eastAsia"/>
          <w:sz w:val="32"/>
          <w:szCs w:val="32"/>
        </w:rPr>
        <w:t>4.3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3.57</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83.02%</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认真贯彻落实中央八项规定精神和厉行节约要求，进一步严格控制公务接待的人数和批次</w:t>
      </w:r>
      <w:r>
        <w:rPr>
          <w:rFonts w:ascii="Times New Roman" w:eastAsia="仿宋_GB2312" w:hAnsi="Times New Roman" w:hint="eastAsia"/>
          <w:sz w:val="32"/>
          <w:szCs w:val="32"/>
        </w:rPr>
        <w:t>，</w:t>
      </w:r>
      <w:r>
        <w:rPr>
          <w:rFonts w:ascii="仿宋" w:eastAsia="仿宋" w:hAnsi="仿宋" w:cs="仿宋" w:hint="eastAsia"/>
          <w:color w:val="000000" w:themeColor="text1"/>
          <w:sz w:val="32"/>
          <w:szCs w:val="32"/>
        </w:rPr>
        <w:t>与上年相比无增减</w:t>
      </w:r>
      <w:r>
        <w:rPr>
          <w:rFonts w:ascii="Times New Roman" w:eastAsia="仿宋_GB2312" w:hAnsi="Times New Roman" w:cs="Times New Roman" w:hint="eastAsia"/>
          <w:sz w:val="32"/>
          <w:szCs w:val="32"/>
        </w:rPr>
        <w:t>。</w:t>
      </w:r>
    </w:p>
    <w:p w:rsidR="001747E9" w:rsidRDefault="00000000">
      <w:pPr>
        <w:pStyle w:val="Default"/>
        <w:ind w:firstLineChars="200" w:firstLine="640"/>
        <w:rPr>
          <w:rFonts w:ascii="微软雅黑" w:eastAsia="微软雅黑" w:hAnsi="微软雅黑" w:hint="eastAsia"/>
          <w:color w:val="000000" w:themeColor="text1"/>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color w:val="000000" w:themeColor="text1"/>
          <w:sz w:val="32"/>
          <w:szCs w:val="32"/>
        </w:rPr>
        <w:t>决算数与年初预算数一致，与上年相比无增减变化。</w:t>
      </w:r>
    </w:p>
    <w:p w:rsidR="001747E9"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9.45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4.3</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45.26%</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减少了公务车辆的使用频率</w:t>
      </w:r>
      <w:r>
        <w:rPr>
          <w:rFonts w:ascii="Times New Roman" w:eastAsia="仿宋_GB2312" w:hAnsi="Times New Roman" w:hint="eastAsia"/>
          <w:sz w:val="32"/>
          <w:szCs w:val="32"/>
        </w:rPr>
        <w:t>，</w:t>
      </w:r>
      <w:r>
        <w:rPr>
          <w:rFonts w:ascii="仿宋" w:eastAsia="仿宋" w:hAnsi="仿宋" w:cs="仿宋" w:hint="eastAsia"/>
          <w:color w:val="000000" w:themeColor="text1"/>
          <w:sz w:val="32"/>
          <w:szCs w:val="32"/>
        </w:rPr>
        <w:t>与上年相比无增减</w:t>
      </w:r>
      <w:r>
        <w:rPr>
          <w:rFonts w:ascii="Times New Roman" w:eastAsia="仿宋_GB2312" w:hAnsi="Times New Roman" w:hint="eastAsia"/>
          <w:sz w:val="32"/>
          <w:szCs w:val="32"/>
        </w:rPr>
        <w:t>。</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1747E9" w:rsidRDefault="00000000">
      <w:pPr>
        <w:pStyle w:val="Defaul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sz w:val="32"/>
          <w:szCs w:val="32"/>
        </w:rPr>
        <w:t>决算数与年初预算数一致的主要原因是无因公出国人员，与上年相比无增减变化的主要原因是无因公出国人员。</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1747E9" w:rsidRDefault="00000000">
      <w:pPr>
        <w:pStyle w:val="Default"/>
        <w:ind w:firstLineChars="200" w:firstLine="640"/>
        <w:rPr>
          <w:rFonts w:ascii="微软雅黑" w:eastAsia="微软雅黑" w:hAnsi="微软雅黑" w:hint="eastAsia"/>
          <w:color w:val="000000" w:themeColor="text1"/>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color w:val="000000" w:themeColor="text1"/>
          <w:sz w:val="32"/>
          <w:szCs w:val="32"/>
        </w:rPr>
        <w:t>决算数与年初预算数一致，与上年相比无增减变化。</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9.45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4.3</w:t>
      </w:r>
      <w:r>
        <w:rPr>
          <w:rFonts w:ascii="Times New Roman" w:eastAsia="仿宋_GB2312" w:hAnsi="Times New Roman" w:cs="Times New Roman"/>
          <w:sz w:val="32"/>
          <w:szCs w:val="32"/>
        </w:rPr>
        <w:t>万元，</w:t>
      </w:r>
    </w:p>
    <w:p w:rsidR="001747E9"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Pr>
          <w:rFonts w:ascii="仿宋" w:eastAsia="仿宋" w:hAnsi="仿宋" w:cs="仿宋" w:hint="eastAsia"/>
          <w:sz w:val="32"/>
          <w:szCs w:val="32"/>
        </w:rPr>
        <w:t>车辆的维修、加油和保险支出</w:t>
      </w:r>
      <w:r>
        <w:rPr>
          <w:rFonts w:ascii="Times New Roman" w:eastAsia="仿宋_GB2312" w:hAnsi="Times New Roman" w:hint="eastAsia"/>
          <w:sz w:val="32"/>
          <w:szCs w:val="32"/>
        </w:rPr>
        <w:t>支出</w:t>
      </w:r>
      <w:r>
        <w:rPr>
          <w:rFonts w:ascii="Times New Roman" w:eastAsia="仿宋_GB2312" w:hAnsi="Times New Roman" w:cs="Times New Roman"/>
          <w:sz w:val="32"/>
          <w:szCs w:val="32"/>
        </w:rPr>
        <w:t>，完成预算的</w:t>
      </w:r>
      <w:r>
        <w:rPr>
          <w:rFonts w:ascii="Times New Roman" w:eastAsia="仿宋_GB2312" w:hAnsi="Times New Roman" w:hint="eastAsia"/>
          <w:sz w:val="32"/>
          <w:szCs w:val="32"/>
        </w:rPr>
        <w:t>45.26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仿宋" w:eastAsia="仿宋" w:hAnsi="仿宋" w:cs="仿宋" w:hint="eastAsia"/>
          <w:color w:val="000000" w:themeColor="text1"/>
          <w:sz w:val="32"/>
          <w:szCs w:val="32"/>
        </w:rPr>
        <w:t>与上年相比无增减</w:t>
      </w:r>
      <w:r>
        <w:rPr>
          <w:rFonts w:ascii="Times New Roman" w:eastAsia="仿宋_GB2312" w:hAnsi="Times New Roman" w:cs="Times New Roman"/>
          <w:sz w:val="32"/>
          <w:szCs w:val="32"/>
        </w:rPr>
        <w:t>，增长（降低）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减少了公务车辆的使用频率</w:t>
      </w:r>
      <w:r>
        <w:rPr>
          <w:rFonts w:ascii="Times New Roman" w:eastAsia="仿宋_GB2312" w:hAnsi="Times New Roman" w:cs="Times New Roman"/>
          <w:sz w:val="32"/>
          <w:szCs w:val="32"/>
        </w:rPr>
        <w:t>。截</w:t>
      </w:r>
      <w:r>
        <w:rPr>
          <w:rFonts w:ascii="Times New Roman" w:eastAsia="仿宋_GB2312" w:hAnsi="Times New Roman" w:cs="Times New Roman"/>
          <w:sz w:val="32"/>
          <w:szCs w:val="32"/>
        </w:rPr>
        <w:lastRenderedPageBreak/>
        <w:t>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hint="eastAsia"/>
          <w:sz w:val="32"/>
          <w:szCs w:val="32"/>
        </w:rPr>
        <w:t>2</w:t>
      </w:r>
      <w:r>
        <w:rPr>
          <w:rFonts w:ascii="Times New Roman" w:eastAsia="仿宋_GB2312" w:hAnsi="Times New Roman" w:cs="Times New Roman"/>
          <w:sz w:val="32"/>
          <w:szCs w:val="32"/>
        </w:rPr>
        <w:t>辆。</w:t>
      </w:r>
      <w:r>
        <w:rPr>
          <w:rFonts w:ascii="Times New Roman" w:eastAsia="楷体_GB2312" w:hAnsi="Times New Roman" w:cs="Times New Roman"/>
          <w:b/>
          <w:bCs/>
          <w:i/>
          <w:color w:val="auto"/>
          <w:sz w:val="32"/>
          <w:szCs w:val="32"/>
        </w:rPr>
        <w:t>（</w:t>
      </w:r>
      <w:r w:rsidR="007075E4">
        <w:rPr>
          <w:rFonts w:ascii="Times New Roman" w:eastAsia="楷体_GB2312" w:hAnsi="Times New Roman" w:cs="Times New Roman" w:hint="eastAsia"/>
          <w:b/>
          <w:bCs/>
          <w:i/>
          <w:color w:val="auto"/>
          <w:sz w:val="32"/>
          <w:szCs w:val="32"/>
        </w:rPr>
        <w:t>“</w:t>
      </w:r>
      <w:r w:rsidR="007075E4">
        <w:rPr>
          <w:rFonts w:ascii="Times New Roman" w:eastAsia="楷体_GB2312" w:hAnsi="Times New Roman" w:cs="Times New Roman"/>
          <w:b/>
          <w:bCs/>
          <w:i/>
          <w:color w:val="auto"/>
          <w:sz w:val="32"/>
          <w:szCs w:val="32"/>
        </w:rPr>
        <w:t>三公</w:t>
      </w:r>
      <w:r w:rsidR="007075E4">
        <w:rPr>
          <w:rFonts w:ascii="Times New Roman" w:eastAsia="楷体_GB2312" w:hAnsi="Times New Roman" w:cs="Times New Roman" w:hint="eastAsia"/>
          <w:b/>
          <w:bCs/>
          <w:i/>
          <w:color w:val="auto"/>
          <w:sz w:val="32"/>
          <w:szCs w:val="32"/>
        </w:rPr>
        <w:t>”</w:t>
      </w:r>
      <w:r>
        <w:rPr>
          <w:rFonts w:ascii="Times New Roman" w:eastAsia="楷体_GB2312" w:hAnsi="Times New Roman" w:cs="Times New Roman"/>
          <w:b/>
          <w:bCs/>
          <w:i/>
          <w:color w:val="auto"/>
          <w:sz w:val="32"/>
          <w:szCs w:val="32"/>
        </w:rPr>
        <w:t>经费支出口径应在专业名词解释中予以说明）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4.3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3.57</w:t>
      </w:r>
      <w:r>
        <w:rPr>
          <w:rFonts w:ascii="Times New Roman" w:eastAsia="仿宋_GB2312" w:hAnsi="Times New Roman" w:cs="Times New Roman"/>
          <w:sz w:val="32"/>
          <w:szCs w:val="32"/>
        </w:rPr>
        <w:t>万元，完成预算的</w:t>
      </w:r>
      <w:r>
        <w:rPr>
          <w:rFonts w:ascii="Times New Roman" w:eastAsia="仿宋_GB2312" w:hAnsi="Times New Roman" w:hint="eastAsia"/>
          <w:sz w:val="32"/>
          <w:szCs w:val="32"/>
        </w:rPr>
        <w:t>83.02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 w:eastAsia="仿宋" w:hAnsi="仿宋" w:cs="仿宋" w:hint="eastAsia"/>
          <w:color w:val="000000" w:themeColor="text1"/>
          <w:sz w:val="32"/>
          <w:szCs w:val="32"/>
        </w:rPr>
        <w:t>与上年相比无增减变化</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认真贯彻落实中央八项规定精神和厉行节约要求，进一步严格控制公务接待的人数和批次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192</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901</w:t>
      </w:r>
      <w:r>
        <w:rPr>
          <w:rFonts w:ascii="Times New Roman" w:eastAsia="仿宋_GB2312" w:hAnsi="Times New Roman" w:cs="Times New Roman"/>
          <w:sz w:val="32"/>
          <w:szCs w:val="32"/>
        </w:rPr>
        <w:t>人次，</w:t>
      </w:r>
      <w:r>
        <w:rPr>
          <w:rFonts w:ascii="仿宋" w:eastAsia="仿宋" w:hAnsi="仿宋" w:cs="仿宋" w:hint="eastAsia"/>
          <w:sz w:val="32"/>
          <w:szCs w:val="32"/>
        </w:rPr>
        <w:t>主要是征兵、考察调研和人大会议等发生的接待支出</w:t>
      </w:r>
      <w:r>
        <w:rPr>
          <w:rFonts w:ascii="Times New Roman" w:eastAsia="仿宋_GB2312" w:hAnsi="Times New Roman" w:cs="Times New Roman"/>
          <w:sz w:val="32"/>
          <w:szCs w:val="32"/>
        </w:rPr>
        <w:t>。</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1747E9"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66.09</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Pr>
          <w:rFonts w:ascii="Times New Roman" w:eastAsia="楷体_GB2312" w:hAnsi="Times New Roman" w:cs="Times New Roman"/>
          <w:b/>
          <w:bCs/>
          <w:i/>
          <w:color w:val="auto"/>
          <w:sz w:val="32"/>
          <w:szCs w:val="32"/>
        </w:rPr>
        <w:t>（无政府性基金收支也需要说明本单位无政府性基金收支）</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24.7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w:t>
      </w:r>
      <w:r>
        <w:rPr>
          <w:rFonts w:ascii="Times New Roman" w:eastAsia="仿宋_GB2312" w:hAnsi="Times New Roman" w:hint="eastAsia"/>
          <w:sz w:val="32"/>
          <w:szCs w:val="32"/>
        </w:rPr>
        <w:lastRenderedPageBreak/>
        <w:t>性基金预算经费未纳入年初预算，为本年财政追加。</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城市基础设施配套费安排的支出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其他城市基础设施配套费安排的支出</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1747E9" w:rsidRDefault="00000000">
      <w:pPr>
        <w:pStyle w:val="Default"/>
        <w:ind w:firstLineChars="200" w:firstLine="640"/>
        <w:rPr>
          <w:rFonts w:asciiTheme="minorEastAsia" w:eastAsiaTheme="minorEastAsia" w:hAnsiTheme="minorEastAsia" w:hint="eastAsia"/>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260.84</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（与部门决算中行政单位和参照公务员法管理事业单位财政拨款基本支出中公用经费之和一致）</w:t>
      </w:r>
      <w:r>
        <w:rPr>
          <w:rFonts w:ascii="Times New Roman" w:eastAsia="仿宋_GB2312" w:hAnsi="Times New Roman" w:cs="Times New Roman"/>
          <w:sz w:val="32"/>
          <w:szCs w:val="32"/>
        </w:rPr>
        <w:t>，比年初预算数减少</w:t>
      </w:r>
      <w:r>
        <w:rPr>
          <w:rFonts w:ascii="Times New Roman" w:eastAsia="仿宋_GB2312" w:hAnsi="Times New Roman" w:cs="Times New Roman" w:hint="eastAsia"/>
          <w:sz w:val="32"/>
          <w:szCs w:val="32"/>
        </w:rPr>
        <w:t>463.05</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63.97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仿宋_GB2312" w:eastAsia="仿宋_GB2312" w:hAnsi="仿宋_GB2312" w:cs="仿宋_GB2312" w:hint="eastAsia"/>
          <w:sz w:val="32"/>
          <w:szCs w:val="32"/>
        </w:rPr>
        <w:t>严格执行财政预算规定核算支出且部分支出使用项目经费。</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1747E9"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人大选举、征兵、宣传防溺水、农业生产等</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260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征兵工作、防溺水开展、农业生产的重要性等</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技能培训等</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300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村干部技能</w:t>
      </w:r>
      <w:r>
        <w:rPr>
          <w:rFonts w:ascii="Times New Roman" w:eastAsia="仿宋_GB2312" w:hAnsi="Times New Roman" w:cs="Times New Roman"/>
          <w:sz w:val="32"/>
          <w:szCs w:val="32"/>
        </w:rPr>
        <w:t>培训</w:t>
      </w:r>
      <w:r>
        <w:rPr>
          <w:rFonts w:ascii="Times New Roman" w:eastAsia="仿宋_GB2312" w:hAnsi="Times New Roman" w:cs="Times New Roman" w:hint="eastAsia"/>
          <w:sz w:val="32"/>
          <w:szCs w:val="32"/>
        </w:rPr>
        <w:t>、村干部农业生产培训、防溺水宣传培训、村会计财务基础知识培训；本单位未举办节庆、晚会、论坛、赛事活动，开支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楷体" w:hAnsi="Times New Roman" w:cs="Times New Roman"/>
          <w:b/>
          <w:bCs/>
          <w:i/>
          <w:color w:val="auto"/>
          <w:sz w:val="32"/>
          <w:szCs w:val="32"/>
        </w:rPr>
        <w:t>（注：三类会议、培训活动，节庆、晚会、论坛、赛事等活动，请分项列明活动计划及经费预算情况）</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143.75</w:t>
      </w:r>
      <w:r>
        <w:rPr>
          <w:rFonts w:ascii="Times New Roman" w:eastAsia="仿宋_GB2312" w:hAnsi="Times New Roman" w:cs="Times New Roman"/>
          <w:sz w:val="32"/>
          <w:szCs w:val="32"/>
        </w:rPr>
        <w:t>万元，其中：政</w:t>
      </w:r>
      <w:r>
        <w:rPr>
          <w:rFonts w:ascii="Times New Roman" w:eastAsia="仿宋_GB2312" w:hAnsi="Times New Roman" w:cs="Times New Roman"/>
          <w:sz w:val="32"/>
          <w:szCs w:val="32"/>
        </w:rPr>
        <w:lastRenderedPageBreak/>
        <w:t>府采购货物支出</w:t>
      </w:r>
      <w:r>
        <w:rPr>
          <w:rFonts w:ascii="Times New Roman" w:eastAsia="仿宋_GB2312" w:hAnsi="Times New Roman" w:cs="Times New Roman" w:hint="eastAsia"/>
          <w:sz w:val="32"/>
          <w:szCs w:val="32"/>
        </w:rPr>
        <w:t>143.75</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143.75</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41.92</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1747E9" w:rsidRDefault="00000000">
      <w:pPr>
        <w:pStyle w:val="Defaul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sz w:val="32"/>
          <w:szCs w:val="32"/>
        </w:rPr>
        <w:t>一是绩效自评开展情况。</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年度本部门（单位）整体支出开展绩效自评，涉及项目</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个，共涉及资金</w:t>
      </w:r>
      <w:r>
        <w:rPr>
          <w:rFonts w:ascii="Times New Roman" w:eastAsia="仿宋_GB2312" w:hAnsi="Times New Roman" w:cs="Times New Roman" w:hint="eastAsia"/>
          <w:sz w:val="32"/>
          <w:szCs w:val="32"/>
        </w:rPr>
        <w:t>49.71</w:t>
      </w:r>
      <w:r>
        <w:rPr>
          <w:rFonts w:ascii="Times New Roman" w:eastAsia="仿宋_GB2312" w:hAnsi="Times New Roman" w:cs="Times New Roman"/>
          <w:sz w:val="32"/>
          <w:szCs w:val="32"/>
        </w:rPr>
        <w:t>万元。其中，一般公共预算项目</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万元，占一般公共预算支出总额的</w:t>
      </w:r>
      <w:r>
        <w:rPr>
          <w:rFonts w:ascii="Times New Roman" w:eastAsia="仿宋_GB2312" w:hAnsi="Times New Roman" w:cs="Times New Roman" w:hint="eastAsia"/>
          <w:sz w:val="32"/>
          <w:szCs w:val="32"/>
        </w:rPr>
        <w:t>49.53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；政府性基金预算项目</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25.09</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万元，占政府性基金预算支出总额的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；国有资本经营预算项目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万元，占国有资本经营预算支出总额的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；社会保险基金预算项目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万元，占社会保险基金预算支出总额的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二是部门评价开展情况（如有，一级预算部门填写）。</w:t>
      </w:r>
      <w:r>
        <w:rPr>
          <w:rFonts w:ascii="Times New Roman" w:eastAsia="仿宋_GB2312" w:hAnsi="Times New Roman" w:cs="Times New Roman"/>
          <w:sz w:val="32"/>
          <w:szCs w:val="32"/>
        </w:rPr>
        <w:t>组织对所属单位</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八宝镇一般行政管理事</w:t>
      </w:r>
      <w:r>
        <w:rPr>
          <w:rFonts w:ascii="Times New Roman" w:eastAsia="仿宋_GB2312" w:hAnsi="Times New Roman" w:cs="Times New Roman" w:hint="eastAsia"/>
          <w:sz w:val="32"/>
          <w:szCs w:val="32"/>
        </w:rPr>
        <w:lastRenderedPageBreak/>
        <w:t>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八宝镇一般行政管理事务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个项目开展了部门评价，涉及一般公共预算支出</w:t>
      </w:r>
      <w:r>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万元，政府性基金预算支出</w:t>
      </w:r>
      <w:r>
        <w:rPr>
          <w:rFonts w:ascii="Times New Roman" w:eastAsia="仿宋_GB2312" w:hAnsi="Times New Roman" w:cs="Times New Roman" w:hint="eastAsia"/>
          <w:sz w:val="32"/>
          <w:szCs w:val="32"/>
        </w:rPr>
        <w:t>25.09</w:t>
      </w:r>
      <w:r>
        <w:rPr>
          <w:rFonts w:ascii="Times New Roman" w:eastAsia="仿宋_GB2312" w:hAnsi="Times New Roman" w:cs="Times New Roman"/>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b/>
          <w:bCs/>
          <w:sz w:val="32"/>
          <w:szCs w:val="32"/>
        </w:rPr>
        <w:t>三是事前绩效评估开展情况（如有，一级预算部门填写）。</w:t>
      </w:r>
      <w:r>
        <w:rPr>
          <w:rFonts w:eastAsia="仿宋_GB2312" w:hint="eastAsia"/>
          <w:bCs/>
          <w:sz w:val="32"/>
          <w:szCs w:val="32"/>
        </w:rPr>
        <w:t>本年度本部门无重点项目支出</w:t>
      </w:r>
      <w:r>
        <w:rPr>
          <w:rFonts w:eastAsia="仿宋_GB2312" w:cs="Times New Roman" w:hint="eastAsia"/>
          <w:bCs/>
          <w:sz w:val="32"/>
          <w:szCs w:val="32"/>
        </w:rPr>
        <w:t>，</w:t>
      </w:r>
      <w:r>
        <w:rPr>
          <w:rFonts w:eastAsia="仿宋_GB2312" w:hint="eastAsia"/>
          <w:bCs/>
          <w:sz w:val="32"/>
          <w:szCs w:val="32"/>
        </w:rPr>
        <w:t>为常规性项目支出，具体内容</w:t>
      </w:r>
      <w:r>
        <w:rPr>
          <w:rFonts w:ascii="Times New Roman" w:eastAsia="仿宋_GB2312" w:hAnsi="Times New Roman" w:hint="eastAsia"/>
          <w:sz w:val="32"/>
          <w:szCs w:val="32"/>
        </w:rPr>
        <w:t>详见附件。</w:t>
      </w:r>
    </w:p>
    <w:p w:rsidR="001747E9"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1824.53</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96.37</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92</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核心职能履行取得预期成效</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内部管理与运行效率持续优化</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预算编制的精准性和前瞻性有待加强</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绩效目标与业务工作的融合深度有待提升。</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强化预算管理科学性</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深化绩效管理全过程融合</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（请</w:t>
      </w:r>
      <w:r>
        <w:rPr>
          <w:rFonts w:ascii="Times New Roman" w:eastAsia="仿宋_GB2312" w:hAnsi="Times New Roman" w:cs="Times New Roman"/>
          <w:sz w:val="32"/>
          <w:szCs w:val="32"/>
        </w:rPr>
        <w:t>对本部门整体支出的绩效目标完成情况，存在的问题及原因，下一步改进措施等进行简要说明</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二是部门评价结果（如有，一级预算部门填写）。</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13.06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预算编制精准度不足</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预算调整机制响应不及时</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提升预算编制精细化水平</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规范预算执行调整流程</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0.06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lastRenderedPageBreak/>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预算编制未充分预估小额应急行政支出，导致实际发生时无预算支撑</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小额支出审批流程未与预算管理有效衔接，存在先执行后补流程的情况</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在预算编制阶段增设小额应急行政支出预留额度，应对突发需求；</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完善小额支出审批与预算关联机制，确保支出前先核对预算情况。</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一是对行政管理事务中临时新增任务的资金需求预判不足，未纳入年度预算；</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预算调整机制响应较慢，新增任务产生的支出无法及时补列预算。</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预算编制时调研年度潜在新增行政任务，提前预留资金空间；</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简化临时任务的预算调整流程，缩短审批周期。</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一是预算编制未细化行政管理事务的具体支出类目，导致大额支出无对应预算科目；</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预算执行过程中缺乏动态监控，大额支出发生后才发现预算缺口。</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按行政管理事务类型细化预算科目，明确各科目资金额度；</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建立预算执行动态监控系统，实时预警大额支出与预算的偏差。</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23.2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w:t>
      </w:r>
      <w:r>
        <w:rPr>
          <w:rFonts w:ascii="Times New Roman" w:eastAsia="仿宋_GB2312" w:hAnsi="Times New Roman" w:hint="eastAsia"/>
          <w:sz w:val="32"/>
          <w:szCs w:val="32"/>
        </w:rPr>
        <w:lastRenderedPageBreak/>
        <w:t>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对农业农村生态环境治理的突发性项目预算预估缺失，导致大额支出无预算</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生态环境支出与农业生产季节性需求衔接不足，预算未匹配实际工作节奏。</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将农业农村生态环境应急项目纳入预算编制范围，设立专项应急资金</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根据农业生产季节调整生态环境支出预算拨付节点，匹配工作需求。</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对国有土地使用权出让收入相关的后续零星支出预算考虑不全面；</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该类收入对应的支出预算编制未与收入到账时间同步，导致支出先行发生。</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梳理国有土地使用权出让收入相关的全流程支出，纳入预算编制；</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根据收入到账计划制定支出预算执行时间表，避免支出超前。</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其他城市基础设施配套费安排的支出支出</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对城市基础设施配套费对应的小额维护支出预算编制遗漏，导致实际维修时无预算；</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该类小额支出未建立固定预算申报渠道，执行前未及时补报预算。</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在预算中增设城市基础设施小额维护支出科目，明确资金额度；</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建立该类小额支出的快速预算申报通道，简化审批流程。</w:t>
      </w:r>
      <w:r>
        <w:rPr>
          <w:rFonts w:ascii="Times New Roman" w:eastAsia="仿宋_GB2312" w:hAnsi="Times New Roman" w:cs="Times New Roman"/>
          <w:b/>
          <w:bCs/>
          <w:kern w:val="0"/>
          <w:sz w:val="32"/>
          <w:szCs w:val="32"/>
        </w:rPr>
        <w:t>三是事</w:t>
      </w:r>
      <w:r>
        <w:rPr>
          <w:rFonts w:ascii="Times New Roman" w:eastAsia="仿宋_GB2312" w:hAnsi="Times New Roman" w:cs="Times New Roman"/>
          <w:b/>
          <w:bCs/>
          <w:kern w:val="0"/>
          <w:sz w:val="32"/>
          <w:szCs w:val="32"/>
        </w:rPr>
        <w:lastRenderedPageBreak/>
        <w:t>前绩效评估结果（如有，一级预算部门填写）。</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eastAsia="仿宋_GB2312" w:hint="eastAsia"/>
          <w:bCs/>
          <w:kern w:val="0"/>
          <w:sz w:val="32"/>
          <w:szCs w:val="32"/>
        </w:rPr>
        <w:t>本年度本部门无重点项目支出</w:t>
      </w:r>
      <w:r>
        <w:rPr>
          <w:rFonts w:eastAsia="仿宋_GB2312" w:cs="Times New Roman" w:hint="eastAsia"/>
          <w:bCs/>
          <w:kern w:val="0"/>
          <w:sz w:val="32"/>
          <w:szCs w:val="32"/>
        </w:rPr>
        <w:t>，</w:t>
      </w:r>
      <w:r>
        <w:rPr>
          <w:rFonts w:eastAsia="仿宋_GB2312" w:hint="eastAsia"/>
          <w:bCs/>
          <w:kern w:val="0"/>
          <w:sz w:val="32"/>
          <w:szCs w:val="32"/>
        </w:rPr>
        <w:t>为常规性项目支出。</w:t>
      </w:r>
    </w:p>
    <w:p w:rsidR="001747E9"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、预算安排</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结合</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年预算精准性不足问题，在编制</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年预算时，为行政应急、农业生态等项目设预留额度，细化支出类目，调研潜在任务，提升预算前瞻性与覆盖度。</w:t>
      </w:r>
    </w:p>
    <w:p w:rsidR="001747E9" w:rsidRDefault="00000000">
      <w:pPr>
        <w:pStyle w:val="Default"/>
        <w:numPr>
          <w:ilvl w:val="0"/>
          <w:numId w:val="2"/>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支出结构调整</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针对</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年无预算支出情况，</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年优化支出结构，优先保障核心职能与常规项目，压缩非必要开支，将零散无预算支出归入对应预算科目，避免资金使用无序。</w:t>
      </w:r>
    </w:p>
    <w:p w:rsidR="001747E9"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、资金管理</w:t>
      </w:r>
    </w:p>
    <w:p w:rsidR="001747E9"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参考</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年资金管理漏洞，</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年建立预算执行动态监控系统，实时预警偏差，按收入到账时间制定支出计划，规范小额支出审批，确保资金使用合规高效。</w:t>
      </w:r>
    </w:p>
    <w:p w:rsidR="001747E9"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、制度建设</w:t>
      </w:r>
    </w:p>
    <w:p w:rsidR="001747E9"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依据</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年制度短板，</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年完善预算调整机制，简化临时任务审批流程，明确小额支出申报渠道，制定生态支出季节适配制度，筑牢预算管理体系。</w:t>
      </w: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1747E9" w:rsidRDefault="001747E9">
      <w:pPr>
        <w:widowControl/>
        <w:jc w:val="left"/>
        <w:rPr>
          <w:rFonts w:ascii="Times New Roman" w:hAnsi="Times New Roman" w:cs="Times New Roman"/>
          <w:color w:val="000000"/>
          <w:kern w:val="0"/>
          <w:sz w:val="32"/>
          <w:szCs w:val="32"/>
        </w:rPr>
      </w:pPr>
    </w:p>
    <w:p w:rsidR="001747E9"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1747E9"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1747E9" w:rsidRDefault="001747E9">
      <w:pPr>
        <w:pStyle w:val="Default"/>
        <w:jc w:val="center"/>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000000">
      <w:pPr>
        <w:pStyle w:val="Default"/>
        <w:spacing w:line="360" w:lineRule="auto"/>
        <w:jc w:val="center"/>
        <w:rPr>
          <w:rFonts w:ascii="Times New Roman" w:hAnsi="Times New Roman" w:cs="Times New Roman"/>
          <w:sz w:val="72"/>
          <w:szCs w:val="7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1747E9"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1747E9" w:rsidRDefault="00000000">
      <w:pPr>
        <w:widowControl/>
        <w:shd w:val="clear" w:color="auto" w:fill="FFFFFF"/>
        <w:spacing w:line="580" w:lineRule="exact"/>
        <w:ind w:firstLineChars="200" w:firstLine="640"/>
        <w:jc w:val="left"/>
      </w:pPr>
      <w:r>
        <w:rPr>
          <w:rFonts w:ascii="仿宋" w:eastAsia="仿宋" w:hAnsi="仿宋" w:cs="仿宋" w:hint="eastAsia"/>
          <w:kern w:val="0"/>
          <w:sz w:val="32"/>
          <w:szCs w:val="32"/>
        </w:rPr>
        <w:t>为了进一步规范财政资金管理，强化财政支出绩效理念，提升部门责任意识，切实提高财政资金使用效益，根据《祁阳市预算绩效管理暂行办法》及《祁阳市财政局关于开展2024</w:t>
      </w:r>
      <w:r>
        <w:rPr>
          <w:rFonts w:ascii="仿宋" w:eastAsia="仿宋" w:hAnsi="仿宋" w:cs="仿宋" w:hint="eastAsia"/>
          <w:kern w:val="0"/>
          <w:sz w:val="32"/>
          <w:szCs w:val="32"/>
        </w:rPr>
        <w:lastRenderedPageBreak/>
        <w:t>年度财政支出绩效评价工作的通知》的要求，祁阳市八宝镇人民政府对2024年度“部门整体支出”资金使用情况进行了绩效评价自评。现将自评情况报告如下：</w:t>
      </w:r>
    </w:p>
    <w:p w:rsidR="001747E9" w:rsidRDefault="00000000">
      <w:pPr>
        <w:widowControl/>
        <w:jc w:val="left"/>
      </w:pPr>
      <w:r>
        <w:rPr>
          <w:rFonts w:ascii="楷体_GB2312" w:eastAsia="楷体_GB2312" w:hAnsi="楷体_GB2312" w:cs="楷体_GB2312" w:hint="eastAsia"/>
          <w:b/>
          <w:color w:val="000000"/>
          <w:kern w:val="0"/>
          <w:sz w:val="31"/>
          <w:szCs w:val="31"/>
        </w:rPr>
        <w:t>一、</w:t>
      </w:r>
      <w:r>
        <w:rPr>
          <w:rFonts w:eastAsia="楷体_GB2312"/>
          <w:b/>
          <w:sz w:val="32"/>
          <w:szCs w:val="32"/>
        </w:rPr>
        <w:t>部门（单位）概况</w:t>
      </w:r>
      <w:r>
        <w:rPr>
          <w:rFonts w:eastAsia="楷体_GB2312"/>
          <w:b/>
          <w:sz w:val="32"/>
          <w:szCs w:val="32"/>
        </w:rPr>
        <w:t xml:space="preserve"> </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bCs/>
          <w:color w:val="000000"/>
          <w:kern w:val="0"/>
          <w:sz w:val="31"/>
          <w:szCs w:val="31"/>
        </w:rPr>
        <w:t>（</w:t>
      </w:r>
      <w:r>
        <w:rPr>
          <w:rFonts w:ascii="楷体_GB2312" w:eastAsia="楷体_GB2312" w:hAnsi="楷体_GB2312" w:cs="楷体_GB2312" w:hint="eastAsia"/>
          <w:bCs/>
          <w:color w:val="000000"/>
          <w:kern w:val="0"/>
          <w:sz w:val="31"/>
          <w:szCs w:val="31"/>
        </w:rPr>
        <w:t>1</w:t>
      </w:r>
      <w:r>
        <w:rPr>
          <w:rFonts w:ascii="楷体_GB2312" w:eastAsia="楷体_GB2312" w:hAnsi="楷体_GB2312" w:cs="楷体_GB2312"/>
          <w:bCs/>
          <w:color w:val="000000"/>
          <w:kern w:val="0"/>
          <w:sz w:val="31"/>
          <w:szCs w:val="31"/>
        </w:rPr>
        <w:t xml:space="preserve">）部门（单位）基本情况 </w:t>
      </w:r>
    </w:p>
    <w:p w:rsidR="001747E9" w:rsidRDefault="00000000">
      <w:pPr>
        <w:widowControl/>
        <w:spacing w:line="560" w:lineRule="atLeast"/>
        <w:ind w:firstLine="627"/>
        <w:jc w:val="left"/>
        <w:rPr>
          <w:rFonts w:eastAsia="仿宋_GB2312"/>
          <w:sz w:val="32"/>
          <w:szCs w:val="32"/>
        </w:rPr>
      </w:pPr>
      <w:r>
        <w:rPr>
          <w:rFonts w:eastAsia="仿宋_GB2312"/>
          <w:sz w:val="32"/>
          <w:szCs w:val="32"/>
        </w:rPr>
        <w:t>1</w:t>
      </w:r>
      <w:r>
        <w:rPr>
          <w:rFonts w:eastAsia="仿宋_GB2312"/>
          <w:sz w:val="32"/>
          <w:szCs w:val="32"/>
        </w:rPr>
        <w:t>、在上级和镇党委领导下，执行本级人民代表大会的决议，根据上级行政机关的决定和命令，制定具体实施意见。</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2</w:t>
      </w:r>
      <w:r>
        <w:rPr>
          <w:rFonts w:eastAsia="仿宋_GB2312" w:hint="eastAsia"/>
          <w:sz w:val="32"/>
          <w:szCs w:val="32"/>
        </w:rPr>
        <w:t>、执行本行政区域内的经济和社会发展计划、财政预算，管理全镇的农业、工业及教育、</w:t>
      </w:r>
      <w:r w:rsidR="00FA31B3">
        <w:rPr>
          <w:rFonts w:eastAsia="仿宋_GB2312" w:hint="eastAsia"/>
          <w:sz w:val="32"/>
          <w:szCs w:val="32"/>
        </w:rPr>
        <w:t>科技</w:t>
      </w:r>
      <w:r>
        <w:rPr>
          <w:rFonts w:eastAsia="仿宋_GB2312" w:hint="eastAsia"/>
          <w:sz w:val="32"/>
          <w:szCs w:val="32"/>
        </w:rPr>
        <w:t>、文化、卫生、计划生育、民政、司法及镇新农村规划和建设、环境保护、土地等行政工作。</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3</w:t>
      </w:r>
      <w:r>
        <w:rPr>
          <w:rFonts w:eastAsia="仿宋_GB2312" w:hint="eastAsia"/>
          <w:sz w:val="32"/>
          <w:szCs w:val="32"/>
        </w:rPr>
        <w:t>、保护集体财产和公民私人合法财产，维护社会秩序，保障公民的人事权利、民主权利和其他合法权利。</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4</w:t>
      </w:r>
      <w:r>
        <w:rPr>
          <w:rFonts w:eastAsia="仿宋_GB2312" w:hint="eastAsia"/>
          <w:sz w:val="32"/>
          <w:szCs w:val="32"/>
        </w:rPr>
        <w:t>、保护各种经济组织的合法权益。</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5</w:t>
      </w:r>
      <w:r>
        <w:rPr>
          <w:rFonts w:eastAsia="仿宋_GB2312" w:hint="eastAsia"/>
          <w:sz w:val="32"/>
          <w:szCs w:val="32"/>
        </w:rPr>
        <w:t>、办理上级人民政府交办的其他事项。</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hint="eastAsia"/>
          <w:bCs/>
          <w:color w:val="000000"/>
          <w:kern w:val="0"/>
          <w:sz w:val="31"/>
          <w:szCs w:val="31"/>
        </w:rPr>
        <w:t>（2）</w:t>
      </w:r>
      <w:r>
        <w:rPr>
          <w:rFonts w:ascii="楷体_GB2312" w:eastAsia="楷体_GB2312" w:hAnsi="楷体_GB2312" w:cs="楷体_GB2312"/>
          <w:bCs/>
          <w:color w:val="000000"/>
          <w:kern w:val="0"/>
          <w:sz w:val="31"/>
          <w:szCs w:val="31"/>
        </w:rPr>
        <w:t>机构设置</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1</w:t>
      </w:r>
      <w:r>
        <w:rPr>
          <w:rFonts w:eastAsia="仿宋_GB2312" w:hint="eastAsia"/>
          <w:sz w:val="32"/>
          <w:szCs w:val="32"/>
        </w:rPr>
        <w:t>、党政办公室</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2</w:t>
      </w:r>
      <w:r>
        <w:rPr>
          <w:rFonts w:eastAsia="仿宋_GB2312" w:hint="eastAsia"/>
          <w:sz w:val="32"/>
          <w:szCs w:val="32"/>
        </w:rPr>
        <w:t>、党建办公室</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3</w:t>
      </w:r>
      <w:r>
        <w:rPr>
          <w:rFonts w:eastAsia="仿宋_GB2312" w:hint="eastAsia"/>
          <w:sz w:val="32"/>
          <w:szCs w:val="32"/>
        </w:rPr>
        <w:t>、经济发展办公室</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4</w:t>
      </w:r>
      <w:r>
        <w:rPr>
          <w:rFonts w:eastAsia="仿宋_GB2312" w:hint="eastAsia"/>
          <w:sz w:val="32"/>
          <w:szCs w:val="32"/>
        </w:rPr>
        <w:t>、乡村振兴办公室</w:t>
      </w:r>
    </w:p>
    <w:p w:rsidR="001747E9" w:rsidRDefault="00000000">
      <w:pPr>
        <w:widowControl/>
        <w:spacing w:line="560" w:lineRule="atLeast"/>
        <w:ind w:firstLine="627"/>
        <w:jc w:val="left"/>
      </w:pPr>
      <w:r>
        <w:rPr>
          <w:rFonts w:eastAsia="仿宋_GB2312" w:hint="eastAsia"/>
          <w:sz w:val="32"/>
          <w:szCs w:val="32"/>
        </w:rPr>
        <w:t>5</w:t>
      </w:r>
      <w:r>
        <w:rPr>
          <w:rFonts w:eastAsia="仿宋_GB2312" w:hint="eastAsia"/>
          <w:sz w:val="32"/>
          <w:szCs w:val="32"/>
        </w:rPr>
        <w:t>、平安法治和应急管理办公室</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6</w:t>
      </w:r>
      <w:r>
        <w:rPr>
          <w:rFonts w:eastAsia="仿宋_GB2312" w:hint="eastAsia"/>
          <w:sz w:val="32"/>
          <w:szCs w:val="32"/>
        </w:rPr>
        <w:t>、生态事务中心</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lastRenderedPageBreak/>
        <w:t>7</w:t>
      </w:r>
      <w:r>
        <w:rPr>
          <w:rFonts w:eastAsia="仿宋_GB2312" w:hint="eastAsia"/>
          <w:sz w:val="32"/>
          <w:szCs w:val="32"/>
        </w:rPr>
        <w:t>、农业综合服务中心</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8</w:t>
      </w:r>
      <w:r>
        <w:rPr>
          <w:rFonts w:eastAsia="仿宋_GB2312" w:hint="eastAsia"/>
          <w:sz w:val="32"/>
          <w:szCs w:val="32"/>
        </w:rPr>
        <w:t>、便民服务中心</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9</w:t>
      </w:r>
      <w:r>
        <w:rPr>
          <w:rFonts w:eastAsia="仿宋_GB2312" w:hint="eastAsia"/>
          <w:sz w:val="32"/>
          <w:szCs w:val="32"/>
        </w:rPr>
        <w:t>、退役军人服务站</w:t>
      </w:r>
    </w:p>
    <w:p w:rsidR="001747E9" w:rsidRDefault="00000000">
      <w:pPr>
        <w:widowControl/>
        <w:spacing w:line="560" w:lineRule="atLeast"/>
        <w:ind w:firstLine="627"/>
        <w:jc w:val="left"/>
        <w:rPr>
          <w:rFonts w:ascii="楷体_GB2312" w:eastAsia="楷体_GB2312" w:hAnsi="楷体_GB2312" w:cs="楷体_GB2312" w:hint="eastAsia"/>
          <w:b/>
          <w:color w:val="000000"/>
          <w:kern w:val="0"/>
          <w:sz w:val="31"/>
          <w:szCs w:val="31"/>
        </w:rPr>
      </w:pPr>
      <w:r>
        <w:rPr>
          <w:rFonts w:eastAsia="仿宋_GB2312" w:hint="eastAsia"/>
          <w:sz w:val="32"/>
          <w:szCs w:val="32"/>
        </w:rPr>
        <w:t>10</w:t>
      </w:r>
      <w:r>
        <w:rPr>
          <w:rFonts w:eastAsia="仿宋_GB2312" w:hint="eastAsia"/>
          <w:sz w:val="32"/>
          <w:szCs w:val="32"/>
        </w:rPr>
        <w:t>、综合行政执法大队</w:t>
      </w:r>
    </w:p>
    <w:p w:rsidR="001747E9" w:rsidRDefault="00000000">
      <w:pPr>
        <w:widowControl/>
        <w:jc w:val="left"/>
      </w:pPr>
      <w:r>
        <w:rPr>
          <w:rFonts w:ascii="楷体_GB2312" w:eastAsia="楷体_GB2312" w:hAnsi="楷体_GB2312" w:cs="楷体_GB2312" w:hint="eastAsia"/>
          <w:b/>
          <w:color w:val="000000"/>
          <w:kern w:val="0"/>
          <w:sz w:val="31"/>
          <w:szCs w:val="31"/>
        </w:rPr>
        <w:t>二、</w:t>
      </w:r>
      <w:r>
        <w:rPr>
          <w:rFonts w:ascii="楷体_GB2312" w:eastAsia="楷体_GB2312" w:hAnsi="楷体_GB2312" w:cs="楷体_GB2312"/>
          <w:b/>
          <w:color w:val="000000"/>
          <w:kern w:val="0"/>
          <w:sz w:val="31"/>
          <w:szCs w:val="31"/>
        </w:rPr>
        <w:t xml:space="preserve">部门（单位）整体支出规模、使用方向和主要内容、涉及范围等 </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bCs/>
          <w:color w:val="000000"/>
          <w:kern w:val="0"/>
          <w:sz w:val="31"/>
          <w:szCs w:val="31"/>
        </w:rPr>
        <w:t>（</w:t>
      </w:r>
      <w:r>
        <w:rPr>
          <w:rFonts w:ascii="楷体_GB2312" w:eastAsia="楷体_GB2312" w:hAnsi="楷体_GB2312" w:cs="楷体_GB2312" w:hint="eastAsia"/>
          <w:bCs/>
          <w:color w:val="000000"/>
          <w:kern w:val="0"/>
          <w:sz w:val="31"/>
          <w:szCs w:val="31"/>
        </w:rPr>
        <w:t>一</w:t>
      </w:r>
      <w:r>
        <w:rPr>
          <w:rFonts w:ascii="楷体_GB2312" w:eastAsia="楷体_GB2312" w:hAnsi="楷体_GB2312" w:cs="楷体_GB2312"/>
          <w:bCs/>
          <w:color w:val="000000"/>
          <w:kern w:val="0"/>
          <w:sz w:val="31"/>
          <w:szCs w:val="31"/>
        </w:rPr>
        <w:t xml:space="preserve">）基本支出 </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）本年支出合计</w:t>
      </w:r>
      <w:r>
        <w:rPr>
          <w:rFonts w:eastAsia="仿宋_GB2312" w:hint="eastAsia"/>
          <w:sz w:val="32"/>
          <w:szCs w:val="32"/>
        </w:rPr>
        <w:t>1758.34</w:t>
      </w:r>
      <w:r>
        <w:rPr>
          <w:rFonts w:eastAsia="仿宋_GB2312" w:hint="eastAsia"/>
          <w:sz w:val="32"/>
          <w:szCs w:val="32"/>
        </w:rPr>
        <w:t>万元，其中：基本支出</w:t>
      </w:r>
      <w:r>
        <w:rPr>
          <w:rFonts w:eastAsia="仿宋_GB2312" w:hint="eastAsia"/>
          <w:sz w:val="32"/>
          <w:szCs w:val="32"/>
        </w:rPr>
        <w:t xml:space="preserve">1708.64 </w:t>
      </w:r>
      <w:r>
        <w:rPr>
          <w:rFonts w:eastAsia="仿宋_GB2312" w:hint="eastAsia"/>
          <w:sz w:val="32"/>
          <w:szCs w:val="32"/>
        </w:rPr>
        <w:t>万元，占</w:t>
      </w:r>
      <w:r>
        <w:rPr>
          <w:rFonts w:eastAsia="仿宋_GB2312" w:hint="eastAsia"/>
          <w:sz w:val="32"/>
          <w:szCs w:val="32"/>
        </w:rPr>
        <w:t>97.17%</w:t>
      </w:r>
      <w:r>
        <w:rPr>
          <w:rFonts w:eastAsia="仿宋_GB2312" w:hint="eastAsia"/>
          <w:sz w:val="32"/>
          <w:szCs w:val="32"/>
        </w:rPr>
        <w:t>；项目支出</w:t>
      </w:r>
      <w:r>
        <w:rPr>
          <w:rFonts w:eastAsia="仿宋_GB2312" w:hint="eastAsia"/>
          <w:sz w:val="32"/>
          <w:szCs w:val="32"/>
        </w:rPr>
        <w:t>49.7</w:t>
      </w:r>
      <w:r>
        <w:rPr>
          <w:rFonts w:eastAsia="仿宋_GB2312" w:hint="eastAsia"/>
          <w:sz w:val="32"/>
          <w:szCs w:val="32"/>
        </w:rPr>
        <w:t>万元，占</w:t>
      </w:r>
      <w:r>
        <w:rPr>
          <w:rFonts w:eastAsia="仿宋_GB2312" w:hint="eastAsia"/>
          <w:sz w:val="32"/>
          <w:szCs w:val="32"/>
        </w:rPr>
        <w:t>2.83%</w:t>
      </w:r>
      <w:r>
        <w:rPr>
          <w:rFonts w:eastAsia="仿宋_GB2312" w:hint="eastAsia"/>
          <w:sz w:val="32"/>
          <w:szCs w:val="32"/>
        </w:rPr>
        <w:t>。</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2024</w:t>
      </w:r>
      <w:r>
        <w:rPr>
          <w:rFonts w:eastAsia="仿宋_GB2312" w:hint="eastAsia"/>
          <w:sz w:val="32"/>
          <w:szCs w:val="32"/>
        </w:rPr>
        <w:t>年度财政拨款支出</w:t>
      </w:r>
      <w:r>
        <w:rPr>
          <w:rFonts w:eastAsia="仿宋_GB2312" w:hint="eastAsia"/>
          <w:sz w:val="32"/>
          <w:szCs w:val="32"/>
        </w:rPr>
        <w:t>1758.34</w:t>
      </w:r>
      <w:r>
        <w:rPr>
          <w:rFonts w:eastAsia="仿宋_GB2312" w:hint="eastAsia"/>
          <w:sz w:val="32"/>
          <w:szCs w:val="32"/>
        </w:rPr>
        <w:t>万元，主要用于以下方面：一般公共服务支出</w:t>
      </w:r>
      <w:r>
        <w:rPr>
          <w:rFonts w:eastAsia="仿宋_GB2312" w:hint="eastAsia"/>
          <w:sz w:val="32"/>
          <w:szCs w:val="32"/>
        </w:rPr>
        <w:t>1158.8</w:t>
      </w:r>
      <w:r>
        <w:rPr>
          <w:rFonts w:eastAsia="仿宋_GB2312" w:hint="eastAsia"/>
          <w:sz w:val="32"/>
          <w:szCs w:val="32"/>
        </w:rPr>
        <w:t>万元，占</w:t>
      </w:r>
      <w:r>
        <w:rPr>
          <w:rFonts w:eastAsia="仿宋_GB2312" w:hint="eastAsia"/>
          <w:sz w:val="32"/>
          <w:szCs w:val="32"/>
        </w:rPr>
        <w:t>65.9%</w:t>
      </w:r>
      <w:r>
        <w:rPr>
          <w:rFonts w:eastAsia="仿宋_GB2312" w:hint="eastAsia"/>
          <w:sz w:val="32"/>
          <w:szCs w:val="32"/>
        </w:rPr>
        <w:t>；公共安全支出</w:t>
      </w:r>
      <w:r>
        <w:rPr>
          <w:rFonts w:eastAsia="仿宋_GB2312" w:hint="eastAsia"/>
          <w:sz w:val="32"/>
          <w:szCs w:val="32"/>
        </w:rPr>
        <w:t>11.5</w:t>
      </w:r>
      <w:r>
        <w:rPr>
          <w:rFonts w:eastAsia="仿宋_GB2312" w:hint="eastAsia"/>
          <w:sz w:val="32"/>
          <w:szCs w:val="32"/>
        </w:rPr>
        <w:t>万元，占</w:t>
      </w:r>
      <w:r>
        <w:rPr>
          <w:rFonts w:eastAsia="仿宋_GB2312" w:hint="eastAsia"/>
          <w:sz w:val="32"/>
          <w:szCs w:val="32"/>
        </w:rPr>
        <w:t>0.65%</w:t>
      </w:r>
      <w:r>
        <w:rPr>
          <w:rFonts w:eastAsia="仿宋_GB2312" w:hint="eastAsia"/>
          <w:sz w:val="32"/>
          <w:szCs w:val="32"/>
        </w:rPr>
        <w:t>；社会保障和就业支出</w:t>
      </w:r>
      <w:r>
        <w:rPr>
          <w:rFonts w:eastAsia="仿宋_GB2312" w:hint="eastAsia"/>
          <w:sz w:val="32"/>
          <w:szCs w:val="32"/>
        </w:rPr>
        <w:t>112.54</w:t>
      </w:r>
      <w:r>
        <w:rPr>
          <w:rFonts w:eastAsia="仿宋_GB2312" w:hint="eastAsia"/>
          <w:sz w:val="32"/>
          <w:szCs w:val="32"/>
        </w:rPr>
        <w:t>万元，占</w:t>
      </w:r>
      <w:r>
        <w:rPr>
          <w:rFonts w:eastAsia="仿宋_GB2312" w:hint="eastAsia"/>
          <w:sz w:val="32"/>
          <w:szCs w:val="32"/>
        </w:rPr>
        <w:t>6.4%</w:t>
      </w:r>
      <w:r>
        <w:rPr>
          <w:rFonts w:eastAsia="仿宋_GB2312" w:hint="eastAsia"/>
          <w:sz w:val="32"/>
          <w:szCs w:val="32"/>
        </w:rPr>
        <w:t>；卫生健康支出</w:t>
      </w:r>
      <w:r>
        <w:rPr>
          <w:rFonts w:eastAsia="仿宋_GB2312" w:hint="eastAsia"/>
          <w:sz w:val="32"/>
          <w:szCs w:val="32"/>
        </w:rPr>
        <w:t>50.18</w:t>
      </w:r>
      <w:r>
        <w:rPr>
          <w:rFonts w:eastAsia="仿宋_GB2312" w:hint="eastAsia"/>
          <w:sz w:val="32"/>
          <w:szCs w:val="32"/>
        </w:rPr>
        <w:t>万元，占</w:t>
      </w:r>
      <w:r>
        <w:rPr>
          <w:rFonts w:eastAsia="仿宋_GB2312" w:hint="eastAsia"/>
          <w:sz w:val="32"/>
          <w:szCs w:val="32"/>
        </w:rPr>
        <w:t>2.85%</w:t>
      </w:r>
      <w:r>
        <w:rPr>
          <w:rFonts w:eastAsia="仿宋_GB2312" w:hint="eastAsia"/>
          <w:sz w:val="32"/>
          <w:szCs w:val="32"/>
        </w:rPr>
        <w:t>；节能环保支出</w:t>
      </w:r>
      <w:r>
        <w:rPr>
          <w:rFonts w:eastAsia="仿宋_GB2312" w:hint="eastAsia"/>
          <w:sz w:val="32"/>
          <w:szCs w:val="32"/>
        </w:rPr>
        <w:t>8</w:t>
      </w:r>
      <w:r>
        <w:rPr>
          <w:rFonts w:eastAsia="仿宋_GB2312" w:hint="eastAsia"/>
          <w:sz w:val="32"/>
          <w:szCs w:val="32"/>
        </w:rPr>
        <w:t>万元，占</w:t>
      </w:r>
      <w:r>
        <w:rPr>
          <w:rFonts w:eastAsia="仿宋_GB2312" w:hint="eastAsia"/>
          <w:sz w:val="32"/>
          <w:szCs w:val="32"/>
        </w:rPr>
        <w:t>0.45%</w:t>
      </w:r>
      <w:r>
        <w:rPr>
          <w:rFonts w:eastAsia="仿宋_GB2312" w:hint="eastAsia"/>
          <w:sz w:val="32"/>
          <w:szCs w:val="32"/>
        </w:rPr>
        <w:t>，城乡社区支出</w:t>
      </w:r>
      <w:r>
        <w:rPr>
          <w:rFonts w:eastAsia="仿宋_GB2312" w:hint="eastAsia"/>
          <w:sz w:val="32"/>
          <w:szCs w:val="32"/>
        </w:rPr>
        <w:t>25.09</w:t>
      </w:r>
      <w:r>
        <w:rPr>
          <w:rFonts w:eastAsia="仿宋_GB2312" w:hint="eastAsia"/>
          <w:sz w:val="32"/>
          <w:szCs w:val="32"/>
        </w:rPr>
        <w:t>万元，占</w:t>
      </w:r>
      <w:r>
        <w:rPr>
          <w:rFonts w:eastAsia="仿宋_GB2312" w:hint="eastAsia"/>
          <w:sz w:val="32"/>
          <w:szCs w:val="32"/>
        </w:rPr>
        <w:t>1.43%</w:t>
      </w:r>
      <w:r>
        <w:rPr>
          <w:rFonts w:eastAsia="仿宋_GB2312" w:hint="eastAsia"/>
          <w:sz w:val="32"/>
          <w:szCs w:val="32"/>
        </w:rPr>
        <w:t>，农林水支出</w:t>
      </w:r>
      <w:r>
        <w:rPr>
          <w:rFonts w:eastAsia="仿宋_GB2312" w:hint="eastAsia"/>
          <w:sz w:val="32"/>
          <w:szCs w:val="32"/>
        </w:rPr>
        <w:t xml:space="preserve"> 308.8</w:t>
      </w:r>
      <w:r>
        <w:rPr>
          <w:rFonts w:eastAsia="仿宋_GB2312" w:hint="eastAsia"/>
          <w:sz w:val="32"/>
          <w:szCs w:val="32"/>
        </w:rPr>
        <w:t>万元，占</w:t>
      </w:r>
      <w:r>
        <w:rPr>
          <w:rFonts w:eastAsia="仿宋_GB2312" w:hint="eastAsia"/>
          <w:sz w:val="32"/>
          <w:szCs w:val="32"/>
        </w:rPr>
        <w:t>17.56%</w:t>
      </w:r>
      <w:r>
        <w:rPr>
          <w:rFonts w:eastAsia="仿宋_GB2312" w:hint="eastAsia"/>
          <w:sz w:val="32"/>
          <w:szCs w:val="32"/>
        </w:rPr>
        <w:t>，商业服务业等支出</w:t>
      </w:r>
      <w:r>
        <w:rPr>
          <w:rFonts w:eastAsia="仿宋_GB2312" w:hint="eastAsia"/>
          <w:sz w:val="32"/>
          <w:szCs w:val="32"/>
        </w:rPr>
        <w:t>1.31</w:t>
      </w:r>
      <w:r>
        <w:rPr>
          <w:rFonts w:eastAsia="仿宋_GB2312" w:hint="eastAsia"/>
          <w:sz w:val="32"/>
          <w:szCs w:val="32"/>
        </w:rPr>
        <w:t>万元，占</w:t>
      </w:r>
      <w:r>
        <w:rPr>
          <w:rFonts w:eastAsia="仿宋_GB2312" w:hint="eastAsia"/>
          <w:sz w:val="32"/>
          <w:szCs w:val="32"/>
        </w:rPr>
        <w:t>0.07%</w:t>
      </w:r>
      <w:r>
        <w:rPr>
          <w:rFonts w:eastAsia="仿宋_GB2312" w:hint="eastAsia"/>
          <w:sz w:val="32"/>
          <w:szCs w:val="32"/>
        </w:rPr>
        <w:t>，住房保障支出</w:t>
      </w:r>
      <w:r>
        <w:rPr>
          <w:rFonts w:eastAsia="仿宋_GB2312" w:hint="eastAsia"/>
          <w:sz w:val="32"/>
          <w:szCs w:val="32"/>
        </w:rPr>
        <w:t>79.12</w:t>
      </w:r>
      <w:r>
        <w:rPr>
          <w:rFonts w:eastAsia="仿宋_GB2312" w:hint="eastAsia"/>
          <w:sz w:val="32"/>
          <w:szCs w:val="32"/>
        </w:rPr>
        <w:t>万元，占</w:t>
      </w:r>
      <w:r>
        <w:rPr>
          <w:rFonts w:eastAsia="仿宋_GB2312" w:hint="eastAsia"/>
          <w:sz w:val="32"/>
          <w:szCs w:val="32"/>
        </w:rPr>
        <w:t>4.5%</w:t>
      </w:r>
      <w:r>
        <w:rPr>
          <w:rFonts w:eastAsia="仿宋_GB2312" w:hint="eastAsia"/>
          <w:sz w:val="32"/>
          <w:szCs w:val="32"/>
        </w:rPr>
        <w:t>，粮油物资储备支出</w:t>
      </w:r>
      <w:r>
        <w:rPr>
          <w:rFonts w:eastAsia="仿宋_GB2312" w:hint="eastAsia"/>
          <w:sz w:val="32"/>
          <w:szCs w:val="32"/>
        </w:rPr>
        <w:t>3</w:t>
      </w:r>
      <w:r>
        <w:rPr>
          <w:rFonts w:eastAsia="仿宋_GB2312" w:hint="eastAsia"/>
          <w:sz w:val="32"/>
          <w:szCs w:val="32"/>
        </w:rPr>
        <w:t>万元，占</w:t>
      </w:r>
      <w:r>
        <w:rPr>
          <w:rFonts w:eastAsia="仿宋_GB2312" w:hint="eastAsia"/>
          <w:sz w:val="32"/>
          <w:szCs w:val="32"/>
        </w:rPr>
        <w:t>0.19%</w:t>
      </w:r>
      <w:r>
        <w:rPr>
          <w:rFonts w:eastAsia="仿宋_GB2312" w:hint="eastAsia"/>
          <w:sz w:val="32"/>
          <w:szCs w:val="32"/>
        </w:rPr>
        <w:t>。其中：人员经费</w:t>
      </w:r>
      <w:r>
        <w:rPr>
          <w:rFonts w:eastAsia="仿宋_GB2312" w:hint="eastAsia"/>
          <w:sz w:val="32"/>
          <w:szCs w:val="32"/>
        </w:rPr>
        <w:t>1447.8</w:t>
      </w:r>
      <w:r>
        <w:rPr>
          <w:rFonts w:eastAsia="仿宋_GB2312" w:hint="eastAsia"/>
          <w:sz w:val="32"/>
          <w:szCs w:val="32"/>
        </w:rPr>
        <w:t>万元，占基本支出的</w:t>
      </w:r>
      <w:r>
        <w:rPr>
          <w:rFonts w:eastAsia="仿宋_GB2312" w:hint="eastAsia"/>
          <w:sz w:val="32"/>
          <w:szCs w:val="32"/>
        </w:rPr>
        <w:t>84.73%</w:t>
      </w:r>
      <w:r>
        <w:rPr>
          <w:rFonts w:eastAsia="仿宋_GB2312" w:hint="eastAsia"/>
          <w:sz w:val="32"/>
          <w:szCs w:val="32"/>
        </w:rPr>
        <w:t>，主要包括基本工资、津贴补贴、奖金、绩效工资、机关事业单位基本养老保险缴费、职业年金缴费、职工基本医疗保险缴费、其他社区保障缴费、住房公积金、医疗费、其他工资福利支出、抚恤金、生活补助、个人农业生产补贴、其他对个人和家庭的补助；公用经费</w:t>
      </w:r>
      <w:r>
        <w:rPr>
          <w:rFonts w:eastAsia="仿宋_GB2312" w:hint="eastAsia"/>
          <w:sz w:val="32"/>
          <w:szCs w:val="32"/>
        </w:rPr>
        <w:t>260.84</w:t>
      </w:r>
      <w:r>
        <w:rPr>
          <w:rFonts w:eastAsia="仿宋_GB2312" w:hint="eastAsia"/>
          <w:sz w:val="32"/>
          <w:szCs w:val="32"/>
        </w:rPr>
        <w:t>万元，占基本支出</w:t>
      </w:r>
      <w:r>
        <w:rPr>
          <w:rFonts w:eastAsia="仿宋_GB2312" w:hint="eastAsia"/>
          <w:sz w:val="32"/>
          <w:szCs w:val="32"/>
        </w:rPr>
        <w:lastRenderedPageBreak/>
        <w:t>的</w:t>
      </w:r>
      <w:r>
        <w:rPr>
          <w:rFonts w:eastAsia="仿宋_GB2312" w:hint="eastAsia"/>
          <w:sz w:val="32"/>
          <w:szCs w:val="32"/>
        </w:rPr>
        <w:t>15.27%</w:t>
      </w:r>
      <w:r>
        <w:rPr>
          <w:rFonts w:eastAsia="仿宋_GB2312" w:hint="eastAsia"/>
          <w:sz w:val="32"/>
          <w:szCs w:val="32"/>
        </w:rPr>
        <w:t>，主要包括办公费、印刷费、咨询费、水费、电</w:t>
      </w:r>
      <w:r>
        <w:rPr>
          <w:rFonts w:eastAsia="仿宋_GB2312" w:hint="eastAsia"/>
          <w:sz w:val="32"/>
          <w:szCs w:val="32"/>
        </w:rPr>
        <w:t xml:space="preserve"> </w:t>
      </w:r>
      <w:r>
        <w:rPr>
          <w:rFonts w:eastAsia="仿宋_GB2312" w:hint="eastAsia"/>
          <w:sz w:val="32"/>
          <w:szCs w:val="32"/>
        </w:rPr>
        <w:t>费、邮电费、差旅费、会议费、培训费、公务用车运行维</w:t>
      </w:r>
      <w:r>
        <w:rPr>
          <w:rFonts w:eastAsia="仿宋_GB2312" w:hint="eastAsia"/>
          <w:sz w:val="32"/>
          <w:szCs w:val="32"/>
        </w:rPr>
        <w:t xml:space="preserve"> </w:t>
      </w:r>
      <w:r>
        <w:rPr>
          <w:rFonts w:eastAsia="仿宋_GB2312" w:hint="eastAsia"/>
          <w:sz w:val="32"/>
          <w:szCs w:val="32"/>
        </w:rPr>
        <w:t>护费、专用材料费、劳务费、工会经费、福利费、其他交</w:t>
      </w:r>
      <w:r>
        <w:rPr>
          <w:rFonts w:eastAsia="仿宋_GB2312" w:hint="eastAsia"/>
          <w:sz w:val="32"/>
          <w:szCs w:val="32"/>
        </w:rPr>
        <w:t xml:space="preserve"> </w:t>
      </w:r>
      <w:r>
        <w:rPr>
          <w:rFonts w:eastAsia="仿宋_GB2312" w:hint="eastAsia"/>
          <w:sz w:val="32"/>
          <w:szCs w:val="32"/>
        </w:rPr>
        <w:t>通费、其他商品和服务支出、办公设备购置、信息网络及软件购置更新。</w:t>
      </w:r>
      <w:r>
        <w:rPr>
          <w:rFonts w:eastAsia="仿宋_GB2312" w:hint="eastAsia"/>
          <w:sz w:val="32"/>
          <w:szCs w:val="32"/>
        </w:rPr>
        <w:t xml:space="preserve"> </w:t>
      </w:r>
    </w:p>
    <w:p w:rsidR="001747E9" w:rsidRDefault="00000000">
      <w:pPr>
        <w:widowControl/>
        <w:numPr>
          <w:ilvl w:val="0"/>
          <w:numId w:val="3"/>
        </w:numPr>
        <w:spacing w:line="560" w:lineRule="atLeast"/>
        <w:jc w:val="left"/>
        <w:rPr>
          <w:rFonts w:eastAsia="楷体_GB2312"/>
          <w:bCs/>
          <w:sz w:val="32"/>
          <w:szCs w:val="32"/>
        </w:rPr>
      </w:pPr>
      <w:r>
        <w:rPr>
          <w:rFonts w:eastAsia="楷体_GB2312"/>
          <w:bCs/>
          <w:sz w:val="32"/>
          <w:szCs w:val="32"/>
        </w:rPr>
        <w:t>项目支出：</w:t>
      </w:r>
    </w:p>
    <w:p w:rsidR="001747E9" w:rsidRDefault="00000000">
      <w:pPr>
        <w:widowControl/>
        <w:spacing w:line="560" w:lineRule="atLeast"/>
        <w:ind w:firstLineChars="200" w:firstLine="640"/>
        <w:jc w:val="left"/>
        <w:rPr>
          <w:rFonts w:ascii="黑体" w:eastAsia="黑体" w:hAnsi="宋体" w:cs="黑体" w:hint="eastAsia"/>
          <w:color w:val="000000"/>
          <w:kern w:val="0"/>
          <w:sz w:val="31"/>
          <w:szCs w:val="31"/>
        </w:rPr>
      </w:pPr>
      <w:r>
        <w:rPr>
          <w:rFonts w:eastAsia="仿宋_GB2312" w:hint="eastAsia"/>
          <w:sz w:val="32"/>
          <w:szCs w:val="32"/>
        </w:rPr>
        <w:t>2024</w:t>
      </w:r>
      <w:r>
        <w:rPr>
          <w:rFonts w:eastAsia="仿宋_GB2312" w:hint="eastAsia"/>
          <w:sz w:val="32"/>
          <w:szCs w:val="32"/>
        </w:rPr>
        <w:t>年项目支出</w:t>
      </w:r>
      <w:r>
        <w:rPr>
          <w:rFonts w:eastAsia="仿宋_GB2312" w:hint="eastAsia"/>
          <w:sz w:val="32"/>
          <w:szCs w:val="32"/>
        </w:rPr>
        <w:t>49.7</w:t>
      </w:r>
      <w:r>
        <w:rPr>
          <w:rFonts w:eastAsia="仿宋_GB2312" w:hint="eastAsia"/>
          <w:sz w:val="32"/>
          <w:szCs w:val="32"/>
        </w:rPr>
        <w:t>万元。其中一般公共服务支出</w:t>
      </w:r>
      <w:r>
        <w:rPr>
          <w:rFonts w:eastAsia="仿宋_GB2312" w:hint="eastAsia"/>
          <w:sz w:val="32"/>
          <w:szCs w:val="32"/>
        </w:rPr>
        <w:t>24.61</w:t>
      </w:r>
      <w:r>
        <w:rPr>
          <w:rFonts w:eastAsia="仿宋_GB2312" w:hint="eastAsia"/>
          <w:sz w:val="32"/>
          <w:szCs w:val="32"/>
        </w:rPr>
        <w:t>万元、城乡社区支出</w:t>
      </w:r>
      <w:r>
        <w:rPr>
          <w:rFonts w:eastAsia="仿宋_GB2312" w:hint="eastAsia"/>
          <w:sz w:val="32"/>
          <w:szCs w:val="32"/>
        </w:rPr>
        <w:t>25.09</w:t>
      </w:r>
      <w:r>
        <w:rPr>
          <w:rFonts w:eastAsia="仿宋_GB2312" w:hint="eastAsia"/>
          <w:sz w:val="32"/>
          <w:szCs w:val="32"/>
        </w:rPr>
        <w:t>万元。部门整体支出情况分析：我单位严格按照上级专项资金管理办法使用资金，确保专项资金专款专用。专项资金主要用于行政运行、社会保障，卫生健康，精准扶贫、救助慰问、农村建设、社会综合治理、城乡风貌改造等方面。</w:t>
      </w:r>
    </w:p>
    <w:p w:rsidR="001747E9" w:rsidRDefault="00000000">
      <w:pPr>
        <w:widowControl/>
        <w:jc w:val="left"/>
        <w:rPr>
          <w:rFonts w:ascii="楷体_GB2312" w:eastAsia="楷体_GB2312" w:hAnsi="楷体_GB2312" w:cs="楷体_GB2312" w:hint="eastAsia"/>
          <w:b/>
          <w:color w:val="000000"/>
          <w:kern w:val="0"/>
          <w:sz w:val="31"/>
          <w:szCs w:val="31"/>
        </w:rPr>
      </w:pPr>
      <w:r>
        <w:rPr>
          <w:rFonts w:ascii="楷体_GB2312" w:eastAsia="楷体_GB2312" w:hAnsi="楷体_GB2312" w:cs="楷体_GB2312" w:hint="eastAsia"/>
          <w:b/>
          <w:color w:val="000000"/>
          <w:kern w:val="0"/>
          <w:sz w:val="31"/>
          <w:szCs w:val="31"/>
        </w:rPr>
        <w:t xml:space="preserve">三、部门（单位）整体支出绩效情况 </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bCs/>
          <w:color w:val="000000"/>
          <w:kern w:val="0"/>
          <w:sz w:val="31"/>
          <w:szCs w:val="31"/>
        </w:rPr>
        <w:t xml:space="preserve">（一）部门整体支出绩效目标完成情况 </w:t>
      </w:r>
    </w:p>
    <w:p w:rsidR="001747E9" w:rsidRDefault="00000000">
      <w:pPr>
        <w:widowControl/>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）数量指标。</w:t>
      </w:r>
    </w:p>
    <w:p w:rsidR="001747E9" w:rsidRDefault="00000000">
      <w:pPr>
        <w:widowControl/>
        <w:spacing w:line="560" w:lineRule="atLeast"/>
        <w:ind w:firstLine="627"/>
        <w:jc w:val="left"/>
      </w:pPr>
      <w:r>
        <w:rPr>
          <w:rFonts w:eastAsia="仿宋_GB2312" w:hint="eastAsia"/>
          <w:sz w:val="32"/>
          <w:szCs w:val="32"/>
        </w:rPr>
        <w:t>2024</w:t>
      </w:r>
      <w:r>
        <w:rPr>
          <w:rFonts w:eastAsia="仿宋_GB2312" w:hint="eastAsia"/>
          <w:sz w:val="32"/>
          <w:szCs w:val="32"/>
        </w:rPr>
        <w:t>年本部门召开</w:t>
      </w:r>
      <w:r>
        <w:rPr>
          <w:rFonts w:eastAsia="仿宋_GB2312" w:hint="eastAsia"/>
          <w:sz w:val="32"/>
          <w:szCs w:val="32"/>
        </w:rPr>
        <w:t>9</w:t>
      </w:r>
      <w:r>
        <w:rPr>
          <w:rFonts w:eastAsia="仿宋_GB2312" w:hint="eastAsia"/>
          <w:sz w:val="32"/>
          <w:szCs w:val="32"/>
        </w:rPr>
        <w:t>次会议，人数</w:t>
      </w:r>
      <w:r>
        <w:rPr>
          <w:rFonts w:eastAsia="仿宋_GB2312" w:hint="eastAsia"/>
          <w:sz w:val="32"/>
          <w:szCs w:val="32"/>
        </w:rPr>
        <w:t>260</w:t>
      </w:r>
      <w:r>
        <w:rPr>
          <w:rFonts w:eastAsia="仿宋_GB2312" w:hint="eastAsia"/>
          <w:sz w:val="32"/>
          <w:szCs w:val="32"/>
        </w:rPr>
        <w:t>余人，内容为</w:t>
      </w:r>
      <w:r>
        <w:rPr>
          <w:rFonts w:eastAsia="仿宋_GB2312" w:hint="eastAsia"/>
          <w:sz w:val="32"/>
          <w:szCs w:val="32"/>
        </w:rPr>
        <w:t>2024</w:t>
      </w:r>
      <w:r>
        <w:rPr>
          <w:rFonts w:eastAsia="仿宋_GB2312" w:hint="eastAsia"/>
          <w:sz w:val="32"/>
          <w:szCs w:val="32"/>
        </w:rPr>
        <w:t>年起步会及表彰会议、春耕生产会议、七一总结表彰会、镇人大工作安排会两次、</w:t>
      </w:r>
      <w:r w:rsidR="00FA31B3">
        <w:rPr>
          <w:rFonts w:eastAsia="仿宋_GB2312" w:hint="eastAsia"/>
          <w:sz w:val="32"/>
          <w:szCs w:val="32"/>
        </w:rPr>
        <w:t>入党积极分子</w:t>
      </w:r>
      <w:r>
        <w:rPr>
          <w:rFonts w:eastAsia="仿宋_GB2312" w:hint="eastAsia"/>
          <w:sz w:val="32"/>
          <w:szCs w:val="32"/>
        </w:rPr>
        <w:t>、发展对象培训等会议；开展</w:t>
      </w:r>
      <w:r>
        <w:rPr>
          <w:rFonts w:eastAsia="仿宋_GB2312" w:hint="eastAsia"/>
          <w:sz w:val="32"/>
          <w:szCs w:val="32"/>
        </w:rPr>
        <w:t>3</w:t>
      </w:r>
      <w:r>
        <w:rPr>
          <w:rFonts w:eastAsia="仿宋_GB2312" w:hint="eastAsia"/>
          <w:sz w:val="32"/>
          <w:szCs w:val="32"/>
        </w:rPr>
        <w:t>次培训，人数</w:t>
      </w:r>
      <w:r>
        <w:rPr>
          <w:rFonts w:eastAsia="仿宋_GB2312" w:hint="eastAsia"/>
          <w:sz w:val="32"/>
          <w:szCs w:val="32"/>
        </w:rPr>
        <w:t>300</w:t>
      </w:r>
      <w:r>
        <w:rPr>
          <w:rFonts w:eastAsia="仿宋_GB2312" w:hint="eastAsia"/>
          <w:sz w:val="32"/>
          <w:szCs w:val="32"/>
        </w:rPr>
        <w:t>余人，内容为党建培训、村级财务报账员培训、市域社会治理培训等。</w:t>
      </w:r>
    </w:p>
    <w:p w:rsidR="001747E9" w:rsidRDefault="00000000">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）质量指标。</w:t>
      </w:r>
      <w:r>
        <w:rPr>
          <w:rFonts w:ascii="Times New Roman" w:eastAsia="仿宋_GB2312" w:hAnsi="Times New Roman" w:hint="eastAsia"/>
          <w:sz w:val="32"/>
          <w:szCs w:val="32"/>
        </w:rPr>
        <w:t>单位正常运转率达到</w:t>
      </w:r>
      <w:r>
        <w:rPr>
          <w:rFonts w:ascii="Times New Roman" w:eastAsia="仿宋_GB2312" w:hAnsi="Times New Roman" w:hint="eastAsia"/>
          <w:sz w:val="32"/>
          <w:szCs w:val="32"/>
        </w:rPr>
        <w:t>100%</w:t>
      </w:r>
      <w:r>
        <w:rPr>
          <w:rFonts w:ascii="Times New Roman" w:eastAsia="仿宋_GB2312" w:hAnsi="Times New Roman" w:hint="eastAsia"/>
          <w:sz w:val="32"/>
          <w:szCs w:val="32"/>
        </w:rPr>
        <w:t>；活动参与率</w:t>
      </w:r>
      <w:r>
        <w:rPr>
          <w:rFonts w:ascii="Times New Roman" w:eastAsia="仿宋_GB2312" w:hAnsi="Times New Roman" w:hint="eastAsia"/>
          <w:sz w:val="32"/>
          <w:szCs w:val="32"/>
        </w:rPr>
        <w:t>100%</w:t>
      </w:r>
      <w:r>
        <w:rPr>
          <w:rFonts w:ascii="Times New Roman" w:eastAsia="仿宋_GB2312" w:hAnsi="Times New Roman" w:hint="eastAsia"/>
          <w:sz w:val="32"/>
          <w:szCs w:val="32"/>
        </w:rPr>
        <w:t>以上。</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）时效指标。</w:t>
      </w:r>
      <w:r>
        <w:rPr>
          <w:rFonts w:ascii="Times New Roman" w:eastAsia="仿宋_GB2312" w:hAnsi="Times New Roman" w:hint="eastAsia"/>
          <w:sz w:val="32"/>
          <w:szCs w:val="32"/>
        </w:rPr>
        <w:t>在</w:t>
      </w:r>
      <w:r>
        <w:rPr>
          <w:rFonts w:ascii="Times New Roman" w:eastAsia="仿宋_GB2312" w:hAnsi="Times New Roman" w:hint="eastAsia"/>
          <w:sz w:val="32"/>
          <w:szCs w:val="32"/>
        </w:rPr>
        <w:t>2024</w:t>
      </w:r>
      <w:r>
        <w:rPr>
          <w:rFonts w:ascii="Times New Roman" w:eastAsia="仿宋_GB2312" w:hAnsi="Times New Roman" w:hint="eastAsia"/>
          <w:sz w:val="32"/>
          <w:szCs w:val="32"/>
        </w:rPr>
        <w:t>年内完成</w:t>
      </w:r>
      <w:r>
        <w:rPr>
          <w:rFonts w:ascii="Times New Roman" w:eastAsia="仿宋_GB2312" w:hAnsi="Times New Roman"/>
          <w:sz w:val="32"/>
          <w:szCs w:val="32"/>
        </w:rPr>
        <w:t>。</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4</w:t>
      </w:r>
      <w:r>
        <w:rPr>
          <w:rFonts w:ascii="Times New Roman" w:eastAsia="仿宋_GB2312" w:hAnsi="Times New Roman"/>
          <w:sz w:val="32"/>
          <w:szCs w:val="32"/>
        </w:rPr>
        <w:t>）成本指标。</w:t>
      </w:r>
      <w:r>
        <w:rPr>
          <w:rFonts w:ascii="Times New Roman" w:eastAsia="仿宋_GB2312" w:hAnsi="Times New Roman" w:hint="eastAsia"/>
          <w:sz w:val="32"/>
          <w:szCs w:val="32"/>
        </w:rPr>
        <w:t>成本控制率</w:t>
      </w:r>
      <w:r>
        <w:rPr>
          <w:rFonts w:ascii="Times New Roman" w:eastAsia="仿宋_GB2312" w:hAnsi="Times New Roman" w:hint="eastAsia"/>
          <w:sz w:val="32"/>
          <w:szCs w:val="32"/>
        </w:rPr>
        <w:t>100%</w:t>
      </w:r>
      <w:r>
        <w:rPr>
          <w:rFonts w:ascii="Times New Roman" w:eastAsia="仿宋_GB2312" w:hAnsi="Times New Roman" w:hint="eastAsia"/>
          <w:sz w:val="32"/>
          <w:szCs w:val="32"/>
        </w:rPr>
        <w:t>；基本支出控制额</w:t>
      </w:r>
      <w:r>
        <w:rPr>
          <w:rFonts w:eastAsia="仿宋_GB2312" w:hint="eastAsia"/>
          <w:sz w:val="32"/>
          <w:szCs w:val="32"/>
        </w:rPr>
        <w:t>1708.64</w:t>
      </w:r>
      <w:r>
        <w:rPr>
          <w:rFonts w:ascii="Times New Roman" w:eastAsia="仿宋_GB2312" w:hAnsi="Times New Roman" w:hint="eastAsia"/>
          <w:sz w:val="32"/>
          <w:szCs w:val="32"/>
        </w:rPr>
        <w:t>万元；项目支出控制额</w:t>
      </w:r>
      <w:r>
        <w:rPr>
          <w:rFonts w:asciiTheme="minorEastAsia" w:hAnsiTheme="minorEastAsia" w:cstheme="minorEastAsia" w:hint="eastAsia"/>
          <w:color w:val="333333"/>
          <w:sz w:val="32"/>
          <w:szCs w:val="32"/>
          <w:shd w:val="clear" w:color="auto" w:fill="FFFFFF"/>
        </w:rPr>
        <w:t>49.7</w:t>
      </w:r>
      <w:r>
        <w:rPr>
          <w:rFonts w:ascii="Times New Roman" w:eastAsia="仿宋_GB2312" w:hAnsi="Times New Roman" w:hint="eastAsia"/>
          <w:sz w:val="32"/>
          <w:szCs w:val="32"/>
        </w:rPr>
        <w:t>万元。</w:t>
      </w:r>
    </w:p>
    <w:p w:rsidR="001747E9" w:rsidRDefault="00000000">
      <w:pPr>
        <w:pStyle w:val="ac"/>
        <w:widowControl/>
        <w:spacing w:before="105" w:beforeAutospacing="0" w:after="105"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）效益指标。任务完成及时率达</w:t>
      </w:r>
      <w:r>
        <w:rPr>
          <w:rFonts w:ascii="Times New Roman" w:eastAsia="仿宋_GB2312" w:hAnsi="Times New Roman"/>
          <w:sz w:val="32"/>
          <w:szCs w:val="32"/>
        </w:rPr>
        <w:t>100%</w:t>
      </w:r>
      <w:r>
        <w:rPr>
          <w:rFonts w:ascii="Times New Roman" w:eastAsia="仿宋_GB2312" w:hAnsi="Times New Roman"/>
          <w:sz w:val="32"/>
          <w:szCs w:val="32"/>
        </w:rPr>
        <w:t>；举办活动及时率达</w:t>
      </w:r>
      <w:r>
        <w:rPr>
          <w:rFonts w:ascii="Times New Roman" w:eastAsia="仿宋_GB2312" w:hAnsi="Times New Roman"/>
          <w:sz w:val="32"/>
          <w:szCs w:val="32"/>
        </w:rPr>
        <w:t>100%</w:t>
      </w:r>
      <w:r>
        <w:rPr>
          <w:rFonts w:ascii="Times New Roman" w:eastAsia="仿宋_GB2312" w:hAnsi="Times New Roman" w:hint="eastAsia"/>
          <w:sz w:val="32"/>
          <w:szCs w:val="32"/>
        </w:rPr>
        <w:t>。</w:t>
      </w:r>
    </w:p>
    <w:p w:rsidR="001747E9" w:rsidRDefault="00000000">
      <w:pPr>
        <w:pStyle w:val="ac"/>
        <w:widowControl/>
        <w:spacing w:before="105" w:beforeAutospacing="0" w:after="105"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）满意度。</w:t>
      </w:r>
      <w:r>
        <w:rPr>
          <w:rFonts w:ascii="Times New Roman" w:eastAsia="仿宋_GB2312" w:hAnsi="Times New Roman" w:hint="eastAsia"/>
          <w:sz w:val="32"/>
          <w:szCs w:val="32"/>
        </w:rPr>
        <w:t>社会公众或服务对象满意度达到</w:t>
      </w:r>
      <w:r>
        <w:rPr>
          <w:rFonts w:ascii="Times New Roman" w:eastAsia="仿宋_GB2312" w:hAnsi="Times New Roman"/>
          <w:sz w:val="32"/>
          <w:szCs w:val="32"/>
        </w:rPr>
        <w:t>9</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sz w:val="32"/>
          <w:szCs w:val="32"/>
        </w:rPr>
        <w:t>以上。</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hint="eastAsia"/>
          <w:bCs/>
          <w:color w:val="000000"/>
          <w:kern w:val="0"/>
          <w:sz w:val="31"/>
          <w:szCs w:val="31"/>
        </w:rPr>
        <w:t>（二）部门整体支出绩效情况</w:t>
      </w:r>
    </w:p>
    <w:p w:rsidR="001747E9" w:rsidRDefault="00000000">
      <w:pPr>
        <w:pStyle w:val="ac"/>
        <w:widowControl/>
        <w:spacing w:before="0" w:beforeAutospacing="0" w:after="106" w:afterAutospacing="0" w:line="20" w:lineRule="atLeast"/>
        <w:ind w:firstLineChars="200" w:firstLine="640"/>
        <w:rPr>
          <w:rFonts w:ascii="Times New Roman" w:eastAsia="仿宋_GB2312" w:hAnsi="Times New Roman" w:cstheme="minorBidi"/>
          <w:kern w:val="2"/>
          <w:sz w:val="32"/>
          <w:szCs w:val="32"/>
        </w:rPr>
      </w:pPr>
      <w:r>
        <w:rPr>
          <w:rFonts w:hint="eastAsia"/>
          <w:sz w:val="32"/>
          <w:szCs w:val="32"/>
        </w:rPr>
        <w:t xml:space="preserve"> </w:t>
      </w:r>
      <w:r>
        <w:rPr>
          <w:rFonts w:ascii="Times New Roman" w:eastAsia="仿宋_GB2312" w:hAnsi="Times New Roman" w:cstheme="minorBidi" w:hint="eastAsia"/>
          <w:kern w:val="2"/>
          <w:sz w:val="32"/>
          <w:szCs w:val="32"/>
        </w:rPr>
        <w:t>2024</w:t>
      </w:r>
      <w:r>
        <w:rPr>
          <w:rFonts w:ascii="Times New Roman" w:eastAsia="仿宋_GB2312" w:hAnsi="Times New Roman" w:cstheme="minorBidi" w:hint="eastAsia"/>
          <w:kern w:val="2"/>
          <w:sz w:val="32"/>
          <w:szCs w:val="32"/>
        </w:rPr>
        <w:t>年部门整体支出绩效自评结果显示，我镇绩效管理情况较为理想，达到了年初设定的各项绩效目标。所有资金使用严格按审批程序办理、操作规范，会计核算结果真实、准确，各项支出严格按照各项制度执行。</w:t>
      </w:r>
    </w:p>
    <w:p w:rsidR="001747E9" w:rsidRDefault="00000000">
      <w:pPr>
        <w:widowControl/>
        <w:jc w:val="left"/>
        <w:rPr>
          <w:rFonts w:ascii="楷体_GB2312" w:eastAsia="楷体_GB2312" w:hAnsi="楷体_GB2312" w:cs="楷体_GB2312" w:hint="eastAsia"/>
          <w:b/>
          <w:color w:val="000000"/>
          <w:kern w:val="0"/>
          <w:sz w:val="31"/>
          <w:szCs w:val="31"/>
        </w:rPr>
      </w:pPr>
      <w:r>
        <w:rPr>
          <w:rFonts w:ascii="楷体_GB2312" w:eastAsia="楷体_GB2312" w:hAnsi="楷体_GB2312" w:cs="楷体_GB2312" w:hint="eastAsia"/>
          <w:b/>
          <w:color w:val="000000"/>
          <w:kern w:val="0"/>
          <w:sz w:val="31"/>
          <w:szCs w:val="31"/>
        </w:rPr>
        <w:t>四、绩效评价结论</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年组织整体支出绩效自评</w:t>
      </w:r>
      <w:r>
        <w:rPr>
          <w:rFonts w:ascii="Times New Roman" w:eastAsia="仿宋_GB2312" w:hAnsi="Times New Roman" w:hint="eastAsia"/>
          <w:sz w:val="32"/>
          <w:szCs w:val="32"/>
        </w:rPr>
        <w:t>98.5</w:t>
      </w:r>
      <w:r>
        <w:rPr>
          <w:rFonts w:ascii="Times New Roman" w:eastAsia="仿宋_GB2312" w:hAnsi="Times New Roman" w:hint="eastAsia"/>
          <w:sz w:val="32"/>
          <w:szCs w:val="32"/>
        </w:rPr>
        <w:t>分，自评结果将在政府网站对外公开，接受社会监督。</w:t>
      </w:r>
    </w:p>
    <w:p w:rsidR="001747E9" w:rsidRDefault="00000000">
      <w:pPr>
        <w:widowControl/>
        <w:jc w:val="left"/>
        <w:rPr>
          <w:rFonts w:ascii="楷体_GB2312" w:eastAsia="楷体_GB2312" w:hAnsi="楷体_GB2312" w:cs="楷体_GB2312" w:hint="eastAsia"/>
          <w:b/>
          <w:color w:val="000000"/>
          <w:kern w:val="0"/>
          <w:sz w:val="31"/>
          <w:szCs w:val="31"/>
        </w:rPr>
      </w:pPr>
      <w:r>
        <w:rPr>
          <w:rFonts w:ascii="楷体_GB2312" w:eastAsia="楷体_GB2312" w:hAnsi="楷体_GB2312" w:cs="楷体_GB2312" w:hint="eastAsia"/>
          <w:b/>
          <w:color w:val="000000"/>
          <w:kern w:val="0"/>
          <w:sz w:val="31"/>
          <w:szCs w:val="31"/>
        </w:rPr>
        <w:t>五、存在的主要问题</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财务管理工作是一项科学精细化的工作。现在实行的财务账预算账平行记账，会计处理同时实现双分录模式，细化了科目，提高了对财务核算的要求，加强了政府资产和负债的核算。在财务会计核算中全面引入权责发生制，预算会计核算采用收付实现制。我镇存在的问题是：财务制度有待进一步健全，基本支出有待进一步细化。</w:t>
      </w:r>
    </w:p>
    <w:p w:rsidR="001747E9" w:rsidRDefault="00000000">
      <w:pPr>
        <w:widowControl/>
        <w:jc w:val="left"/>
        <w:rPr>
          <w:rFonts w:ascii="楷体_GB2312" w:eastAsia="楷体_GB2312" w:hAnsi="楷体_GB2312" w:cs="楷体_GB2312" w:hint="eastAsia"/>
          <w:b/>
          <w:color w:val="000000"/>
          <w:kern w:val="0"/>
          <w:sz w:val="31"/>
          <w:szCs w:val="31"/>
        </w:rPr>
      </w:pPr>
      <w:r>
        <w:rPr>
          <w:rFonts w:ascii="楷体_GB2312" w:eastAsia="楷体_GB2312" w:hAnsi="楷体_GB2312" w:cs="楷体_GB2312" w:hint="eastAsia"/>
          <w:b/>
          <w:color w:val="000000"/>
          <w:kern w:val="0"/>
          <w:sz w:val="31"/>
          <w:szCs w:val="31"/>
        </w:rPr>
        <w:t>六、改进措施和有关建议</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（一）加强绩效管理</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建立健全的绩效管理制度，并参照绩效管理制度加强绩效管理，提高单位绩效管理水平。</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（二）加强制度建设</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我单位将联合相关业务科室制定专门的专项项目管理制度，为项目管理提供制度依据，提高项目效益。</w:t>
      </w:r>
    </w:p>
    <w:p w:rsidR="001747E9" w:rsidRDefault="001747E9">
      <w:pPr>
        <w:pStyle w:val="Default"/>
        <w:spacing w:line="600" w:lineRule="exact"/>
        <w:ind w:firstLineChars="200" w:firstLine="640"/>
        <w:rPr>
          <w:rFonts w:ascii="Times New Roman" w:hAnsi="Times New Roman" w:cs="Times New Roman"/>
          <w:sz w:val="32"/>
          <w:szCs w:val="32"/>
        </w:rPr>
      </w:pPr>
    </w:p>
    <w:sectPr w:rsidR="001747E9">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954" w:rsidRDefault="003D4954">
      <w:r>
        <w:separator/>
      </w:r>
    </w:p>
  </w:endnote>
  <w:endnote w:type="continuationSeparator" w:id="0">
    <w:p w:rsidR="003D4954" w:rsidRDefault="003D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E9" w:rsidRDefault="001747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E9" w:rsidRDefault="001747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E9"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47E9"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1747E9"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954" w:rsidRDefault="003D4954">
      <w:r>
        <w:separator/>
      </w:r>
    </w:p>
  </w:footnote>
  <w:footnote w:type="continuationSeparator" w:id="0">
    <w:p w:rsidR="003D4954" w:rsidRDefault="003D4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15F40"/>
    <w:multiLevelType w:val="singleLevel"/>
    <w:tmpl w:val="88415F40"/>
    <w:lvl w:ilvl="0">
      <w:start w:val="2"/>
      <w:numFmt w:val="decimal"/>
      <w:suff w:val="nothing"/>
      <w:lvlText w:val="%1、"/>
      <w:lvlJc w:val="left"/>
    </w:lvl>
  </w:abstractNum>
  <w:abstractNum w:abstractNumId="1" w15:restartNumberingAfterBreak="0">
    <w:nsid w:val="A4BB4BDA"/>
    <w:multiLevelType w:val="singleLevel"/>
    <w:tmpl w:val="A4BB4BDA"/>
    <w:lvl w:ilvl="0">
      <w:start w:val="2"/>
      <w:numFmt w:val="chineseCounting"/>
      <w:suff w:val="nothing"/>
      <w:lvlText w:val="（%1）"/>
      <w:lvlJc w:val="left"/>
      <w:rPr>
        <w:rFonts w:hint="eastAsia"/>
      </w:rPr>
    </w:lvl>
  </w:abstractNum>
  <w:abstractNum w:abstractNumId="2" w15:restartNumberingAfterBreak="0">
    <w:nsid w:val="3292A65E"/>
    <w:multiLevelType w:val="singleLevel"/>
    <w:tmpl w:val="3292A65E"/>
    <w:lvl w:ilvl="0">
      <w:start w:val="2"/>
      <w:numFmt w:val="decimal"/>
      <w:suff w:val="nothing"/>
      <w:lvlText w:val="%1、"/>
      <w:lvlJc w:val="left"/>
    </w:lvl>
  </w:abstractNum>
  <w:num w:numId="1" w16cid:durableId="1061711295">
    <w:abstractNumId w:val="0"/>
  </w:num>
  <w:num w:numId="2" w16cid:durableId="10956222">
    <w:abstractNumId w:val="2"/>
  </w:num>
  <w:num w:numId="3" w16cid:durableId="51354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747E9"/>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323DC"/>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3D9E"/>
    <w:rsid w:val="003C47E6"/>
    <w:rsid w:val="003C4FC2"/>
    <w:rsid w:val="003D4954"/>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075E4"/>
    <w:rsid w:val="00710FE7"/>
    <w:rsid w:val="00717621"/>
    <w:rsid w:val="00720FF1"/>
    <w:rsid w:val="00727A53"/>
    <w:rsid w:val="007502DE"/>
    <w:rsid w:val="00787B42"/>
    <w:rsid w:val="007B15A4"/>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A31B3"/>
    <w:rsid w:val="00FB462F"/>
    <w:rsid w:val="00FE16FA"/>
    <w:rsid w:val="00FE328A"/>
    <w:rsid w:val="00FE6269"/>
    <w:rsid w:val="00FF5CD6"/>
    <w:rsid w:val="1C690C98"/>
    <w:rsid w:val="1D97DEFF"/>
    <w:rsid w:val="1DFF72E5"/>
    <w:rsid w:val="1EFC6F07"/>
    <w:rsid w:val="2FDF85B8"/>
    <w:rsid w:val="2FFFEE04"/>
    <w:rsid w:val="34DF85B0"/>
    <w:rsid w:val="374F144B"/>
    <w:rsid w:val="3B8F36BC"/>
    <w:rsid w:val="424D1C8D"/>
    <w:rsid w:val="491FF225"/>
    <w:rsid w:val="4E2A241D"/>
    <w:rsid w:val="4FFD214C"/>
    <w:rsid w:val="52D431A3"/>
    <w:rsid w:val="54DE16AB"/>
    <w:rsid w:val="5777D4F5"/>
    <w:rsid w:val="57E961DB"/>
    <w:rsid w:val="59DD8326"/>
    <w:rsid w:val="5DEF592A"/>
    <w:rsid w:val="5FC6BB1E"/>
    <w:rsid w:val="5FF720F1"/>
    <w:rsid w:val="67FF5C0B"/>
    <w:rsid w:val="6EFC0924"/>
    <w:rsid w:val="6FB74722"/>
    <w:rsid w:val="6FEF8B7E"/>
    <w:rsid w:val="70735B54"/>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056D"/>
  <w15:docId w15:val="{3ED7252B-F370-45BC-9619-9FDCBDCC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3379</Words>
  <Characters>19265</Characters>
  <Application>Microsoft Office Word</Application>
  <DocSecurity>0</DocSecurity>
  <Lines>160</Lines>
  <Paragraphs>45</Paragraphs>
  <ScaleCrop>false</ScaleCrop>
  <Company>Microsoft</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2024-08-08T18:20:00Z</cp:lastPrinted>
  <dcterms:created xsi:type="dcterms:W3CDTF">2025-08-18T10:17:00Z</dcterms:created>
  <dcterms:modified xsi:type="dcterms:W3CDTF">2025-12-04T08:41:00Z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164F0602C31D4B70B81C908F0B2565F9_13</vt:lpwstr>
  </property>
  <property fmtid="{D5CDD505-2E9C-101B-9397-08002B2CF9AE}" pid="4" name="KSOTemplateDocerSaveRecord">
    <vt:lpwstr>eyJoZGlkIjoiZDA0N2I0MGFhOGIxMTAxNmE2ODMwMzE3YjE3MmU5OTkiLCJ1c2VySWQiOiIxMjAwNDQ2NjAzIn0=</vt:lpwstr>
  </property>
</Properties>
</file>