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z w:val="36"/>
          <w:szCs w:val="36"/>
        </w:rPr>
      </w:pPr>
      <w:bookmarkStart w:id="0" w:name="_GoBack"/>
      <w:bookmarkEnd w:id="0"/>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4</w:t>
      </w:r>
      <w:r>
        <w:rPr>
          <w:rFonts w:hint="eastAsia" w:ascii="方正小标宋简体" w:hAnsi="方正小标宋简体" w:eastAsia="方正小标宋简体" w:cs="方正小标宋简体"/>
          <w:sz w:val="40"/>
          <w:szCs w:val="40"/>
        </w:rPr>
        <w:t>年度部门整体支出绩效自评报告</w:t>
      </w:r>
    </w:p>
    <w:p>
      <w:pPr>
        <w:rPr>
          <w:rFonts w:ascii="方正小标宋简体" w:hAnsi="方正小标宋简体" w:eastAsia="方正小标宋简体" w:cs="方正小标宋简体"/>
          <w:sz w:val="36"/>
          <w:szCs w:val="36"/>
        </w:rPr>
      </w:pPr>
    </w:p>
    <w:p>
      <w:pPr>
        <w:rPr>
          <w:rFonts w:ascii="方正小标宋简体" w:hAnsi="方正小标宋简体" w:eastAsia="方正小标宋简体" w:cs="方正小标宋简体"/>
          <w:sz w:val="36"/>
          <w:szCs w:val="36"/>
        </w:rPr>
      </w:pPr>
    </w:p>
    <w:p>
      <w:pPr>
        <w:rPr>
          <w:rFonts w:ascii="方正小标宋简体" w:hAnsi="方正小标宋简体" w:eastAsia="方正小标宋简体" w:cs="方正小标宋简体"/>
          <w:sz w:val="36"/>
          <w:szCs w:val="36"/>
        </w:rPr>
      </w:pPr>
    </w:p>
    <w:p>
      <w:pPr>
        <w:spacing w:afterLines="100"/>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部门（单位）名称： </w:t>
      </w:r>
      <w:r>
        <w:rPr>
          <w:rFonts w:hint="eastAsia" w:ascii="仿宋_GB2312" w:hAnsi="仿宋_GB2312" w:eastAsia="仿宋_GB2312" w:cs="仿宋_GB2312"/>
          <w:sz w:val="36"/>
          <w:szCs w:val="36"/>
          <w:u w:val="single"/>
        </w:rPr>
        <w:t xml:space="preserve">  </w:t>
      </w:r>
      <w:r>
        <w:rPr>
          <w:rFonts w:hint="eastAsia" w:ascii="仿宋_GB2312" w:hAnsi="仿宋_GB2312" w:eastAsia="仿宋_GB2312" w:cs="仿宋_GB2312"/>
          <w:sz w:val="36"/>
          <w:szCs w:val="36"/>
          <w:u w:val="single"/>
          <w:lang w:eastAsia="zh-CN"/>
        </w:rPr>
        <w:t>祁阳市农村经营服务站</w:t>
      </w:r>
      <w:r>
        <w:rPr>
          <w:rFonts w:hint="eastAsia" w:ascii="仿宋_GB2312" w:hAnsi="仿宋_GB2312" w:eastAsia="仿宋_GB2312" w:cs="仿宋_GB2312"/>
          <w:sz w:val="36"/>
          <w:szCs w:val="36"/>
          <w:u w:val="single"/>
        </w:rPr>
        <w:t xml:space="preserve">                        </w:t>
      </w:r>
    </w:p>
    <w:p>
      <w:pPr>
        <w:spacing w:afterLines="100"/>
        <w:jc w:val="left"/>
        <w:rPr>
          <w:rFonts w:hint="eastAsia" w:ascii="仿宋_GB2312" w:hAnsi="仿宋_GB2312" w:eastAsia="仿宋_GB2312" w:cs="仿宋_GB2312"/>
          <w:sz w:val="36"/>
          <w:szCs w:val="36"/>
        </w:rPr>
      </w:pPr>
    </w:p>
    <w:p>
      <w:pPr>
        <w:spacing w:afterLines="100"/>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评价方式：部门</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单位</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绩效自评</w:t>
      </w:r>
    </w:p>
    <w:p>
      <w:pPr>
        <w:spacing w:afterLines="100"/>
        <w:jc w:val="left"/>
        <w:rPr>
          <w:rFonts w:ascii="仿宋_GB2312" w:hAnsi="仿宋_GB2312" w:eastAsia="仿宋_GB2312" w:cs="仿宋_GB2312"/>
          <w:sz w:val="36"/>
          <w:szCs w:val="36"/>
        </w:rPr>
      </w:pPr>
    </w:p>
    <w:p>
      <w:pPr>
        <w:spacing w:afterLines="100"/>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评价机构：部门</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单位</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评价组</w:t>
      </w: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spacing w:afterLines="100"/>
        <w:jc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报告日期：    </w:t>
      </w:r>
      <w:r>
        <w:rPr>
          <w:rFonts w:hint="eastAsia" w:ascii="仿宋_GB2312" w:hAnsi="仿宋_GB2312" w:eastAsia="仿宋_GB2312" w:cs="仿宋_GB2312"/>
          <w:sz w:val="36"/>
          <w:szCs w:val="36"/>
          <w:lang w:val="en-US" w:eastAsia="zh-CN"/>
        </w:rPr>
        <w:t>2025</w:t>
      </w:r>
      <w:r>
        <w:rPr>
          <w:rFonts w:hint="eastAsia" w:ascii="仿宋_GB2312" w:hAnsi="仿宋_GB2312" w:eastAsia="仿宋_GB2312" w:cs="仿宋_GB2312"/>
          <w:sz w:val="36"/>
          <w:szCs w:val="36"/>
        </w:rPr>
        <w:t xml:space="preserve">年 </w:t>
      </w:r>
      <w:r>
        <w:rPr>
          <w:rFonts w:hint="eastAsia" w:ascii="仿宋_GB2312" w:hAnsi="仿宋_GB2312" w:eastAsia="仿宋_GB2312" w:cs="仿宋_GB2312"/>
          <w:sz w:val="36"/>
          <w:szCs w:val="36"/>
          <w:lang w:val="en-US" w:eastAsia="zh-CN"/>
        </w:rPr>
        <w:t>7</w:t>
      </w:r>
      <w:r>
        <w:rPr>
          <w:rFonts w:hint="eastAsia" w:ascii="仿宋_GB2312" w:hAnsi="仿宋_GB2312" w:eastAsia="仿宋_GB2312" w:cs="仿宋_GB2312"/>
          <w:sz w:val="36"/>
          <w:szCs w:val="36"/>
        </w:rPr>
        <w:t>月</w:t>
      </w:r>
      <w:r>
        <w:rPr>
          <w:rFonts w:hint="eastAsia" w:ascii="仿宋_GB2312" w:hAnsi="仿宋_GB2312" w:eastAsia="仿宋_GB2312" w:cs="仿宋_GB2312"/>
          <w:sz w:val="36"/>
          <w:szCs w:val="36"/>
          <w:lang w:val="en-US" w:eastAsia="zh-CN"/>
        </w:rPr>
        <w:t>9</w:t>
      </w:r>
      <w:r>
        <w:rPr>
          <w:rFonts w:hint="eastAsia" w:ascii="仿宋_GB2312" w:hAnsi="仿宋_GB2312" w:eastAsia="仿宋_GB2312" w:cs="仿宋_GB2312"/>
          <w:sz w:val="36"/>
          <w:szCs w:val="36"/>
        </w:rPr>
        <w:t>日</w:t>
      </w:r>
    </w:p>
    <w:p>
      <w:pPr>
        <w:keepNext w:val="0"/>
        <w:keepLines w:val="0"/>
        <w:pageBreakBefore w:val="0"/>
        <w:widowControl w:val="0"/>
        <w:kinsoku/>
        <w:wordWrap/>
        <w:overflowPunct/>
        <w:topLinePunct w:val="0"/>
        <w:autoSpaceDE/>
        <w:autoSpaceDN/>
        <w:bidi w:val="0"/>
        <w:adjustRightInd/>
        <w:snapToGrid/>
        <w:spacing w:after="251" w:afterLines="80"/>
        <w:jc w:val="center"/>
        <w:textAlignment w:val="auto"/>
        <w:rPr>
          <w:rFonts w:hint="eastAsia" w:ascii="方正小标宋简体" w:hAnsi="方正小标宋简体" w:eastAsia="方正小标宋简体" w:cs="方正小标宋简体"/>
          <w:sz w:val="40"/>
          <w:szCs w:val="40"/>
        </w:rPr>
        <w:sectPr>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251" w:afterLines="80"/>
        <w:jc w:val="center"/>
        <w:textAlignment w:val="auto"/>
        <w:rPr>
          <w:sz w:val="40"/>
          <w:szCs w:val="40"/>
        </w:rPr>
      </w:pPr>
      <w:r>
        <w:rPr>
          <w:rFonts w:hint="eastAsia" w:ascii="方正小标宋简体" w:hAnsi="方正小标宋简体" w:eastAsia="方正小标宋简体" w:cs="方正小标宋简体"/>
          <w:sz w:val="40"/>
          <w:szCs w:val="40"/>
        </w:rPr>
        <w:t>自评报告综述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部门</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单位</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基本情况</w:t>
      </w:r>
    </w:p>
    <w:p>
      <w:pPr>
        <w:numPr>
          <w:ilvl w:val="0"/>
          <w:numId w:val="0"/>
        </w:numPr>
        <w:snapToGrid w:val="0"/>
        <w:spacing w:line="520" w:lineRule="exact"/>
        <w:ind w:firstLine="640" w:firstLineChars="200"/>
        <w:rPr>
          <w:rFonts w:hint="default" w:ascii="Times New Roman" w:hAnsi="Times New Roman" w:eastAsia="楷体_GB2312" w:cs="Times New Roman"/>
          <w:b/>
          <w:bCs/>
          <w:sz w:val="32"/>
          <w:szCs w:val="32"/>
        </w:rPr>
      </w:pPr>
      <w:r>
        <w:rPr>
          <w:rFonts w:hint="eastAsia" w:ascii="仿宋" w:hAnsi="Times New Roman" w:eastAsia="仿宋" w:cs="仿宋"/>
          <w:sz w:val="32"/>
          <w:szCs w:val="32"/>
        </w:rPr>
        <w:t>祁阳市农村经营服务站是市农业农村局直属事业单位</w:t>
      </w:r>
      <w:r>
        <w:rPr>
          <w:rFonts w:hint="eastAsia" w:ascii="仿宋" w:hAnsi="Times New Roman" w:eastAsia="仿宋" w:cs="仿宋"/>
          <w:sz w:val="32"/>
          <w:szCs w:val="32"/>
          <w:lang w:eastAsia="zh-CN"/>
        </w:rPr>
        <w:t>。</w:t>
      </w:r>
      <w:r>
        <w:rPr>
          <w:rFonts w:hint="eastAsia" w:ascii="仿宋" w:eastAsia="仿宋" w:cs="仿宋"/>
          <w:sz w:val="32"/>
          <w:szCs w:val="32"/>
        </w:rPr>
        <w:t>本单位设置三股二室，分别为：办公室、农村承包管理股、农民负担监督管理股、农村集体财务管理股、农村土地承包经营纠纷仲裁委员会办公室。</w:t>
      </w:r>
      <w:r>
        <w:rPr>
          <w:rFonts w:ascii="仿宋" w:eastAsia="仿宋" w:cs="仿宋"/>
          <w:sz w:val="32"/>
          <w:szCs w:val="32"/>
        </w:rPr>
        <w:t>202</w:t>
      </w:r>
      <w:r>
        <w:rPr>
          <w:rFonts w:hint="eastAsia" w:ascii="仿宋" w:eastAsia="仿宋" w:cs="仿宋"/>
          <w:sz w:val="32"/>
          <w:szCs w:val="32"/>
          <w:lang w:val="en-US" w:eastAsia="zh-CN"/>
        </w:rPr>
        <w:t>4</w:t>
      </w:r>
      <w:r>
        <w:rPr>
          <w:rFonts w:hint="eastAsia" w:ascii="仿宋" w:eastAsia="仿宋" w:cs="仿宋"/>
          <w:sz w:val="32"/>
          <w:szCs w:val="32"/>
        </w:rPr>
        <w:t>年末</w:t>
      </w:r>
      <w:r>
        <w:rPr>
          <w:rFonts w:hint="eastAsia" w:ascii="仿宋" w:eastAsia="仿宋" w:cs="仿宋"/>
          <w:sz w:val="32"/>
          <w:szCs w:val="32"/>
          <w:lang w:eastAsia="zh-CN"/>
        </w:rPr>
        <w:t>现有在职人员</w:t>
      </w:r>
      <w:r>
        <w:rPr>
          <w:rFonts w:ascii="仿宋" w:eastAsia="仿宋" w:cs="仿宋"/>
          <w:sz w:val="28"/>
          <w:szCs w:val="28"/>
        </w:rPr>
        <w:t>1</w:t>
      </w:r>
      <w:r>
        <w:rPr>
          <w:rFonts w:hint="eastAsia" w:ascii="仿宋" w:eastAsia="仿宋" w:cs="仿宋"/>
          <w:sz w:val="28"/>
          <w:szCs w:val="28"/>
          <w:lang w:val="en-US" w:eastAsia="zh-CN"/>
        </w:rPr>
        <w:t>1</w:t>
      </w:r>
      <w:r>
        <w:rPr>
          <w:rFonts w:hint="eastAsia" w:ascii="仿宋" w:eastAsia="仿宋" w:cs="仿宋"/>
          <w:sz w:val="32"/>
          <w:szCs w:val="32"/>
        </w:rPr>
        <w:t>人，退休</w:t>
      </w:r>
      <w:r>
        <w:rPr>
          <w:rFonts w:hint="eastAsia" w:ascii="仿宋" w:eastAsia="仿宋" w:cs="仿宋"/>
          <w:sz w:val="32"/>
          <w:szCs w:val="32"/>
          <w:lang w:val="en-US" w:eastAsia="zh-CN"/>
        </w:rPr>
        <w:t>2</w:t>
      </w:r>
      <w:r>
        <w:rPr>
          <w:rFonts w:hint="eastAsia" w:ascii="仿宋" w:eastAsia="仿宋" w:cs="仿宋"/>
          <w:sz w:val="32"/>
          <w:szCs w:val="32"/>
        </w:rPr>
        <w:t>人。</w:t>
      </w:r>
      <w:r>
        <w:rPr>
          <w:rFonts w:hint="eastAsia" w:ascii="仿宋" w:hAnsi="Times New Roman" w:eastAsia="仿宋" w:cs="仿宋"/>
          <w:sz w:val="32"/>
          <w:szCs w:val="32"/>
        </w:rPr>
        <w:t>具体工作职责是：</w:t>
      </w:r>
      <w:r>
        <w:rPr>
          <w:rFonts w:ascii="仿宋" w:hAnsi="Times New Roman" w:eastAsia="仿宋" w:cs="仿宋"/>
          <w:sz w:val="32"/>
          <w:szCs w:val="32"/>
        </w:rPr>
        <w:t>1</w:t>
      </w:r>
      <w:r>
        <w:rPr>
          <w:rFonts w:hint="eastAsia" w:ascii="仿宋" w:hAnsi="Times New Roman" w:eastAsia="仿宋" w:cs="仿宋"/>
          <w:sz w:val="32"/>
          <w:szCs w:val="32"/>
        </w:rPr>
        <w:t>、负责提出稳定和完善家庭承包经营为主的责任制和统分结合的双层经营体制的意见。</w:t>
      </w:r>
      <w:r>
        <w:rPr>
          <w:rFonts w:ascii="仿宋" w:hAnsi="Times New Roman" w:eastAsia="仿宋" w:cs="仿宋"/>
          <w:sz w:val="32"/>
          <w:szCs w:val="32"/>
        </w:rPr>
        <w:t>2</w:t>
      </w:r>
      <w:r>
        <w:rPr>
          <w:rFonts w:hint="eastAsia" w:ascii="仿宋" w:hAnsi="Times New Roman" w:eastAsia="仿宋" w:cs="仿宋"/>
          <w:sz w:val="32"/>
          <w:szCs w:val="32"/>
        </w:rPr>
        <w:t>、负责农村土地承包管理。做好农村土地承包经营权确权颁证工作，稳定和完善农村土地承包关系；指导规范农村土地使用权流转工作；指导农村承包合同签订、鉴证、变更以及农村承包合同纠纷调解、仲裁工作，推进农村土地承包经营权健康有序流转。</w:t>
      </w:r>
      <w:r>
        <w:rPr>
          <w:rFonts w:ascii="仿宋" w:hAnsi="Times New Roman" w:eastAsia="仿宋" w:cs="仿宋"/>
          <w:sz w:val="32"/>
          <w:szCs w:val="32"/>
        </w:rPr>
        <w:t>3</w:t>
      </w:r>
      <w:r>
        <w:rPr>
          <w:rFonts w:hint="eastAsia" w:ascii="仿宋" w:hAnsi="Times New Roman" w:eastAsia="仿宋" w:cs="仿宋"/>
          <w:sz w:val="32"/>
          <w:szCs w:val="32"/>
        </w:rPr>
        <w:t>、负责农民负担监督管理。宣传贯彻国家农民负担监督管理的法律、法规和政策；组织对乡村</w:t>
      </w:r>
      <w:r>
        <w:rPr>
          <w:rFonts w:ascii="仿宋" w:hAnsi="Times New Roman" w:eastAsia="仿宋" w:cs="仿宋"/>
          <w:sz w:val="32"/>
          <w:szCs w:val="32"/>
        </w:rPr>
        <w:t xml:space="preserve"> </w:t>
      </w:r>
      <w:r>
        <w:rPr>
          <w:rFonts w:hint="eastAsia" w:ascii="仿宋" w:hAnsi="Times New Roman" w:eastAsia="仿宋" w:cs="仿宋"/>
          <w:sz w:val="32"/>
          <w:szCs w:val="32"/>
        </w:rPr>
        <w:t>“共同生产费用”预决算方案的审批；审核会签涉及农民负担的文件和项目；监督惠农政策的落实，进行农民负担专项审计；监督管理涉农收费政策及价格的公示；参与查处涉及农民负担的违法违纪案件；培训农民负担监督管理工作人员。</w:t>
      </w:r>
      <w:r>
        <w:rPr>
          <w:rFonts w:ascii="仿宋" w:hAnsi="Times New Roman" w:eastAsia="仿宋" w:cs="仿宋"/>
          <w:sz w:val="32"/>
          <w:szCs w:val="32"/>
        </w:rPr>
        <w:t>4</w:t>
      </w:r>
      <w:r>
        <w:rPr>
          <w:rFonts w:hint="eastAsia" w:ascii="仿宋" w:hAnsi="Times New Roman" w:eastAsia="仿宋" w:cs="仿宋"/>
          <w:sz w:val="32"/>
          <w:szCs w:val="32"/>
        </w:rPr>
        <w:t>、负责农村集体财务和农村集体资产管理。建立健全农村财务管理制度；负责农村资产清产核资工作，股权量化，农村集体经济组织换证及成员信息报送，管好用好农村集体资产，促进农村集体资产保值增值；管理农村财务人员，开展农村财会人员的业务培训；指导农村财会业务，指导农村财务公开。</w:t>
      </w:r>
      <w:r>
        <w:rPr>
          <w:rFonts w:ascii="仿宋" w:hAnsi="Times New Roman" w:eastAsia="仿宋" w:cs="仿宋"/>
          <w:sz w:val="32"/>
          <w:szCs w:val="32"/>
        </w:rPr>
        <w:t>5</w:t>
      </w:r>
      <w:r>
        <w:rPr>
          <w:rFonts w:hint="eastAsia" w:ascii="仿宋" w:hAnsi="Times New Roman" w:eastAsia="仿宋" w:cs="仿宋"/>
          <w:sz w:val="32"/>
          <w:szCs w:val="32"/>
        </w:rPr>
        <w:t>、负责农村经济情况和社会发展指标体系的统计和分析工作。组织对农村经济收支、农民收入情况的监测。</w:t>
      </w:r>
      <w:r>
        <w:rPr>
          <w:rFonts w:ascii="仿宋" w:hAnsi="Times New Roman" w:eastAsia="仿宋" w:cs="仿宋"/>
          <w:sz w:val="32"/>
          <w:szCs w:val="32"/>
        </w:rPr>
        <w:t>6</w:t>
      </w:r>
      <w:r>
        <w:rPr>
          <w:rFonts w:hint="eastAsia" w:ascii="仿宋" w:hAnsi="Times New Roman" w:eastAsia="仿宋" w:cs="仿宋"/>
          <w:sz w:val="32"/>
          <w:szCs w:val="32"/>
        </w:rPr>
        <w:t>、负责农村集体经济审计监督。管理和培训农村集体经济审计工作人员，组织开展村集体经济审计工作。</w:t>
      </w:r>
      <w:r>
        <w:rPr>
          <w:rFonts w:ascii="仿宋" w:hAnsi="Times New Roman" w:eastAsia="仿宋" w:cs="仿宋"/>
          <w:sz w:val="32"/>
          <w:szCs w:val="32"/>
        </w:rPr>
        <w:t>7</w:t>
      </w:r>
      <w:r>
        <w:rPr>
          <w:rFonts w:hint="eastAsia" w:ascii="仿宋" w:hAnsi="Times New Roman" w:eastAsia="仿宋" w:cs="仿宋"/>
          <w:sz w:val="32"/>
          <w:szCs w:val="32"/>
        </w:rPr>
        <w:t>、负责农民专业合作社的管理。指导农业产业化经营、农村专业合作社组织和农业生产社会化服务体系建设；为农户经营、农村专业合作社组织提供产前、产中、产后的经济信息服务；指导专业合作社的经济核算，争取了蔬菜生产社会化服务试点县，对项目实行事前、事中、事后实地考察验收。</w:t>
      </w:r>
      <w:r>
        <w:rPr>
          <w:rFonts w:ascii="仿宋" w:hAnsi="Times New Roman" w:eastAsia="仿宋" w:cs="仿宋"/>
          <w:sz w:val="32"/>
          <w:szCs w:val="32"/>
        </w:rPr>
        <w:t>8</w:t>
      </w:r>
      <w:r>
        <w:rPr>
          <w:rFonts w:hint="eastAsia" w:ascii="仿宋" w:hAnsi="Times New Roman" w:eastAsia="仿宋" w:cs="仿宋"/>
          <w:sz w:val="32"/>
          <w:szCs w:val="32"/>
        </w:rPr>
        <w:t>、负责牵头农村宅基地管理体系改革，承担指导宅基地分配、使用、流转、纠纷仲裁、合理布局、用地标准、查处违法用地行为以及闲置宅基地、闲置住房的利用，负责农村宅基监督检查，重点查处“未批先建”“骗取批准”“批小建大”“批东建西”等违法行为，负责引导农村适度集中建房，及农村宅基地队伍管理培训、政策宣传、统计年报等工作。</w:t>
      </w:r>
      <w:r>
        <w:rPr>
          <w:rFonts w:ascii="仿宋" w:hAnsi="Times New Roman" w:eastAsia="仿宋" w:cs="仿宋"/>
          <w:sz w:val="32"/>
          <w:szCs w:val="32"/>
        </w:rPr>
        <w:t>9</w:t>
      </w:r>
      <w:r>
        <w:rPr>
          <w:rFonts w:hint="eastAsia" w:ascii="仿宋" w:hAnsi="Times New Roman" w:eastAsia="仿宋" w:cs="仿宋"/>
          <w:sz w:val="32"/>
          <w:szCs w:val="32"/>
        </w:rPr>
        <w:t>、承办市委、市政府和上级主管部门交办的其他工作。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部门</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单位</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整体支出规模、使用方向和主要内容、涉及范围等</w:t>
      </w:r>
    </w:p>
    <w:p>
      <w:pPr>
        <w:autoSpaceDE w:val="0"/>
        <w:autoSpaceDN w:val="0"/>
        <w:adjustRightInd w:val="0"/>
        <w:spacing w:line="520" w:lineRule="exact"/>
        <w:ind w:firstLine="643"/>
        <w:rPr>
          <w:rFonts w:hint="eastAsia" w:ascii="仿宋_GB2312" w:hAnsi="仿宋" w:eastAsia="仿宋"/>
          <w:color w:val="auto"/>
          <w:sz w:val="32"/>
          <w:szCs w:val="32"/>
          <w:highlight w:val="none"/>
          <w:lang w:val="en-US" w:eastAsia="zh-CN"/>
        </w:rPr>
      </w:pPr>
      <w:r>
        <w:rPr>
          <w:rFonts w:ascii="仿宋" w:eastAsia="仿宋" w:cs="仿宋"/>
          <w:sz w:val="32"/>
          <w:szCs w:val="32"/>
        </w:rPr>
        <w:t>202</w:t>
      </w:r>
      <w:r>
        <w:rPr>
          <w:rFonts w:hint="eastAsia" w:ascii="仿宋" w:eastAsia="仿宋" w:cs="仿宋"/>
          <w:sz w:val="32"/>
          <w:szCs w:val="32"/>
          <w:lang w:val="en-US" w:eastAsia="zh-CN"/>
        </w:rPr>
        <w:t>4</w:t>
      </w:r>
      <w:r>
        <w:rPr>
          <w:rFonts w:hint="eastAsia" w:ascii="仿宋" w:eastAsia="仿宋" w:cs="仿宋"/>
          <w:sz w:val="32"/>
          <w:szCs w:val="32"/>
          <w:highlight w:val="none"/>
        </w:rPr>
        <w:t>年支出</w:t>
      </w:r>
      <w:r>
        <w:rPr>
          <w:rFonts w:hint="eastAsia" w:ascii="仿宋" w:eastAsia="仿宋" w:cs="仿宋"/>
          <w:sz w:val="32"/>
          <w:szCs w:val="32"/>
        </w:rPr>
        <w:t>总计为</w:t>
      </w:r>
      <w:r>
        <w:rPr>
          <w:rFonts w:hint="eastAsia" w:ascii="仿宋" w:eastAsia="仿宋" w:cs="仿宋"/>
          <w:sz w:val="28"/>
          <w:szCs w:val="28"/>
          <w:lang w:val="en-US" w:eastAsia="zh-CN"/>
        </w:rPr>
        <w:t>1249.91</w:t>
      </w:r>
      <w:r>
        <w:rPr>
          <w:rFonts w:hint="eastAsia" w:ascii="仿宋" w:eastAsia="仿宋" w:cs="仿宋"/>
          <w:sz w:val="32"/>
          <w:szCs w:val="32"/>
        </w:rPr>
        <w:t>万元。按照支出性质分类，基本支出</w:t>
      </w:r>
      <w:r>
        <w:rPr>
          <w:rFonts w:hint="eastAsia" w:ascii="仿宋" w:eastAsia="仿宋" w:cs="仿宋"/>
          <w:sz w:val="28"/>
          <w:szCs w:val="28"/>
          <w:lang w:val="en-US" w:eastAsia="zh-CN"/>
        </w:rPr>
        <w:t>329.91</w:t>
      </w:r>
      <w:r>
        <w:rPr>
          <w:rFonts w:hint="eastAsia" w:ascii="仿宋" w:eastAsia="仿宋" w:cs="仿宋"/>
          <w:color w:val="auto"/>
          <w:sz w:val="32"/>
          <w:szCs w:val="32"/>
        </w:rPr>
        <w:t>万元，占本年支出</w:t>
      </w:r>
      <w:r>
        <w:rPr>
          <w:rFonts w:hint="eastAsia" w:ascii="仿宋" w:eastAsia="仿宋" w:cs="仿宋"/>
          <w:color w:val="auto"/>
          <w:sz w:val="32"/>
          <w:szCs w:val="32"/>
          <w:lang w:val="en-US" w:eastAsia="zh-CN"/>
        </w:rPr>
        <w:t>26.4</w:t>
      </w:r>
      <w:r>
        <w:rPr>
          <w:rFonts w:ascii="仿宋" w:eastAsia="仿宋" w:cs="仿宋"/>
          <w:color w:val="auto"/>
          <w:sz w:val="32"/>
          <w:szCs w:val="32"/>
        </w:rPr>
        <w:t>%</w:t>
      </w:r>
      <w:r>
        <w:rPr>
          <w:rFonts w:hint="eastAsia" w:ascii="仿宋" w:eastAsia="仿宋" w:cs="仿宋"/>
          <w:color w:val="auto"/>
          <w:sz w:val="32"/>
          <w:szCs w:val="32"/>
        </w:rPr>
        <w:t>；项目支出</w:t>
      </w:r>
      <w:r>
        <w:rPr>
          <w:rFonts w:hint="eastAsia" w:ascii="仿宋" w:eastAsia="仿宋" w:cs="仿宋"/>
          <w:sz w:val="28"/>
          <w:szCs w:val="28"/>
          <w:lang w:val="en-US" w:eastAsia="zh-CN"/>
        </w:rPr>
        <w:t>920</w:t>
      </w:r>
      <w:r>
        <w:rPr>
          <w:rFonts w:hint="eastAsia" w:ascii="仿宋" w:eastAsia="仿宋" w:cs="仿宋"/>
          <w:color w:val="auto"/>
          <w:sz w:val="32"/>
          <w:szCs w:val="32"/>
        </w:rPr>
        <w:t>万元，占本年支出</w:t>
      </w:r>
      <w:r>
        <w:rPr>
          <w:rFonts w:hint="eastAsia" w:ascii="仿宋" w:eastAsia="仿宋" w:cs="仿宋"/>
          <w:color w:val="auto"/>
          <w:sz w:val="32"/>
          <w:szCs w:val="32"/>
          <w:lang w:val="en-US" w:eastAsia="zh-CN"/>
        </w:rPr>
        <w:t>73.6</w:t>
      </w:r>
      <w:r>
        <w:rPr>
          <w:rFonts w:ascii="仿宋" w:eastAsia="仿宋" w:cs="仿宋"/>
          <w:color w:val="auto"/>
          <w:sz w:val="32"/>
          <w:szCs w:val="32"/>
        </w:rPr>
        <w:t>%</w:t>
      </w:r>
      <w:r>
        <w:rPr>
          <w:rFonts w:hint="eastAsia" w:ascii="仿宋" w:eastAsia="仿宋" w:cs="仿宋"/>
          <w:color w:val="auto"/>
          <w:sz w:val="32"/>
          <w:szCs w:val="32"/>
        </w:rPr>
        <w:t>；</w:t>
      </w:r>
      <w:r>
        <w:rPr>
          <w:rFonts w:hint="eastAsia" w:ascii="仿宋" w:eastAsia="仿宋" w:cs="仿宋"/>
          <w:color w:val="auto"/>
          <w:sz w:val="32"/>
          <w:szCs w:val="32"/>
          <w:highlight w:val="none"/>
        </w:rPr>
        <w:t>按照支出经济分类，工资福利支出</w:t>
      </w:r>
      <w:r>
        <w:rPr>
          <w:rFonts w:hint="eastAsia" w:ascii="仿宋" w:eastAsia="仿宋" w:cs="仿宋"/>
          <w:color w:val="auto"/>
          <w:sz w:val="32"/>
          <w:szCs w:val="32"/>
          <w:highlight w:val="none"/>
          <w:lang w:val="en-US" w:eastAsia="zh-CN"/>
        </w:rPr>
        <w:t>160.51</w:t>
      </w:r>
      <w:r>
        <w:rPr>
          <w:rFonts w:hint="eastAsia" w:ascii="仿宋" w:eastAsia="仿宋" w:cs="仿宋"/>
          <w:color w:val="auto"/>
          <w:sz w:val="32"/>
          <w:szCs w:val="32"/>
          <w:highlight w:val="none"/>
        </w:rPr>
        <w:t>万元，占本年支出</w:t>
      </w:r>
      <w:r>
        <w:rPr>
          <w:rFonts w:hint="eastAsia" w:ascii="仿宋" w:eastAsia="仿宋" w:cs="仿宋"/>
          <w:color w:val="auto"/>
          <w:sz w:val="32"/>
          <w:szCs w:val="32"/>
          <w:highlight w:val="none"/>
          <w:lang w:val="en-US" w:eastAsia="zh-CN"/>
        </w:rPr>
        <w:t>12.8</w:t>
      </w:r>
      <w:r>
        <w:rPr>
          <w:rFonts w:ascii="仿宋" w:eastAsia="仿宋" w:cs="仿宋"/>
          <w:color w:val="auto"/>
          <w:sz w:val="32"/>
          <w:szCs w:val="32"/>
          <w:highlight w:val="none"/>
        </w:rPr>
        <w:t>%</w:t>
      </w:r>
      <w:r>
        <w:rPr>
          <w:rFonts w:hint="eastAsia" w:ascii="仿宋" w:eastAsia="仿宋" w:cs="仿宋"/>
          <w:color w:val="auto"/>
          <w:sz w:val="32"/>
          <w:szCs w:val="32"/>
          <w:highlight w:val="none"/>
        </w:rPr>
        <w:t>，商品和服务支出</w:t>
      </w:r>
      <w:r>
        <w:rPr>
          <w:rFonts w:hint="eastAsia" w:ascii="仿宋" w:eastAsia="仿宋" w:cs="仿宋"/>
          <w:color w:val="auto"/>
          <w:sz w:val="32"/>
          <w:szCs w:val="32"/>
          <w:highlight w:val="none"/>
          <w:lang w:val="en-US" w:eastAsia="zh-CN"/>
        </w:rPr>
        <w:t>111.81</w:t>
      </w:r>
      <w:r>
        <w:rPr>
          <w:rFonts w:hint="eastAsia" w:ascii="仿宋" w:eastAsia="仿宋" w:cs="仿宋"/>
          <w:color w:val="auto"/>
          <w:sz w:val="32"/>
          <w:szCs w:val="32"/>
          <w:highlight w:val="none"/>
        </w:rPr>
        <w:t>万元，占本年支出</w:t>
      </w:r>
      <w:r>
        <w:rPr>
          <w:rFonts w:hint="eastAsia" w:ascii="仿宋" w:eastAsia="仿宋" w:cs="仿宋"/>
          <w:color w:val="auto"/>
          <w:sz w:val="32"/>
          <w:szCs w:val="32"/>
          <w:highlight w:val="none"/>
          <w:lang w:val="en-US" w:eastAsia="zh-CN"/>
        </w:rPr>
        <w:t>8.9</w:t>
      </w:r>
      <w:r>
        <w:rPr>
          <w:rFonts w:ascii="仿宋" w:eastAsia="仿宋" w:cs="仿宋"/>
          <w:color w:val="auto"/>
          <w:sz w:val="32"/>
          <w:szCs w:val="32"/>
          <w:highlight w:val="none"/>
        </w:rPr>
        <w:t>%</w:t>
      </w:r>
      <w:r>
        <w:rPr>
          <w:rFonts w:hint="eastAsia" w:ascii="仿宋" w:eastAsia="仿宋" w:cs="仿宋"/>
          <w:color w:val="auto"/>
          <w:sz w:val="32"/>
          <w:szCs w:val="32"/>
          <w:highlight w:val="none"/>
        </w:rPr>
        <w:t>，对个人和家庭的补助支出</w:t>
      </w:r>
      <w:r>
        <w:rPr>
          <w:rFonts w:hint="eastAsia" w:ascii="仿宋" w:eastAsia="仿宋" w:cs="仿宋"/>
          <w:color w:val="auto"/>
          <w:sz w:val="32"/>
          <w:szCs w:val="32"/>
          <w:highlight w:val="none"/>
          <w:lang w:val="en-US" w:eastAsia="zh-CN"/>
        </w:rPr>
        <w:t>977.07</w:t>
      </w:r>
      <w:r>
        <w:rPr>
          <w:rFonts w:hint="eastAsia" w:ascii="仿宋" w:eastAsia="仿宋" w:cs="仿宋"/>
          <w:color w:val="auto"/>
          <w:sz w:val="32"/>
          <w:szCs w:val="32"/>
          <w:highlight w:val="none"/>
        </w:rPr>
        <w:t>万元，占本年支出</w:t>
      </w:r>
      <w:r>
        <w:rPr>
          <w:rFonts w:hint="eastAsia" w:ascii="仿宋" w:eastAsia="仿宋" w:cs="仿宋"/>
          <w:color w:val="auto"/>
          <w:sz w:val="32"/>
          <w:szCs w:val="32"/>
          <w:highlight w:val="none"/>
          <w:lang w:val="en-US" w:eastAsia="zh-CN"/>
        </w:rPr>
        <w:t>78.2</w:t>
      </w:r>
      <w:r>
        <w:rPr>
          <w:rFonts w:ascii="仿宋" w:eastAsia="仿宋" w:cs="仿宋"/>
          <w:color w:val="auto"/>
          <w:sz w:val="32"/>
          <w:szCs w:val="32"/>
          <w:highlight w:val="none"/>
        </w:rPr>
        <w:t>%</w:t>
      </w:r>
      <w:r>
        <w:rPr>
          <w:rFonts w:hint="eastAsia" w:ascii="仿宋" w:eastAsia="仿宋" w:cs="仿宋"/>
          <w:color w:val="auto"/>
          <w:sz w:val="32"/>
          <w:szCs w:val="32"/>
          <w:highlight w:val="none"/>
          <w:lang w:eastAsia="zh-CN"/>
        </w:rPr>
        <w:t>，资本性支出</w:t>
      </w:r>
      <w:r>
        <w:rPr>
          <w:rFonts w:hint="eastAsia" w:ascii="仿宋" w:eastAsia="仿宋" w:cs="仿宋"/>
          <w:color w:val="auto"/>
          <w:sz w:val="32"/>
          <w:szCs w:val="32"/>
          <w:highlight w:val="none"/>
          <w:lang w:val="en-US" w:eastAsia="zh-CN"/>
        </w:rPr>
        <w:t>0.52万元，</w:t>
      </w:r>
      <w:r>
        <w:rPr>
          <w:rFonts w:hint="eastAsia" w:ascii="仿宋" w:eastAsia="仿宋" w:cs="仿宋"/>
          <w:color w:val="auto"/>
          <w:sz w:val="32"/>
          <w:szCs w:val="32"/>
          <w:highlight w:val="none"/>
        </w:rPr>
        <w:t>占本年支出</w:t>
      </w:r>
      <w:r>
        <w:rPr>
          <w:rFonts w:hint="eastAsia" w:ascii="仿宋" w:eastAsia="仿宋" w:cs="仿宋"/>
          <w:color w:val="auto"/>
          <w:sz w:val="32"/>
          <w:szCs w:val="32"/>
          <w:highlight w:val="none"/>
          <w:lang w:val="en-US" w:eastAsia="zh-CN"/>
        </w:rPr>
        <w:t>0.1</w:t>
      </w:r>
      <w:r>
        <w:rPr>
          <w:rFonts w:ascii="仿宋" w:eastAsia="仿宋" w:cs="仿宋"/>
          <w:color w:val="auto"/>
          <w:sz w:val="32"/>
          <w:szCs w:val="32"/>
          <w:highlight w:val="none"/>
        </w:rPr>
        <w:t>%</w:t>
      </w:r>
      <w:r>
        <w:rPr>
          <w:rFonts w:hint="eastAsia" w:asci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整体支出管理及使用情况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（一）基本支出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60" w:lineRule="atLeast"/>
        <w:ind w:left="0" w:right="0" w:firstLine="634"/>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b w:val="0"/>
          <w:bCs w:val="0"/>
          <w:i w:val="0"/>
          <w:iCs w:val="0"/>
          <w:caps w:val="0"/>
          <w:color w:val="333333"/>
          <w:spacing w:val="0"/>
          <w:sz w:val="32"/>
          <w:szCs w:val="32"/>
          <w:shd w:val="clear" w:fill="FFFFFF"/>
          <w:lang w:eastAsia="zh-CN"/>
        </w:rPr>
        <w:t>202</w:t>
      </w:r>
      <w:r>
        <w:rPr>
          <w:rFonts w:hint="eastAsia" w:ascii="仿宋_GB2312" w:eastAsia="仿宋_GB2312" w:cs="仿宋_GB2312"/>
          <w:b w:val="0"/>
          <w:bCs w:val="0"/>
          <w:i w:val="0"/>
          <w:iCs w:val="0"/>
          <w:caps w:val="0"/>
          <w:color w:val="333333"/>
          <w:spacing w:val="0"/>
          <w:sz w:val="32"/>
          <w:szCs w:val="32"/>
          <w:shd w:val="clear" w:fill="FFFFFF"/>
          <w:lang w:val="en-US" w:eastAsia="zh-CN"/>
        </w:rPr>
        <w:t>4</w:t>
      </w:r>
      <w:r>
        <w:rPr>
          <w:rFonts w:hint="default" w:ascii="仿宋_GB2312" w:eastAsia="仿宋_GB2312" w:cs="仿宋_GB2312"/>
          <w:b w:val="0"/>
          <w:bCs w:val="0"/>
          <w:i w:val="0"/>
          <w:iCs w:val="0"/>
          <w:caps w:val="0"/>
          <w:color w:val="333333"/>
          <w:spacing w:val="0"/>
          <w:sz w:val="32"/>
          <w:szCs w:val="32"/>
          <w:shd w:val="clear" w:fill="FFFFFF"/>
          <w:lang w:eastAsia="zh-CN"/>
        </w:rPr>
        <w:t>年基本支出</w:t>
      </w:r>
      <w:r>
        <w:rPr>
          <w:rFonts w:hint="eastAsia" w:ascii="仿宋_GB2312" w:eastAsia="仿宋_GB2312" w:cs="仿宋_GB2312"/>
          <w:b w:val="0"/>
          <w:bCs w:val="0"/>
          <w:i w:val="0"/>
          <w:iCs w:val="0"/>
          <w:caps w:val="0"/>
          <w:color w:val="333333"/>
          <w:spacing w:val="0"/>
          <w:sz w:val="32"/>
          <w:szCs w:val="32"/>
          <w:shd w:val="clear" w:fill="FFFFFF"/>
          <w:lang w:val="en-US" w:eastAsia="zh-CN"/>
        </w:rPr>
        <w:t>329.91</w:t>
      </w:r>
      <w:r>
        <w:rPr>
          <w:rFonts w:hint="eastAsia" w:ascii="仿宋" w:eastAsia="仿宋" w:cs="仿宋"/>
          <w:sz w:val="32"/>
          <w:szCs w:val="32"/>
        </w:rPr>
        <w:t>万元</w:t>
      </w:r>
      <w:r>
        <w:rPr>
          <w:rFonts w:hint="default" w:ascii="仿宋_GB2312" w:eastAsia="仿宋_GB2312" w:cs="仿宋_GB2312"/>
          <w:b w:val="0"/>
          <w:bCs w:val="0"/>
          <w:i w:val="0"/>
          <w:iCs w:val="0"/>
          <w:caps w:val="0"/>
          <w:color w:val="333333"/>
          <w:spacing w:val="0"/>
          <w:sz w:val="32"/>
          <w:szCs w:val="32"/>
          <w:shd w:val="clear" w:fill="FFFFFF"/>
          <w:lang w:eastAsia="zh-CN"/>
        </w:rPr>
        <w:t>，其中：工资福利支出</w:t>
      </w:r>
      <w:r>
        <w:rPr>
          <w:rFonts w:hint="eastAsia" w:ascii="仿宋_GB2312" w:eastAsia="仿宋_GB2312" w:cs="仿宋_GB2312"/>
          <w:i w:val="0"/>
          <w:iCs w:val="0"/>
          <w:caps w:val="0"/>
          <w:color w:val="333333"/>
          <w:spacing w:val="0"/>
          <w:sz w:val="32"/>
          <w:szCs w:val="32"/>
          <w:shd w:val="clear" w:fill="FFFFFF"/>
          <w:lang w:val="en-US" w:eastAsia="zh-CN"/>
        </w:rPr>
        <w:t>160.51</w:t>
      </w:r>
      <w:r>
        <w:rPr>
          <w:rFonts w:hint="default" w:ascii="仿宋_GB2312" w:eastAsia="仿宋_GB2312" w:cs="仿宋_GB2312"/>
          <w:b w:val="0"/>
          <w:bCs w:val="0"/>
          <w:i w:val="0"/>
          <w:iCs w:val="0"/>
          <w:caps w:val="0"/>
          <w:color w:val="333333"/>
          <w:spacing w:val="0"/>
          <w:sz w:val="32"/>
          <w:szCs w:val="32"/>
          <w:shd w:val="clear" w:fill="FFFFFF"/>
          <w:lang w:eastAsia="zh-CN"/>
        </w:rPr>
        <w:t>万元、一般商品和服务支出</w:t>
      </w:r>
      <w:r>
        <w:rPr>
          <w:rFonts w:hint="eastAsia" w:ascii="仿宋_GB2312" w:eastAsia="仿宋_GB2312" w:cs="仿宋_GB2312"/>
          <w:i w:val="0"/>
          <w:iCs w:val="0"/>
          <w:caps w:val="0"/>
          <w:color w:val="333333"/>
          <w:spacing w:val="0"/>
          <w:sz w:val="32"/>
          <w:szCs w:val="32"/>
          <w:shd w:val="clear" w:fill="FFFFFF"/>
          <w:lang w:val="en-US" w:eastAsia="zh-CN"/>
        </w:rPr>
        <w:t>111.81</w:t>
      </w:r>
      <w:r>
        <w:rPr>
          <w:rFonts w:hint="default" w:ascii="仿宋_GB2312" w:eastAsia="仿宋_GB2312" w:cs="仿宋_GB2312"/>
          <w:b w:val="0"/>
          <w:bCs w:val="0"/>
          <w:i w:val="0"/>
          <w:iCs w:val="0"/>
          <w:caps w:val="0"/>
          <w:color w:val="333333"/>
          <w:spacing w:val="0"/>
          <w:sz w:val="32"/>
          <w:szCs w:val="32"/>
          <w:shd w:val="clear" w:fill="FFFFFF"/>
          <w:lang w:eastAsia="zh-CN"/>
        </w:rPr>
        <w:t>万元、对个人和家庭补助</w:t>
      </w:r>
      <w:r>
        <w:rPr>
          <w:rFonts w:hint="eastAsia" w:ascii="仿宋_GB2312" w:eastAsia="仿宋_GB2312" w:cs="仿宋_GB2312"/>
          <w:i w:val="0"/>
          <w:iCs w:val="0"/>
          <w:caps w:val="0"/>
          <w:color w:val="333333"/>
          <w:spacing w:val="0"/>
          <w:sz w:val="32"/>
          <w:szCs w:val="32"/>
          <w:shd w:val="clear" w:fill="FFFFFF"/>
          <w:lang w:val="en-US" w:eastAsia="zh-CN"/>
        </w:rPr>
        <w:t>57.07</w:t>
      </w:r>
      <w:r>
        <w:rPr>
          <w:rFonts w:hint="default" w:ascii="仿宋_GB2312" w:eastAsia="仿宋_GB2312" w:cs="仿宋_GB2312"/>
          <w:b w:val="0"/>
          <w:bCs w:val="0"/>
          <w:i w:val="0"/>
          <w:iCs w:val="0"/>
          <w:caps w:val="0"/>
          <w:color w:val="333333"/>
          <w:spacing w:val="0"/>
          <w:sz w:val="32"/>
          <w:szCs w:val="32"/>
          <w:shd w:val="clear" w:fill="FFFFFF"/>
          <w:lang w:eastAsia="zh-CN"/>
        </w:rPr>
        <w:t>万元</w:t>
      </w:r>
      <w:r>
        <w:rPr>
          <w:rFonts w:hint="eastAsia" w:ascii="仿宋_GB2312" w:eastAsia="仿宋_GB2312" w:cs="仿宋_GB2312"/>
          <w:b w:val="0"/>
          <w:bCs w:val="0"/>
          <w:i w:val="0"/>
          <w:iCs w:val="0"/>
          <w:caps w:val="0"/>
          <w:color w:val="333333"/>
          <w:spacing w:val="0"/>
          <w:sz w:val="32"/>
          <w:szCs w:val="32"/>
          <w:shd w:val="clear" w:fill="FFFFFF"/>
          <w:lang w:eastAsia="zh-CN"/>
        </w:rPr>
        <w:t>，</w:t>
      </w:r>
      <w:r>
        <w:rPr>
          <w:rFonts w:hint="eastAsia" w:ascii="仿宋" w:eastAsia="仿宋" w:cs="仿宋"/>
          <w:color w:val="auto"/>
          <w:sz w:val="32"/>
          <w:szCs w:val="32"/>
          <w:highlight w:val="none"/>
          <w:lang w:eastAsia="zh-CN"/>
        </w:rPr>
        <w:t>资本性支出</w:t>
      </w:r>
      <w:r>
        <w:rPr>
          <w:rFonts w:hint="eastAsia" w:ascii="仿宋" w:eastAsia="仿宋" w:cs="仿宋"/>
          <w:color w:val="auto"/>
          <w:sz w:val="32"/>
          <w:szCs w:val="32"/>
          <w:highlight w:val="none"/>
          <w:lang w:val="en-US" w:eastAsia="zh-CN"/>
        </w:rPr>
        <w:t>0.52万元</w:t>
      </w:r>
      <w:r>
        <w:rPr>
          <w:rFonts w:hint="default" w:ascii="仿宋_GB2312" w:eastAsia="仿宋_GB2312" w:cs="仿宋_GB2312"/>
          <w:b w:val="0"/>
          <w:bCs w:val="0"/>
          <w:i w:val="0"/>
          <w:iCs w:val="0"/>
          <w:caps w:val="0"/>
          <w:color w:val="333333"/>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楷体_GB2312" w:cs="Times New Roman"/>
          <w:b/>
          <w:bCs/>
          <w:sz w:val="32"/>
          <w:szCs w:val="32"/>
          <w:highlight w:val="none"/>
          <w:lang w:eastAsia="zh-CN"/>
        </w:rPr>
      </w:pP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highlight w:val="none"/>
          <w:lang w:eastAsia="zh-CN"/>
        </w:rPr>
        <w:t>项目支出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仿宋_GB2312" w:eastAsia="仿宋_GB2312" w:cs="仿宋_GB2312"/>
          <w:b w:val="0"/>
          <w:bCs w:val="0"/>
          <w:i w:val="0"/>
          <w:iCs w:val="0"/>
          <w:caps w:val="0"/>
          <w:color w:val="333333"/>
          <w:spacing w:val="0"/>
          <w:sz w:val="32"/>
          <w:szCs w:val="32"/>
          <w:shd w:val="clear" w:fill="FFFFFF"/>
          <w:lang w:eastAsia="zh-CN"/>
        </w:rPr>
        <w:t>202</w:t>
      </w:r>
      <w:r>
        <w:rPr>
          <w:rFonts w:hint="eastAsia" w:ascii="仿宋_GB2312" w:eastAsia="仿宋_GB2312" w:cs="仿宋_GB2312"/>
          <w:b w:val="0"/>
          <w:bCs w:val="0"/>
          <w:i w:val="0"/>
          <w:iCs w:val="0"/>
          <w:caps w:val="0"/>
          <w:color w:val="333333"/>
          <w:spacing w:val="0"/>
          <w:sz w:val="32"/>
          <w:szCs w:val="32"/>
          <w:shd w:val="clear" w:fill="FFFFFF"/>
          <w:lang w:val="en-US" w:eastAsia="zh-CN"/>
        </w:rPr>
        <w:t>4</w:t>
      </w:r>
      <w:r>
        <w:rPr>
          <w:rFonts w:hint="default" w:ascii="仿宋_GB2312" w:eastAsia="仿宋_GB2312" w:cs="仿宋_GB2312"/>
          <w:b w:val="0"/>
          <w:bCs w:val="0"/>
          <w:i w:val="0"/>
          <w:iCs w:val="0"/>
          <w:caps w:val="0"/>
          <w:color w:val="333333"/>
          <w:spacing w:val="0"/>
          <w:sz w:val="32"/>
          <w:szCs w:val="32"/>
          <w:shd w:val="clear" w:fill="FFFFFF"/>
          <w:lang w:eastAsia="zh-CN"/>
        </w:rPr>
        <w:t>年</w:t>
      </w:r>
      <w:r>
        <w:rPr>
          <w:rFonts w:hint="eastAsia" w:ascii="仿宋_GB2312" w:eastAsia="仿宋_GB2312" w:cs="仿宋_GB2312"/>
          <w:b w:val="0"/>
          <w:bCs w:val="0"/>
          <w:i w:val="0"/>
          <w:iCs w:val="0"/>
          <w:caps w:val="0"/>
          <w:color w:val="333333"/>
          <w:spacing w:val="0"/>
          <w:sz w:val="32"/>
          <w:szCs w:val="32"/>
          <w:shd w:val="clear" w:fill="FFFFFF"/>
          <w:lang w:eastAsia="zh-CN"/>
        </w:rPr>
        <w:t>本部门</w:t>
      </w:r>
      <w:r>
        <w:rPr>
          <w:rFonts w:hint="default" w:ascii="仿宋_GB2312" w:eastAsia="仿宋_GB2312" w:cs="仿宋_GB2312"/>
          <w:b w:val="0"/>
          <w:bCs w:val="0"/>
          <w:i w:val="0"/>
          <w:iCs w:val="0"/>
          <w:caps w:val="0"/>
          <w:color w:val="333333"/>
          <w:spacing w:val="0"/>
          <w:sz w:val="32"/>
          <w:szCs w:val="32"/>
          <w:shd w:val="clear" w:fill="FFFFFF"/>
          <w:lang w:eastAsia="zh-CN"/>
        </w:rPr>
        <w:t>项目支</w:t>
      </w:r>
      <w:r>
        <w:rPr>
          <w:rFonts w:hint="default" w:ascii="仿宋_GB2312" w:eastAsia="仿宋_GB2312" w:cs="仿宋_GB2312"/>
          <w:b w:val="0"/>
          <w:bCs w:val="0"/>
          <w:i w:val="0"/>
          <w:iCs w:val="0"/>
          <w:caps w:val="0"/>
          <w:color w:val="333333"/>
          <w:spacing w:val="0"/>
          <w:sz w:val="32"/>
          <w:szCs w:val="32"/>
          <w:highlight w:val="none"/>
          <w:shd w:val="clear" w:fill="FFFFFF"/>
          <w:lang w:eastAsia="zh-CN"/>
        </w:rPr>
        <w:t>出</w:t>
      </w:r>
      <w:r>
        <w:rPr>
          <w:rFonts w:hint="eastAsia" w:ascii="仿宋_GB2312" w:eastAsia="仿宋_GB2312" w:cs="仿宋_GB2312"/>
          <w:i w:val="0"/>
          <w:iCs w:val="0"/>
          <w:caps w:val="0"/>
          <w:color w:val="333333"/>
          <w:spacing w:val="0"/>
          <w:sz w:val="32"/>
          <w:szCs w:val="32"/>
          <w:highlight w:val="none"/>
          <w:shd w:val="clear" w:fill="FFFFFF"/>
          <w:lang w:val="en-US" w:eastAsia="zh-CN"/>
        </w:rPr>
        <w:t>920</w:t>
      </w:r>
      <w:r>
        <w:rPr>
          <w:rFonts w:hint="default" w:ascii="仿宋_GB2312" w:eastAsia="仿宋_GB2312" w:cs="仿宋_GB2312"/>
          <w:b w:val="0"/>
          <w:bCs w:val="0"/>
          <w:i w:val="0"/>
          <w:iCs w:val="0"/>
          <w:caps w:val="0"/>
          <w:color w:val="333333"/>
          <w:spacing w:val="0"/>
          <w:sz w:val="32"/>
          <w:szCs w:val="32"/>
          <w:highlight w:val="none"/>
          <w:shd w:val="clear" w:fill="FFFFFF"/>
          <w:lang w:eastAsia="zh-CN"/>
        </w:rPr>
        <w:t>万元。</w:t>
      </w:r>
      <w:r>
        <w:rPr>
          <w:rFonts w:hint="eastAsia" w:ascii="仿宋_GB2312" w:eastAsia="仿宋_GB2312" w:cs="仿宋_GB2312"/>
          <w:b w:val="0"/>
          <w:bCs w:val="0"/>
          <w:i w:val="0"/>
          <w:iCs w:val="0"/>
          <w:caps w:val="0"/>
          <w:color w:val="333333"/>
          <w:spacing w:val="0"/>
          <w:sz w:val="32"/>
          <w:szCs w:val="32"/>
          <w:highlight w:val="none"/>
          <w:shd w:val="clear" w:fill="FFFFFF"/>
          <w:lang w:eastAsia="zh-CN"/>
        </w:rPr>
        <w:t>其中：</w:t>
      </w:r>
      <w:r>
        <w:rPr>
          <w:rFonts w:hint="default" w:ascii="仿宋_GB2312" w:eastAsia="仿宋_GB2312" w:cs="仿宋_GB2312"/>
          <w:b w:val="0"/>
          <w:bCs w:val="0"/>
          <w:i w:val="0"/>
          <w:iCs w:val="0"/>
          <w:caps w:val="0"/>
          <w:color w:val="333333"/>
          <w:spacing w:val="0"/>
          <w:sz w:val="32"/>
          <w:szCs w:val="32"/>
          <w:highlight w:val="none"/>
          <w:shd w:val="clear" w:fill="FFFFFF"/>
          <w:lang w:eastAsia="zh-CN"/>
        </w:rPr>
        <w:t>农业生产发展</w:t>
      </w:r>
      <w:r>
        <w:rPr>
          <w:rFonts w:hint="eastAsia" w:ascii="仿宋_GB2312" w:eastAsia="仿宋_GB2312" w:cs="仿宋_GB2312"/>
          <w:b w:val="0"/>
          <w:bCs w:val="0"/>
          <w:i w:val="0"/>
          <w:iCs w:val="0"/>
          <w:caps w:val="0"/>
          <w:color w:val="333333"/>
          <w:spacing w:val="0"/>
          <w:sz w:val="32"/>
          <w:szCs w:val="32"/>
          <w:highlight w:val="none"/>
          <w:shd w:val="clear" w:fill="FFFFFF"/>
          <w:lang w:eastAsia="zh-CN"/>
        </w:rPr>
        <w:t>项目</w:t>
      </w:r>
      <w:r>
        <w:rPr>
          <w:rFonts w:hint="eastAsia" w:ascii="仿宋_GB2312" w:eastAsia="仿宋_GB2312" w:cs="仿宋_GB2312"/>
          <w:b w:val="0"/>
          <w:bCs w:val="0"/>
          <w:i w:val="0"/>
          <w:iCs w:val="0"/>
          <w:caps w:val="0"/>
          <w:color w:val="333333"/>
          <w:spacing w:val="0"/>
          <w:sz w:val="32"/>
          <w:szCs w:val="32"/>
          <w:highlight w:val="none"/>
          <w:shd w:val="clear" w:fill="FFFFFF"/>
          <w:lang w:val="en-US" w:eastAsia="zh-CN"/>
        </w:rPr>
        <w:t>120万、</w:t>
      </w:r>
      <w:r>
        <w:rPr>
          <w:rFonts w:hint="default" w:ascii="仿宋_GB2312" w:eastAsia="仿宋_GB2312" w:cs="仿宋_GB2312"/>
          <w:b w:val="0"/>
          <w:bCs w:val="0"/>
          <w:i w:val="0"/>
          <w:iCs w:val="0"/>
          <w:caps w:val="0"/>
          <w:color w:val="333333"/>
          <w:spacing w:val="0"/>
          <w:sz w:val="32"/>
          <w:szCs w:val="32"/>
          <w:highlight w:val="none"/>
          <w:shd w:val="clear" w:fill="FFFFFF"/>
          <w:lang w:eastAsia="zh-CN"/>
        </w:rPr>
        <w:t>巩固脱贫攻坚成果衔接乡村振兴支出</w:t>
      </w:r>
      <w:r>
        <w:rPr>
          <w:rFonts w:hint="eastAsia" w:ascii="仿宋_GB2312" w:eastAsia="仿宋_GB2312" w:cs="仿宋_GB2312"/>
          <w:b w:val="0"/>
          <w:bCs w:val="0"/>
          <w:i w:val="0"/>
          <w:iCs w:val="0"/>
          <w:caps w:val="0"/>
          <w:color w:val="333333"/>
          <w:spacing w:val="0"/>
          <w:sz w:val="32"/>
          <w:szCs w:val="32"/>
          <w:highlight w:val="none"/>
          <w:shd w:val="clear" w:fill="FFFFFF"/>
          <w:lang w:eastAsia="zh-CN"/>
        </w:rPr>
        <w:t>项目</w:t>
      </w:r>
      <w:r>
        <w:rPr>
          <w:rFonts w:hint="eastAsia" w:ascii="仿宋_GB2312" w:eastAsia="仿宋_GB2312" w:cs="仿宋_GB2312"/>
          <w:b w:val="0"/>
          <w:bCs w:val="0"/>
          <w:i w:val="0"/>
          <w:iCs w:val="0"/>
          <w:caps w:val="0"/>
          <w:color w:val="333333"/>
          <w:spacing w:val="0"/>
          <w:sz w:val="32"/>
          <w:szCs w:val="32"/>
          <w:highlight w:val="none"/>
          <w:shd w:val="clear" w:fill="FFFFFF"/>
          <w:lang w:val="en-US" w:eastAsia="zh-CN"/>
        </w:rPr>
        <w:t>800万。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项目资金安排落实、总投入等情况分析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60" w:lineRule="atLeast"/>
        <w:ind w:left="0" w:right="0" w:firstLine="634"/>
        <w:jc w:val="both"/>
        <w:rPr>
          <w:rFonts w:hint="default" w:ascii="Times New Roman" w:hAnsi="Times New Roman" w:eastAsia="仿宋_GB2312" w:cs="Times New Roman"/>
          <w:sz w:val="32"/>
          <w:szCs w:val="32"/>
          <w:highlight w:val="none"/>
        </w:rPr>
      </w:pPr>
      <w:r>
        <w:rPr>
          <w:rFonts w:hint="default" w:ascii="仿宋_GB2312" w:eastAsia="仿宋_GB2312" w:cs="仿宋_GB2312"/>
          <w:b w:val="0"/>
          <w:bCs w:val="0"/>
          <w:i w:val="0"/>
          <w:iCs w:val="0"/>
          <w:caps w:val="0"/>
          <w:color w:val="333333"/>
          <w:spacing w:val="0"/>
          <w:sz w:val="32"/>
          <w:szCs w:val="32"/>
          <w:highlight w:val="none"/>
          <w:shd w:val="clear" w:fill="FFFFFF"/>
          <w:lang w:eastAsia="zh-CN"/>
        </w:rPr>
        <w:t>202</w:t>
      </w:r>
      <w:r>
        <w:rPr>
          <w:rFonts w:hint="eastAsia" w:ascii="仿宋_GB2312" w:eastAsia="仿宋_GB2312" w:cs="仿宋_GB2312"/>
          <w:b w:val="0"/>
          <w:bCs w:val="0"/>
          <w:i w:val="0"/>
          <w:iCs w:val="0"/>
          <w:caps w:val="0"/>
          <w:color w:val="333333"/>
          <w:spacing w:val="0"/>
          <w:sz w:val="32"/>
          <w:szCs w:val="32"/>
          <w:highlight w:val="none"/>
          <w:shd w:val="clear" w:fill="FFFFFF"/>
          <w:lang w:val="en-US" w:eastAsia="zh-CN"/>
        </w:rPr>
        <w:t>4</w:t>
      </w:r>
      <w:r>
        <w:rPr>
          <w:rFonts w:hint="default" w:ascii="仿宋_GB2312" w:eastAsia="仿宋_GB2312" w:cs="仿宋_GB2312"/>
          <w:b w:val="0"/>
          <w:bCs w:val="0"/>
          <w:i w:val="0"/>
          <w:iCs w:val="0"/>
          <w:caps w:val="0"/>
          <w:color w:val="333333"/>
          <w:spacing w:val="0"/>
          <w:sz w:val="32"/>
          <w:szCs w:val="32"/>
          <w:highlight w:val="none"/>
          <w:shd w:val="clear" w:fill="FFFFFF"/>
          <w:lang w:eastAsia="zh-CN"/>
        </w:rPr>
        <w:t>年</w:t>
      </w:r>
      <w:r>
        <w:rPr>
          <w:rFonts w:hint="eastAsia" w:ascii="仿宋_GB2312" w:eastAsia="仿宋_GB2312" w:cs="仿宋_GB2312"/>
          <w:b w:val="0"/>
          <w:bCs w:val="0"/>
          <w:i w:val="0"/>
          <w:iCs w:val="0"/>
          <w:caps w:val="0"/>
          <w:color w:val="333333"/>
          <w:spacing w:val="0"/>
          <w:sz w:val="32"/>
          <w:szCs w:val="32"/>
          <w:highlight w:val="none"/>
          <w:shd w:val="clear" w:fill="FFFFFF"/>
          <w:lang w:eastAsia="zh-CN"/>
        </w:rPr>
        <w:t>年初预算专项资金</w:t>
      </w:r>
      <w:r>
        <w:rPr>
          <w:rFonts w:hint="eastAsia" w:ascii="仿宋_GB2312" w:eastAsia="仿宋_GB2312" w:cs="仿宋_GB2312"/>
          <w:b w:val="0"/>
          <w:bCs w:val="0"/>
          <w:i w:val="0"/>
          <w:iCs w:val="0"/>
          <w:caps w:val="0"/>
          <w:color w:val="333333"/>
          <w:spacing w:val="0"/>
          <w:sz w:val="32"/>
          <w:szCs w:val="32"/>
          <w:highlight w:val="none"/>
          <w:shd w:val="clear" w:fill="FFFFFF"/>
          <w:lang w:val="en-US" w:eastAsia="zh-CN"/>
        </w:rPr>
        <w:t>920万，已全部到位。项目资金全部用于</w:t>
      </w:r>
      <w:r>
        <w:rPr>
          <w:rFonts w:hint="default" w:ascii="仿宋_GB2312" w:eastAsia="仿宋_GB2312" w:cs="仿宋_GB2312"/>
          <w:b w:val="0"/>
          <w:bCs w:val="0"/>
          <w:i w:val="0"/>
          <w:iCs w:val="0"/>
          <w:caps w:val="0"/>
          <w:color w:val="333333"/>
          <w:spacing w:val="0"/>
          <w:sz w:val="32"/>
          <w:szCs w:val="32"/>
          <w:highlight w:val="none"/>
          <w:shd w:val="clear" w:fill="FFFFFF"/>
          <w:lang w:eastAsia="zh-CN"/>
        </w:rPr>
        <w:t>农业生产发展</w:t>
      </w:r>
      <w:r>
        <w:rPr>
          <w:rFonts w:hint="eastAsia" w:ascii="仿宋_GB2312" w:eastAsia="仿宋_GB2312" w:cs="仿宋_GB2312"/>
          <w:b w:val="0"/>
          <w:bCs w:val="0"/>
          <w:i w:val="0"/>
          <w:iCs w:val="0"/>
          <w:caps w:val="0"/>
          <w:color w:val="333333"/>
          <w:spacing w:val="0"/>
          <w:sz w:val="32"/>
          <w:szCs w:val="32"/>
          <w:highlight w:val="none"/>
          <w:shd w:val="clear" w:fill="FFFFFF"/>
          <w:lang w:eastAsia="zh-CN"/>
        </w:rPr>
        <w:t>项目</w:t>
      </w:r>
      <w:r>
        <w:rPr>
          <w:rFonts w:hint="eastAsia" w:ascii="仿宋_GB2312" w:eastAsia="仿宋_GB2312" w:cs="仿宋_GB2312"/>
          <w:b w:val="0"/>
          <w:bCs w:val="0"/>
          <w:i w:val="0"/>
          <w:iCs w:val="0"/>
          <w:caps w:val="0"/>
          <w:color w:val="333333"/>
          <w:spacing w:val="0"/>
          <w:sz w:val="32"/>
          <w:szCs w:val="32"/>
          <w:highlight w:val="none"/>
          <w:shd w:val="clear" w:fill="FFFFFF"/>
          <w:lang w:val="en-US" w:eastAsia="zh-CN"/>
        </w:rPr>
        <w:t>和</w:t>
      </w:r>
      <w:r>
        <w:rPr>
          <w:rFonts w:hint="default" w:ascii="仿宋_GB2312" w:eastAsia="仿宋_GB2312" w:cs="仿宋_GB2312"/>
          <w:b w:val="0"/>
          <w:bCs w:val="0"/>
          <w:i w:val="0"/>
          <w:iCs w:val="0"/>
          <w:caps w:val="0"/>
          <w:color w:val="333333"/>
          <w:spacing w:val="0"/>
          <w:sz w:val="32"/>
          <w:szCs w:val="32"/>
          <w:highlight w:val="none"/>
          <w:shd w:val="clear" w:fill="FFFFFF"/>
          <w:lang w:eastAsia="zh-CN"/>
        </w:rPr>
        <w:t>巩固脱贫攻坚成果衔接乡村振兴支出</w:t>
      </w:r>
      <w:r>
        <w:rPr>
          <w:rFonts w:hint="eastAsia" w:ascii="仿宋_GB2312" w:eastAsia="仿宋_GB2312" w:cs="仿宋_GB2312"/>
          <w:b w:val="0"/>
          <w:bCs w:val="0"/>
          <w:i w:val="0"/>
          <w:iCs w:val="0"/>
          <w:caps w:val="0"/>
          <w:color w:val="333333"/>
          <w:spacing w:val="0"/>
          <w:sz w:val="32"/>
          <w:szCs w:val="32"/>
          <w:highlight w:val="none"/>
          <w:shd w:val="clear" w:fill="FFFFFF"/>
          <w:lang w:eastAsia="zh-CN"/>
        </w:rPr>
        <w:t>项目</w:t>
      </w:r>
      <w:r>
        <w:rPr>
          <w:rFonts w:hint="eastAsia" w:ascii="仿宋_GB2312" w:eastAsia="仿宋_GB2312" w:cs="仿宋_GB2312"/>
          <w:b w:val="0"/>
          <w:bCs w:val="0"/>
          <w:i w:val="0"/>
          <w:iCs w:val="0"/>
          <w:caps w:val="0"/>
          <w:color w:val="333333"/>
          <w:spacing w:val="0"/>
          <w:sz w:val="32"/>
          <w:szCs w:val="32"/>
          <w:highlight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项目资金安排</w:t>
      </w:r>
      <w:r>
        <w:rPr>
          <w:rFonts w:hint="eastAsia"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实际使用情况分析</w:t>
      </w:r>
    </w:p>
    <w:p>
      <w:pPr>
        <w:keepNext w:val="0"/>
        <w:keepLines w:val="0"/>
        <w:pageBreakBefore w:val="0"/>
        <w:widowControl w:val="0"/>
        <w:numPr>
          <w:ilvl w:val="0"/>
          <w:numId w:val="0"/>
        </w:numPr>
        <w:kinsoku/>
        <w:wordWrap/>
        <w:overflowPunct/>
        <w:topLinePunct w:val="0"/>
        <w:autoSpaceDE/>
        <w:autoSpaceDN/>
        <w:bidi w:val="0"/>
        <w:adjustRightInd/>
        <w:snapToGrid/>
        <w:ind w:leftChars="342"/>
        <w:jc w:val="left"/>
        <w:textAlignment w:val="auto"/>
        <w:rPr>
          <w:rFonts w:hint="eastAsia" w:ascii="宋体" w:hAnsi="宋体" w:eastAsia="宋体" w:cs="宋体"/>
          <w:sz w:val="28"/>
          <w:szCs w:val="28"/>
          <w:lang w:val="en-US" w:eastAsia="zh-CN"/>
        </w:rPr>
      </w:pPr>
      <w:r>
        <w:rPr>
          <w:rFonts w:hint="eastAsia" w:ascii="仿宋_GB2312" w:eastAsia="仿宋_GB2312" w:cs="仿宋_GB2312"/>
          <w:b w:val="0"/>
          <w:bCs w:val="0"/>
          <w:i w:val="0"/>
          <w:iCs w:val="0"/>
          <w:caps w:val="0"/>
          <w:color w:val="333333"/>
          <w:spacing w:val="0"/>
          <w:sz w:val="32"/>
          <w:szCs w:val="32"/>
          <w:highlight w:val="none"/>
          <w:shd w:val="clear" w:fill="FFFFFF"/>
          <w:lang w:eastAsia="zh-CN"/>
        </w:rPr>
        <w:t>（</w:t>
      </w:r>
      <w:r>
        <w:rPr>
          <w:rFonts w:hint="eastAsia" w:ascii="仿宋_GB2312" w:eastAsia="仿宋_GB2312" w:cs="仿宋_GB2312"/>
          <w:b w:val="0"/>
          <w:bCs w:val="0"/>
          <w:i w:val="0"/>
          <w:iCs w:val="0"/>
          <w:caps w:val="0"/>
          <w:color w:val="333333"/>
          <w:spacing w:val="0"/>
          <w:sz w:val="32"/>
          <w:szCs w:val="32"/>
          <w:highlight w:val="none"/>
          <w:shd w:val="clear" w:fill="FFFFFF"/>
          <w:lang w:val="en-US" w:eastAsia="zh-CN"/>
        </w:rPr>
        <w:t>1</w:t>
      </w:r>
      <w:r>
        <w:rPr>
          <w:rFonts w:hint="eastAsia" w:ascii="仿宋_GB2312" w:eastAsia="仿宋_GB2312" w:cs="仿宋_GB2312"/>
          <w:b w:val="0"/>
          <w:bCs w:val="0"/>
          <w:i w:val="0"/>
          <w:iCs w:val="0"/>
          <w:caps w:val="0"/>
          <w:color w:val="333333"/>
          <w:spacing w:val="0"/>
          <w:sz w:val="32"/>
          <w:szCs w:val="32"/>
          <w:highlight w:val="none"/>
          <w:shd w:val="clear" w:fill="FFFFFF"/>
          <w:lang w:eastAsia="zh-CN"/>
        </w:rPr>
        <w:t>）</w:t>
      </w:r>
      <w:r>
        <w:rPr>
          <w:rFonts w:hint="default" w:ascii="仿宋_GB2312" w:eastAsia="仿宋_GB2312" w:cs="仿宋_GB2312"/>
          <w:b w:val="0"/>
          <w:bCs w:val="0"/>
          <w:i w:val="0"/>
          <w:iCs w:val="0"/>
          <w:caps w:val="0"/>
          <w:color w:val="333333"/>
          <w:spacing w:val="0"/>
          <w:sz w:val="32"/>
          <w:szCs w:val="32"/>
          <w:highlight w:val="none"/>
          <w:shd w:val="clear" w:fill="FFFFFF"/>
          <w:lang w:eastAsia="zh-CN"/>
        </w:rPr>
        <w:t>农业生产发展</w:t>
      </w:r>
      <w:r>
        <w:rPr>
          <w:rFonts w:hint="eastAsia" w:ascii="仿宋_GB2312" w:eastAsia="仿宋_GB2312" w:cs="仿宋_GB2312"/>
          <w:b w:val="0"/>
          <w:bCs w:val="0"/>
          <w:i w:val="0"/>
          <w:iCs w:val="0"/>
          <w:caps w:val="0"/>
          <w:color w:val="333333"/>
          <w:spacing w:val="0"/>
          <w:sz w:val="32"/>
          <w:szCs w:val="32"/>
          <w:highlight w:val="none"/>
          <w:shd w:val="clear" w:fill="FFFFFF"/>
          <w:lang w:eastAsia="zh-CN"/>
        </w:rPr>
        <w:t>项目。</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baseline"/>
        <w:rPr>
          <w:rFonts w:hint="eastAsia" w:ascii="仿宋_GB2312" w:hAnsi="仿宋_GB2312" w:eastAsia="仿宋_GB2312" w:cs="仿宋_GB2312"/>
          <w:b w:val="0"/>
          <w:color w:val="000000" w:themeColor="text1"/>
          <w:sz w:val="32"/>
          <w:szCs w:val="32"/>
          <w:highlight w:val="none"/>
          <w:u w:val="none"/>
          <w:lang w:val="en-US" w:eastAsia="zh-CN"/>
        </w:rPr>
      </w:pPr>
      <w:r>
        <w:rPr>
          <w:rFonts w:hint="eastAsia" w:ascii="仿宋_GB2312" w:eastAsia="仿宋_GB2312" w:cs="仿宋_GB2312"/>
          <w:b w:val="0"/>
          <w:bCs w:val="0"/>
          <w:i w:val="0"/>
          <w:iCs w:val="0"/>
          <w:caps w:val="0"/>
          <w:color w:val="333333"/>
          <w:spacing w:val="0"/>
          <w:sz w:val="32"/>
          <w:szCs w:val="32"/>
          <w:highlight w:val="none"/>
          <w:shd w:val="clear" w:fill="FFFFFF"/>
          <w:lang w:val="en-US" w:eastAsia="zh-CN"/>
        </w:rPr>
        <w:t>此项目为</w:t>
      </w:r>
      <w:r>
        <w:rPr>
          <w:rFonts w:hint="default" w:ascii="仿宋_GB2312" w:eastAsia="仿宋_GB2312" w:cs="仿宋_GB2312"/>
          <w:b w:val="0"/>
          <w:bCs w:val="0"/>
          <w:i w:val="0"/>
          <w:iCs w:val="0"/>
          <w:caps w:val="0"/>
          <w:color w:val="333333"/>
          <w:spacing w:val="0"/>
          <w:sz w:val="32"/>
          <w:szCs w:val="32"/>
          <w:highlight w:val="none"/>
          <w:shd w:val="clear" w:fill="FFFFFF"/>
          <w:lang w:eastAsia="zh-CN"/>
        </w:rPr>
        <w:t>2023年中央农业经营主体能力提升资金</w:t>
      </w:r>
      <w:r>
        <w:rPr>
          <w:rFonts w:hint="eastAsia" w:ascii="仿宋_GB2312" w:eastAsia="仿宋_GB2312" w:cs="仿宋_GB2312"/>
          <w:b w:val="0"/>
          <w:bCs w:val="0"/>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b w:val="0"/>
          <w:color w:val="000000" w:themeColor="text1"/>
          <w:sz w:val="32"/>
          <w:szCs w:val="32"/>
          <w:highlight w:val="none"/>
          <w:u w:val="none"/>
          <w:lang w:val="en-US" w:eastAsia="zh-CN"/>
        </w:rPr>
        <w:t>资金下拨到了6个农民专业合作社，每个专业合作社资金20万，共120万全部使用完。祁阳县藕塘珍禽养殖专业合作社农民合作社省级示范社项目，主要用于养殖大棚翻新、杂草、树清理、消毒、场地新建、品种引进；祁阳县鑫意种养专业合作社农民合作社省级示范社项目，主要用于扩大规模、养殖场地、进种苗、饲料；祁阳县祥安种养专业合作社农民合作社省级示范社项目，主要用于农药、化肥、烘干机、烘干棚、拖拉机、育秧棚、喷灌机设备；阳县新茗种养专业合作社农民合作社省级示范社项目，主要用于厂房和种茶叶；祁阳县荣欣种养专业合作社农民合作社省级示范社项目，主要用于高梁种植和水稻种植；祁阳县四季常青种养专业合作社重点支持项目，主要用于棚架、滴水系统。</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baseline"/>
        <w:rPr>
          <w:rFonts w:hint="eastAsia" w:ascii="仿宋_GB2312" w:hAnsi="仿宋_GB2312" w:eastAsia="仿宋_GB2312" w:cs="仿宋_GB2312"/>
          <w:b w:val="0"/>
          <w:color w:val="000000" w:themeColor="text1"/>
          <w:sz w:val="32"/>
          <w:szCs w:val="32"/>
          <w:highlight w:val="none"/>
          <w:u w:val="none"/>
          <w:lang w:val="en-US" w:eastAsia="zh-CN"/>
        </w:rPr>
      </w:pPr>
      <w:r>
        <w:rPr>
          <w:rFonts w:hint="eastAsia" w:ascii="仿宋_GB2312" w:hAnsi="仿宋_GB2312" w:eastAsia="仿宋_GB2312" w:cs="仿宋_GB2312"/>
          <w:b w:val="0"/>
          <w:color w:val="000000" w:themeColor="text1"/>
          <w:sz w:val="32"/>
          <w:szCs w:val="32"/>
          <w:highlight w:val="none"/>
          <w:u w:val="none"/>
          <w:lang w:val="en-US" w:eastAsia="zh-CN"/>
        </w:rPr>
        <w:t>（2）巩固脱贫攻坚成果衔接乡村振兴支出项目。</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baseline"/>
        <w:rPr>
          <w:rFonts w:hint="eastAsia"/>
          <w:lang w:eastAsia="zh-CN"/>
        </w:rPr>
      </w:pPr>
      <w:r>
        <w:rPr>
          <w:rFonts w:hint="eastAsia" w:ascii="仿宋_GB2312" w:hAnsi="仿宋_GB2312" w:eastAsia="仿宋_GB2312" w:cs="仿宋_GB2312"/>
          <w:b w:val="0"/>
          <w:color w:val="000000" w:themeColor="text1"/>
          <w:sz w:val="32"/>
          <w:szCs w:val="32"/>
          <w:highlight w:val="none"/>
          <w:u w:val="none"/>
          <w:lang w:val="en-US" w:eastAsia="zh-CN"/>
        </w:rPr>
        <w:t>此项目是2024年中央财政衔接推进乡村振兴补助资金（发展壮大集体经济扶持资金），资金发放16个村：祁阳市潘市镇八角岭村经济合作社、祁阳市白水镇毛家村经济合作社、祁阳市黄泥塘镇幸福村股份经济合作社、祁阳市下马渡镇团栗村经济合作社、祁阳市八宝镇上百里村股份经济合作社、祁阳市文富市镇官山坪村经济合作社、祁阳市龚家坪镇新旷社区经济合作社、祁阳县大忠桥镇西河街社区经济合作社、祁阳市羊角塘镇新龙村经济合作社、祁阳市三口塘镇三口塘社区股份经济合作社、祁阳市七里桥镇龙口源村经济合作社、祁阳市观音滩镇和平村股份经济合作社、祁阳市梅溪镇华塘村股份经济合作社、祁阳市文明铺镇长白村经济合作社、祁阳市龙山街道六合岭社区股份经济合作社和祁阳市大村甸镇丁家岭村股份经济合作社，每个村50万，共800万全部使用完。为支持发展新型农村集体经济，巩固和完善农村基本经营制度，构建产权关系明晰、治理架构科学、经营方式稳健、收益分配合理的农村集体经济运行机制，强化农村基层党组织政治功能和组织功能，进一步提升农村集体经济实力，全面盘活农村集体资产资源，推动全市农村集体经济健康发展，我市从一是依托资源优势,拓宽发展集体经济主渠道；二是盘活闲置资产，开辟发展集体经济新财源；三是利用区位优势，重点发展产销物流行业，兴办交易市场；四是发展特色产业，培育发展集体经济新增长点；五是创新投资思维，探索发展集体经济新模式优惠政策扶持，激活发展集体经济新动力等多方面产业扶持新型农村集体经济，增加集体经济收入。确保年底全市申报的扶持壮大村级集体经济收入增长10%以上，其中:集体收入5-20万元的村占 90%左右，集体收入 20万元以上的村占 2%左右，新增市级发展村级集体经济示范村5个。力争到新一轮集体经济扶持任务下达前，申报的扶持壮大集体村集体经济收入全部达到 10 万元以上。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项目资金</w:t>
      </w:r>
      <w:r>
        <w:rPr>
          <w:rFonts w:hint="eastAsia" w:ascii="Times New Roman" w:hAnsi="Times New Roman" w:eastAsia="仿宋_GB2312" w:cs="Times New Roman"/>
          <w:sz w:val="32"/>
          <w:szCs w:val="32"/>
          <w:lang w:val="en-US" w:eastAsia="zh-CN"/>
        </w:rPr>
        <w:t>绩效</w:t>
      </w:r>
      <w:r>
        <w:rPr>
          <w:rFonts w:hint="default" w:ascii="Times New Roman" w:hAnsi="Times New Roman" w:eastAsia="仿宋_GB2312" w:cs="Times New Roman"/>
          <w:sz w:val="32"/>
          <w:szCs w:val="32"/>
        </w:rPr>
        <w:t>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微软雅黑" w:hAnsi="微软雅黑" w:eastAsia="微软雅黑" w:cs="微软雅黑"/>
          <w:i w:val="0"/>
          <w:iCs w:val="0"/>
          <w:caps w:val="0"/>
          <w:color w:val="333333"/>
          <w:spacing w:val="0"/>
          <w:sz w:val="24"/>
          <w:szCs w:val="24"/>
          <w:shd w:val="clear" w:fill="FFFFFF"/>
        </w:rPr>
        <w:t>单位：万元</w:t>
      </w:r>
    </w:p>
    <w:tbl>
      <w:tblPr>
        <w:tblStyle w:val="10"/>
        <w:tblW w:w="8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028"/>
        <w:gridCol w:w="540"/>
        <w:gridCol w:w="450"/>
        <w:gridCol w:w="870"/>
        <w:gridCol w:w="975"/>
        <w:gridCol w:w="1320"/>
        <w:gridCol w:w="634"/>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48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序号</w:t>
            </w:r>
          </w:p>
        </w:tc>
        <w:tc>
          <w:tcPr>
            <w:tcW w:w="2028"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项目</w:t>
            </w:r>
          </w:p>
        </w:tc>
        <w:tc>
          <w:tcPr>
            <w:tcW w:w="54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年初预算</w:t>
            </w:r>
          </w:p>
        </w:tc>
        <w:tc>
          <w:tcPr>
            <w:tcW w:w="45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上年结转</w:t>
            </w:r>
          </w:p>
        </w:tc>
        <w:tc>
          <w:tcPr>
            <w:tcW w:w="87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本年调整</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可执行指标</w:t>
            </w:r>
          </w:p>
        </w:tc>
        <w:tc>
          <w:tcPr>
            <w:tcW w:w="132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决算金额</w:t>
            </w:r>
          </w:p>
        </w:tc>
        <w:tc>
          <w:tcPr>
            <w:tcW w:w="63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结转结余</w:t>
            </w:r>
          </w:p>
        </w:tc>
        <w:tc>
          <w:tcPr>
            <w:tcW w:w="106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z w:val="32"/>
                <w:szCs w:val="32"/>
                <w:vertAlign w:val="baseline"/>
                <w:lang w:eastAsia="zh-CN"/>
              </w:rPr>
              <w:t>绩效目标完成情况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w:t>
            </w:r>
          </w:p>
        </w:tc>
        <w:tc>
          <w:tcPr>
            <w:tcW w:w="2028"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24"/>
                <w:szCs w:val="24"/>
                <w:vertAlign w:val="baseline"/>
              </w:rPr>
            </w:pPr>
            <w:r>
              <w:rPr>
                <w:rFonts w:hint="default" w:ascii="仿宋_GB2312" w:eastAsia="仿宋_GB2312" w:cs="仿宋_GB2312"/>
                <w:b/>
                <w:bCs/>
                <w:i w:val="0"/>
                <w:iCs w:val="0"/>
                <w:caps w:val="0"/>
                <w:color w:val="333333"/>
                <w:spacing w:val="0"/>
                <w:sz w:val="24"/>
                <w:szCs w:val="24"/>
                <w:shd w:val="clear" w:fill="FFFFFF"/>
                <w:lang w:eastAsia="zh-CN"/>
              </w:rPr>
              <w:t>农业生产发展</w:t>
            </w:r>
          </w:p>
        </w:tc>
        <w:tc>
          <w:tcPr>
            <w:tcW w:w="54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0</w:t>
            </w:r>
          </w:p>
        </w:tc>
        <w:tc>
          <w:tcPr>
            <w:tcW w:w="45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0</w:t>
            </w:r>
          </w:p>
        </w:tc>
        <w:tc>
          <w:tcPr>
            <w:tcW w:w="87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120</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120</w:t>
            </w:r>
          </w:p>
        </w:tc>
        <w:tc>
          <w:tcPr>
            <w:tcW w:w="132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120</w:t>
            </w:r>
          </w:p>
        </w:tc>
        <w:tc>
          <w:tcPr>
            <w:tcW w:w="63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0</w:t>
            </w:r>
          </w:p>
        </w:tc>
        <w:tc>
          <w:tcPr>
            <w:tcW w:w="106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w:t>
            </w:r>
          </w:p>
        </w:tc>
        <w:tc>
          <w:tcPr>
            <w:tcW w:w="2028"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24"/>
                <w:szCs w:val="24"/>
                <w:vertAlign w:val="baseline"/>
              </w:rPr>
            </w:pPr>
            <w:r>
              <w:rPr>
                <w:rFonts w:hint="default" w:ascii="仿宋_GB2312" w:eastAsia="仿宋_GB2312" w:cs="仿宋_GB2312"/>
                <w:b/>
                <w:bCs/>
                <w:i w:val="0"/>
                <w:iCs w:val="0"/>
                <w:caps w:val="0"/>
                <w:color w:val="333333"/>
                <w:spacing w:val="0"/>
                <w:sz w:val="24"/>
                <w:szCs w:val="24"/>
                <w:shd w:val="clear" w:fill="FFFFFF"/>
                <w:lang w:eastAsia="zh-CN"/>
              </w:rPr>
              <w:t>巩固脱贫攻坚成果衔接乡村振兴</w:t>
            </w:r>
          </w:p>
        </w:tc>
        <w:tc>
          <w:tcPr>
            <w:tcW w:w="54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0</w:t>
            </w:r>
          </w:p>
        </w:tc>
        <w:tc>
          <w:tcPr>
            <w:tcW w:w="45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0</w:t>
            </w:r>
          </w:p>
        </w:tc>
        <w:tc>
          <w:tcPr>
            <w:tcW w:w="87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800</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800</w:t>
            </w:r>
          </w:p>
        </w:tc>
        <w:tc>
          <w:tcPr>
            <w:tcW w:w="132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800</w:t>
            </w:r>
          </w:p>
        </w:tc>
        <w:tc>
          <w:tcPr>
            <w:tcW w:w="63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0</w:t>
            </w:r>
          </w:p>
        </w:tc>
        <w:tc>
          <w:tcPr>
            <w:tcW w:w="106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sz w:val="32"/>
          <w:szCs w:val="32"/>
          <w:highlight w:val="none"/>
          <w:lang w:eastAsia="zh-CN"/>
        </w:rPr>
      </w:pPr>
      <w:r>
        <w:rPr>
          <w:rFonts w:hint="eastAsia" w:ascii="Times New Roman" w:hAnsi="Times New Roman" w:eastAsia="楷体_GB2312" w:cs="Times New Roman"/>
          <w:b/>
          <w:bCs/>
          <w:sz w:val="32"/>
          <w:szCs w:val="32"/>
          <w:highlight w:val="none"/>
          <w:lang w:eastAsia="zh-CN"/>
        </w:rPr>
        <w:t>（一）部门整体支出绩效目标完成情况</w:t>
      </w:r>
    </w:p>
    <w:p>
      <w:pPr>
        <w:snapToGrid w:val="0"/>
        <w:spacing w:line="520" w:lineRule="exact"/>
        <w:ind w:firstLine="640" w:firstLineChars="200"/>
        <w:rPr>
          <w:rFonts w:hint="eastAsia" w:ascii="Times New Roman" w:hAnsi="Times New Roman" w:eastAsia="仿宋" w:cs="Times New Roman"/>
          <w:b/>
          <w:bCs/>
          <w:sz w:val="32"/>
          <w:szCs w:val="32"/>
          <w:lang w:eastAsia="zh-CN"/>
        </w:rPr>
      </w:pPr>
      <w:r>
        <w:rPr>
          <w:rFonts w:hint="eastAsia" w:ascii="仿宋" w:eastAsia="仿宋" w:cs="仿宋"/>
          <w:sz w:val="32"/>
          <w:szCs w:val="32"/>
        </w:rPr>
        <w:t>通过开展农村财会人员的业务培训；指导农村财会业务，指导农村财务公开，开展产权制度改革清产核资填报、赋码登记、成员信息录入、家庭农场名录系统、年报系统、宅基地管理系统等业务培训，农村财务管理制度更加健全。农村土地承包经营权健康有序流转，农民合作社实现高质量发展，农业农村发展，农民增收，全面实现了年初的绩效目标计划。负责牵头农村宅基地管理体系改革，承担指导宅基地分配、使用、流转、纠纷仲裁、合理布局、用地标准、查处违法用地行为以及闲置宅基地、闲置住房的利用较好地完成了年度的绩效目标</w:t>
      </w:r>
      <w:r>
        <w:rPr>
          <w:rFonts w:hint="eastAsia" w:asci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（二）部门整体支出效益情况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eastAsia="zh-CN"/>
        </w:rPr>
      </w:pPr>
      <w:r>
        <w:rPr>
          <w:rFonts w:hint="eastAsia" w:ascii="仿宋" w:hAnsi="仿宋" w:eastAsia="仿宋"/>
          <w:sz w:val="32"/>
        </w:rPr>
        <w:t>本单位基本支出</w:t>
      </w:r>
      <w:r>
        <w:rPr>
          <w:rFonts w:hint="eastAsia" w:ascii="仿宋" w:hAnsi="仿宋" w:eastAsia="仿宋"/>
          <w:sz w:val="32"/>
          <w:lang w:val="en-US" w:eastAsia="zh-CN"/>
        </w:rPr>
        <w:t>329.91</w:t>
      </w:r>
      <w:r>
        <w:rPr>
          <w:rFonts w:hint="eastAsia" w:ascii="仿宋" w:hAnsi="仿宋" w:eastAsia="仿宋"/>
          <w:sz w:val="32"/>
        </w:rPr>
        <w:t>万元、项目支出</w:t>
      </w:r>
      <w:r>
        <w:rPr>
          <w:rFonts w:hint="eastAsia" w:ascii="仿宋" w:hAnsi="仿宋" w:eastAsia="仿宋"/>
          <w:sz w:val="32"/>
          <w:lang w:val="en-US" w:eastAsia="zh-CN"/>
        </w:rPr>
        <w:t>920</w:t>
      </w:r>
      <w:r>
        <w:rPr>
          <w:rFonts w:hint="eastAsia" w:ascii="仿宋" w:hAnsi="仿宋" w:eastAsia="仿宋"/>
          <w:sz w:val="32"/>
        </w:rPr>
        <w:t>万元，产出指标、效益指标、效果指标等均实现预期目标。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四、绩效评价结论</w:t>
      </w:r>
      <w:r>
        <w:rPr>
          <w:rFonts w:hint="eastAsia" w:ascii="黑体" w:hAnsi="黑体" w:eastAsia="黑体" w:cs="黑体"/>
          <w:sz w:val="32"/>
          <w:szCs w:val="32"/>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ascii="微软雅黑" w:hAnsi="微软雅黑" w:eastAsia="微软雅黑" w:cs="微软雅黑"/>
          <w:i w:val="0"/>
          <w:iCs w:val="0"/>
          <w:caps w:val="0"/>
          <w:color w:val="1E1E1E"/>
          <w:spacing w:val="0"/>
          <w:sz w:val="22"/>
          <w:szCs w:val="22"/>
        </w:rPr>
      </w:pPr>
      <w:r>
        <w:rPr>
          <w:rFonts w:ascii="仿宋" w:hAnsi="仿宋" w:eastAsia="仿宋" w:cs="仿宋"/>
          <w:i w:val="0"/>
          <w:iCs w:val="0"/>
          <w:caps w:val="0"/>
          <w:color w:val="1E1E1E"/>
          <w:spacing w:val="0"/>
          <w:kern w:val="0"/>
          <w:sz w:val="32"/>
          <w:szCs w:val="32"/>
          <w:shd w:val="clear" w:fill="FFFFFF"/>
          <w:lang w:val="en-US" w:eastAsia="zh-CN" w:bidi="ar"/>
        </w:rPr>
        <w:t>根据年度重点和日常工作安排，各项工作都出色的完成</w:t>
      </w:r>
      <w:r>
        <w:rPr>
          <w:rFonts w:hint="eastAsia" w:ascii="仿宋" w:hAnsi="仿宋" w:eastAsia="仿宋" w:cs="仿宋"/>
          <w:i w:val="0"/>
          <w:iCs w:val="0"/>
          <w:caps w:val="0"/>
          <w:color w:val="1E1E1E"/>
          <w:spacing w:val="0"/>
          <w:kern w:val="0"/>
          <w:sz w:val="32"/>
          <w:szCs w:val="32"/>
          <w:shd w:val="clear" w:fill="FFFFFF"/>
          <w:lang w:val="en-US" w:eastAsia="zh-CN" w:bidi="ar"/>
        </w:rPr>
        <w:t>。</w:t>
      </w:r>
      <w:r>
        <w:rPr>
          <w:rFonts w:ascii="仿宋" w:hAnsi="仿宋" w:eastAsia="仿宋" w:cs="仿宋"/>
          <w:i w:val="0"/>
          <w:iCs w:val="0"/>
          <w:caps w:val="0"/>
          <w:color w:val="1E1E1E"/>
          <w:spacing w:val="0"/>
          <w:kern w:val="0"/>
          <w:sz w:val="32"/>
          <w:szCs w:val="32"/>
          <w:shd w:val="clear" w:fill="FFFFFF"/>
          <w:lang w:val="en-US" w:eastAsia="zh-CN" w:bidi="ar"/>
        </w:rPr>
        <w:t>部门整体支出绩效目标管理情况评价如下：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lang w:val="en-US" w:eastAsia="zh-CN"/>
        </w:rPr>
      </w:pPr>
      <w:r>
        <w:rPr>
          <w:rFonts w:hint="eastAsia" w:ascii="仿宋" w:hAnsi="仿宋" w:eastAsia="仿宋"/>
          <w:sz w:val="32"/>
          <w:lang w:val="en-US" w:eastAsia="zh-CN"/>
        </w:rPr>
        <w:t>（一）经济性评价：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lang w:val="en-US" w:eastAsia="zh-CN"/>
        </w:rPr>
      </w:pPr>
      <w:r>
        <w:rPr>
          <w:rFonts w:hint="eastAsia" w:ascii="仿宋" w:hAnsi="仿宋" w:eastAsia="仿宋"/>
          <w:sz w:val="32"/>
          <w:lang w:val="en-US" w:eastAsia="zh-CN"/>
        </w:rPr>
        <w:t>市财政给予本单位的预算配置合情、合理，预算内基本支出和项目支出都严格预算执行。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lang w:val="en-US" w:eastAsia="zh-CN"/>
        </w:rPr>
      </w:pPr>
      <w:r>
        <w:rPr>
          <w:rFonts w:hint="eastAsia" w:ascii="仿宋" w:hAnsi="仿宋" w:eastAsia="仿宋"/>
          <w:sz w:val="32"/>
          <w:lang w:val="en-US" w:eastAsia="zh-CN"/>
        </w:rPr>
        <w:t>（二）效率性评价：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lang w:val="en-US" w:eastAsia="zh-CN"/>
        </w:rPr>
      </w:pPr>
      <w:r>
        <w:rPr>
          <w:rFonts w:hint="eastAsia" w:ascii="仿宋" w:hAnsi="仿宋" w:eastAsia="仿宋"/>
          <w:sz w:val="32"/>
          <w:lang w:val="en-US" w:eastAsia="zh-CN"/>
        </w:rPr>
        <w:t>在各项工作费用支付中，尤其是干部职工的医疗保险、工伤保险、工会经费等人员经费支出能及时按进度保质保量完成。预算公用经费及办公经费基本拨付到位，预算完成率和预算控制率较好。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lang w:val="en-US" w:eastAsia="zh-CN"/>
        </w:rPr>
      </w:pPr>
      <w:r>
        <w:rPr>
          <w:rFonts w:hint="eastAsia" w:ascii="仿宋" w:hAnsi="仿宋" w:eastAsia="仿宋"/>
          <w:sz w:val="32"/>
          <w:lang w:val="en-US" w:eastAsia="zh-CN"/>
        </w:rPr>
        <w:t>（三）有效性评价：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lang w:val="en-US" w:eastAsia="zh-CN"/>
        </w:rPr>
      </w:pPr>
      <w:r>
        <w:rPr>
          <w:rFonts w:hint="eastAsia" w:ascii="仿宋" w:hAnsi="仿宋" w:eastAsia="仿宋"/>
          <w:sz w:val="32"/>
          <w:lang w:val="en-US" w:eastAsia="zh-CN"/>
        </w:rPr>
        <w:t>夯实基层力量，提高基层工作积极性，全面整合职能和资源，提升干部办事效率，优化服务质量；群众收入增加，幸福感提高。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lang w:val="en-US" w:eastAsia="zh-CN"/>
        </w:rPr>
      </w:pPr>
      <w:r>
        <w:rPr>
          <w:rFonts w:hint="eastAsia" w:ascii="仿宋" w:hAnsi="仿宋" w:eastAsia="仿宋"/>
          <w:sz w:val="32"/>
          <w:lang w:val="en-US" w:eastAsia="zh-CN"/>
        </w:rPr>
        <w:t>（四）可持续性评价：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lang w:val="en-US" w:eastAsia="zh-CN"/>
        </w:rPr>
      </w:pPr>
      <w:r>
        <w:rPr>
          <w:rFonts w:hint="eastAsia" w:ascii="仿宋" w:hAnsi="仿宋" w:eastAsia="仿宋"/>
          <w:sz w:val="32"/>
          <w:lang w:val="en-US" w:eastAsia="zh-CN"/>
        </w:rPr>
        <w:t>我站指导家庭农场、合作社的发展，同时消除空壳合作社，做到资源的合理分配；巩固农村集体产权制度改革成果，促进农业发展，为实现“乡村振兴”目标而努力奋斗。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lang w:val="en-US" w:eastAsia="zh-CN"/>
        </w:rPr>
      </w:pPr>
      <w:r>
        <w:rPr>
          <w:rFonts w:hint="eastAsia" w:ascii="仿宋" w:hAnsi="仿宋" w:eastAsia="仿宋"/>
          <w:sz w:val="32"/>
          <w:lang w:val="en-US" w:eastAsia="zh-CN"/>
        </w:rPr>
        <w:t>（五）社会公众满意度：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lang w:val="en-US" w:eastAsia="zh-CN"/>
        </w:rPr>
      </w:pPr>
      <w:r>
        <w:rPr>
          <w:rFonts w:hint="eastAsia" w:ascii="仿宋" w:hAnsi="仿宋" w:eastAsia="仿宋"/>
          <w:sz w:val="32"/>
          <w:lang w:val="en-US" w:eastAsia="zh-CN"/>
        </w:rPr>
        <w:t>本单位从事的工作都是相关全市广大农民朋友的工作，本单位的确权颁证工作，维权减负工作，农业合作经营体制指导工作，农民专业合作组织管理，农村集体经济组织审计等工作获得了社会公众的满意，满意度达95%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41" w:lineRule="atLeast"/>
        <w:ind w:left="0" w:right="0" w:firstLine="420"/>
        <w:jc w:val="left"/>
        <w:rPr>
          <w:rFonts w:hint="eastAsia" w:ascii="仿宋" w:hAnsi="仿宋" w:eastAsia="仿宋" w:cs="仿宋"/>
          <w:i w:val="0"/>
          <w:iCs w:val="0"/>
          <w:caps w:val="0"/>
          <w:color w:val="1E1E1E"/>
          <w:spacing w:val="0"/>
          <w:kern w:val="0"/>
          <w:sz w:val="32"/>
          <w:szCs w:val="32"/>
          <w:shd w:val="clear" w:fill="FFFFFF"/>
          <w:lang w:val="en-US" w:eastAsia="zh-CN" w:bidi="ar"/>
        </w:rPr>
      </w:pPr>
      <w:r>
        <w:rPr>
          <w:rFonts w:hint="eastAsia" w:ascii="仿宋" w:hAnsi="仿宋" w:eastAsia="仿宋" w:cs="仿宋"/>
          <w:i w:val="0"/>
          <w:iCs w:val="0"/>
          <w:caps w:val="0"/>
          <w:color w:val="1E1E1E"/>
          <w:spacing w:val="0"/>
          <w:kern w:val="0"/>
          <w:sz w:val="32"/>
          <w:szCs w:val="32"/>
          <w:shd w:val="clear" w:fill="FFFFFF"/>
          <w:lang w:val="en-US" w:eastAsia="zh-CN" w:bidi="ar"/>
        </w:rPr>
        <w:t>1、农经体系建设有待加强，特别是乡镇从事农经工作的部门五花八门，力量严重不足且不稳定，工作开展不顺畅。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41" w:lineRule="atLeast"/>
        <w:ind w:left="0" w:right="0" w:firstLine="420"/>
        <w:jc w:val="left"/>
        <w:rPr>
          <w:rFonts w:hint="eastAsia" w:ascii="仿宋" w:hAnsi="仿宋" w:eastAsia="仿宋" w:cs="仿宋"/>
          <w:i w:val="0"/>
          <w:iCs w:val="0"/>
          <w:caps w:val="0"/>
          <w:color w:val="1E1E1E"/>
          <w:spacing w:val="0"/>
          <w:kern w:val="0"/>
          <w:sz w:val="32"/>
          <w:szCs w:val="32"/>
          <w:shd w:val="clear" w:fill="FFFFFF"/>
          <w:lang w:val="en-US" w:eastAsia="zh-CN" w:bidi="ar"/>
        </w:rPr>
      </w:pPr>
      <w:r>
        <w:rPr>
          <w:rFonts w:hint="eastAsia" w:ascii="仿宋" w:hAnsi="仿宋" w:eastAsia="仿宋" w:cs="仿宋"/>
          <w:i w:val="0"/>
          <w:iCs w:val="0"/>
          <w:caps w:val="0"/>
          <w:color w:val="1E1E1E"/>
          <w:spacing w:val="0"/>
          <w:kern w:val="0"/>
          <w:sz w:val="32"/>
          <w:szCs w:val="32"/>
          <w:shd w:val="clear" w:fill="FFFFFF"/>
          <w:lang w:val="en-US" w:eastAsia="zh-CN" w:bidi="ar"/>
        </w:rPr>
        <w:t>2、村集体经济发展普遍不强，村级组织造血功能严重不足。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41" w:lineRule="atLeast"/>
        <w:ind w:left="0" w:right="0" w:firstLine="420"/>
        <w:jc w:val="left"/>
        <w:rPr>
          <w:rFonts w:hint="eastAsia" w:ascii="仿宋" w:hAnsi="仿宋" w:eastAsia="仿宋" w:cs="仿宋"/>
          <w:i w:val="0"/>
          <w:iCs w:val="0"/>
          <w:caps w:val="0"/>
          <w:color w:val="1E1E1E"/>
          <w:spacing w:val="0"/>
          <w:kern w:val="0"/>
          <w:sz w:val="32"/>
          <w:szCs w:val="32"/>
          <w:shd w:val="clear" w:fill="FFFFFF"/>
          <w:lang w:val="en-US" w:eastAsia="zh-CN" w:bidi="ar"/>
        </w:rPr>
      </w:pPr>
      <w:r>
        <w:rPr>
          <w:rFonts w:hint="eastAsia" w:ascii="仿宋" w:hAnsi="仿宋" w:eastAsia="仿宋" w:cs="仿宋"/>
          <w:i w:val="0"/>
          <w:iCs w:val="0"/>
          <w:caps w:val="0"/>
          <w:color w:val="1E1E1E"/>
          <w:spacing w:val="0"/>
          <w:kern w:val="0"/>
          <w:sz w:val="32"/>
          <w:szCs w:val="32"/>
          <w:shd w:val="clear" w:fill="FFFFFF"/>
          <w:lang w:val="en-US" w:eastAsia="zh-CN" w:bidi="ar"/>
        </w:rPr>
        <w:t>3、新型农业经营主体建设有待提质，增加省市示范社及家庭农场数量。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60" w:lineRule="atLeast"/>
        <w:ind w:left="0" w:right="0" w:firstLine="420"/>
        <w:jc w:val="left"/>
        <w:rPr>
          <w:rFonts w:hint="eastAsia" w:ascii="仿宋" w:hAnsi="仿宋" w:eastAsia="仿宋" w:cs="仿宋"/>
          <w:i w:val="0"/>
          <w:iCs w:val="0"/>
          <w:caps w:val="0"/>
          <w:color w:val="1E1E1E"/>
          <w:spacing w:val="0"/>
          <w:kern w:val="0"/>
          <w:sz w:val="32"/>
          <w:szCs w:val="32"/>
          <w:shd w:val="clear" w:fill="FFFFFF"/>
          <w:lang w:val="en-US" w:eastAsia="zh-CN" w:bidi="ar"/>
        </w:rPr>
      </w:pPr>
      <w:r>
        <w:rPr>
          <w:rFonts w:hint="eastAsia" w:ascii="仿宋" w:hAnsi="仿宋" w:eastAsia="仿宋" w:cs="仿宋"/>
          <w:i w:val="0"/>
          <w:iCs w:val="0"/>
          <w:caps w:val="0"/>
          <w:color w:val="1E1E1E"/>
          <w:spacing w:val="0"/>
          <w:kern w:val="0"/>
          <w:sz w:val="32"/>
          <w:szCs w:val="32"/>
          <w:shd w:val="clear" w:fill="FFFFFF"/>
          <w:lang w:val="en-US" w:eastAsia="zh-CN" w:bidi="ar"/>
        </w:rPr>
        <w:t>4、部门人员经费预算不足。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六、改进措施和有关建议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41" w:lineRule="atLeast"/>
        <w:ind w:left="0" w:right="0" w:firstLine="420"/>
        <w:jc w:val="left"/>
        <w:rPr>
          <w:rFonts w:hint="eastAsia" w:ascii="仿宋" w:hAnsi="仿宋" w:eastAsia="仿宋" w:cs="仿宋"/>
          <w:i w:val="0"/>
          <w:iCs w:val="0"/>
          <w:caps w:val="0"/>
          <w:color w:val="1E1E1E"/>
          <w:spacing w:val="0"/>
          <w:kern w:val="0"/>
          <w:sz w:val="32"/>
          <w:szCs w:val="32"/>
          <w:shd w:val="clear" w:fill="FFFFFF"/>
          <w:lang w:val="en-US" w:eastAsia="zh-CN" w:bidi="ar"/>
        </w:rPr>
      </w:pPr>
      <w:r>
        <w:rPr>
          <w:rFonts w:hint="eastAsia" w:ascii="仿宋" w:hAnsi="仿宋" w:eastAsia="仿宋" w:cs="仿宋"/>
          <w:i w:val="0"/>
          <w:iCs w:val="0"/>
          <w:caps w:val="0"/>
          <w:color w:val="1E1E1E"/>
          <w:spacing w:val="0"/>
          <w:kern w:val="0"/>
          <w:sz w:val="32"/>
          <w:szCs w:val="32"/>
          <w:shd w:val="clear" w:fill="FFFFFF"/>
          <w:lang w:val="en-US" w:eastAsia="zh-CN" w:bidi="ar"/>
        </w:rPr>
        <w:t>1、加强农经队伍建设。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41" w:lineRule="atLeast"/>
        <w:ind w:left="0" w:right="0" w:firstLine="420"/>
        <w:jc w:val="left"/>
        <w:rPr>
          <w:rFonts w:hint="eastAsia" w:ascii="仿宋" w:hAnsi="仿宋" w:eastAsia="仿宋" w:cs="仿宋"/>
          <w:i w:val="0"/>
          <w:iCs w:val="0"/>
          <w:caps w:val="0"/>
          <w:color w:val="1E1E1E"/>
          <w:spacing w:val="0"/>
          <w:kern w:val="0"/>
          <w:sz w:val="32"/>
          <w:szCs w:val="32"/>
          <w:shd w:val="clear" w:fill="FFFFFF"/>
          <w:lang w:val="en-US" w:eastAsia="zh-CN" w:bidi="ar"/>
        </w:rPr>
      </w:pPr>
      <w:r>
        <w:rPr>
          <w:rFonts w:hint="eastAsia" w:ascii="仿宋" w:hAnsi="仿宋" w:eastAsia="仿宋" w:cs="仿宋"/>
          <w:i w:val="0"/>
          <w:iCs w:val="0"/>
          <w:caps w:val="0"/>
          <w:color w:val="1E1E1E"/>
          <w:spacing w:val="0"/>
          <w:kern w:val="0"/>
          <w:sz w:val="32"/>
          <w:szCs w:val="32"/>
          <w:shd w:val="clear" w:fill="FFFFFF"/>
          <w:lang w:val="en-US" w:eastAsia="zh-CN" w:bidi="ar"/>
        </w:rPr>
        <w:t>2、加大农村政策宣传，提升乡镇部门业务素质，强化责任意识。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41" w:lineRule="atLeast"/>
        <w:ind w:left="0" w:right="0" w:firstLine="420"/>
        <w:jc w:val="left"/>
        <w:rPr>
          <w:rFonts w:hint="eastAsia" w:ascii="仿宋" w:hAnsi="仿宋" w:eastAsia="仿宋" w:cs="仿宋"/>
          <w:i w:val="0"/>
          <w:iCs w:val="0"/>
          <w:caps w:val="0"/>
          <w:color w:val="1E1E1E"/>
          <w:spacing w:val="0"/>
          <w:kern w:val="0"/>
          <w:sz w:val="32"/>
          <w:szCs w:val="32"/>
          <w:shd w:val="clear" w:fill="FFFFFF"/>
          <w:lang w:val="en-US" w:eastAsia="zh-CN" w:bidi="ar"/>
        </w:rPr>
      </w:pPr>
      <w:r>
        <w:rPr>
          <w:rFonts w:hint="eastAsia" w:ascii="仿宋" w:hAnsi="仿宋" w:eastAsia="仿宋" w:cs="仿宋"/>
          <w:i w:val="0"/>
          <w:iCs w:val="0"/>
          <w:caps w:val="0"/>
          <w:color w:val="1E1E1E"/>
          <w:spacing w:val="0"/>
          <w:kern w:val="0"/>
          <w:sz w:val="32"/>
          <w:szCs w:val="32"/>
          <w:shd w:val="clear" w:fill="FFFFFF"/>
          <w:lang w:val="en-US" w:eastAsia="zh-CN" w:bidi="ar"/>
        </w:rPr>
        <w:t>3、积极培育新型专业合作社及家庭农场，强化示范带头作用。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41" w:lineRule="atLeast"/>
        <w:ind w:left="0" w:right="0" w:firstLine="420"/>
        <w:jc w:val="left"/>
        <w:rPr>
          <w:rFonts w:hint="eastAsia" w:ascii="仿宋" w:hAnsi="仿宋" w:eastAsia="仿宋" w:cs="仿宋"/>
          <w:i w:val="0"/>
          <w:iCs w:val="0"/>
          <w:caps w:val="0"/>
          <w:color w:val="1E1E1E"/>
          <w:spacing w:val="0"/>
          <w:kern w:val="0"/>
          <w:sz w:val="32"/>
          <w:szCs w:val="32"/>
          <w:shd w:val="clear" w:fill="FFFFFF"/>
          <w:lang w:val="en-US" w:eastAsia="zh-CN" w:bidi="ar"/>
        </w:rPr>
      </w:pPr>
      <w:r>
        <w:rPr>
          <w:rFonts w:hint="eastAsia" w:ascii="仿宋" w:hAnsi="仿宋" w:eastAsia="仿宋" w:cs="仿宋"/>
          <w:i w:val="0"/>
          <w:iCs w:val="0"/>
          <w:caps w:val="0"/>
          <w:color w:val="1E1E1E"/>
          <w:spacing w:val="0"/>
          <w:kern w:val="0"/>
          <w:sz w:val="32"/>
          <w:szCs w:val="32"/>
          <w:shd w:val="clear" w:fill="FFFFFF"/>
          <w:lang w:val="en-US" w:eastAsia="zh-CN" w:bidi="ar"/>
        </w:rPr>
        <w:t>4、积极争取财政预算、确保人员经费。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6D555"/>
    <w:multiLevelType w:val="singleLevel"/>
    <w:tmpl w:val="0716D5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0MTZiZmFlMGY1ODVhOGNjMDAwOGM0ZmY0NGU4ZDgifQ=="/>
    <w:docVar w:name="KSO_WPS_MARK_KEY" w:val="27ef0d6e-5a7d-4d3d-a873-656129b0403b"/>
  </w:docVars>
  <w:rsids>
    <w:rsidRoot w:val="650411B8"/>
    <w:rsid w:val="00044EF2"/>
    <w:rsid w:val="005B30D3"/>
    <w:rsid w:val="006E05BE"/>
    <w:rsid w:val="007958E0"/>
    <w:rsid w:val="00933F39"/>
    <w:rsid w:val="00D73440"/>
    <w:rsid w:val="00F72E90"/>
    <w:rsid w:val="01374E54"/>
    <w:rsid w:val="01B3147A"/>
    <w:rsid w:val="01E46D89"/>
    <w:rsid w:val="02092C94"/>
    <w:rsid w:val="022950E4"/>
    <w:rsid w:val="02511CDC"/>
    <w:rsid w:val="025F28B4"/>
    <w:rsid w:val="027D71DE"/>
    <w:rsid w:val="02902A6D"/>
    <w:rsid w:val="02D50DC8"/>
    <w:rsid w:val="02F72AEC"/>
    <w:rsid w:val="02FA25DD"/>
    <w:rsid w:val="033B6E7D"/>
    <w:rsid w:val="0348159A"/>
    <w:rsid w:val="03C36E72"/>
    <w:rsid w:val="04463D2B"/>
    <w:rsid w:val="046441B2"/>
    <w:rsid w:val="046E6DDE"/>
    <w:rsid w:val="04732A3C"/>
    <w:rsid w:val="049251C3"/>
    <w:rsid w:val="04A3117E"/>
    <w:rsid w:val="04D05CEB"/>
    <w:rsid w:val="04DA0E5B"/>
    <w:rsid w:val="051A51B8"/>
    <w:rsid w:val="056A1F45"/>
    <w:rsid w:val="056F2E0E"/>
    <w:rsid w:val="05946D18"/>
    <w:rsid w:val="05AC22B4"/>
    <w:rsid w:val="060A0D89"/>
    <w:rsid w:val="065B7836"/>
    <w:rsid w:val="065F10D4"/>
    <w:rsid w:val="06764670"/>
    <w:rsid w:val="069A3EBB"/>
    <w:rsid w:val="069B7C33"/>
    <w:rsid w:val="06E45A7E"/>
    <w:rsid w:val="06FE6B3F"/>
    <w:rsid w:val="07866B35"/>
    <w:rsid w:val="078B6385"/>
    <w:rsid w:val="0797489E"/>
    <w:rsid w:val="07A64AE1"/>
    <w:rsid w:val="07B812A2"/>
    <w:rsid w:val="07C46148"/>
    <w:rsid w:val="07C7154F"/>
    <w:rsid w:val="08002443"/>
    <w:rsid w:val="080B2B96"/>
    <w:rsid w:val="081D1247"/>
    <w:rsid w:val="089D5EE4"/>
    <w:rsid w:val="08A05B3A"/>
    <w:rsid w:val="08F8136C"/>
    <w:rsid w:val="09061CDB"/>
    <w:rsid w:val="09385C0D"/>
    <w:rsid w:val="09734E97"/>
    <w:rsid w:val="09992B4F"/>
    <w:rsid w:val="09CF47C3"/>
    <w:rsid w:val="09ED2E9B"/>
    <w:rsid w:val="0A0B50CF"/>
    <w:rsid w:val="0AAE43D8"/>
    <w:rsid w:val="0B0C7351"/>
    <w:rsid w:val="0B1F0E32"/>
    <w:rsid w:val="0B420FC5"/>
    <w:rsid w:val="0B666A61"/>
    <w:rsid w:val="0B957346"/>
    <w:rsid w:val="0BBE689D"/>
    <w:rsid w:val="0BD460C1"/>
    <w:rsid w:val="0BDC6D23"/>
    <w:rsid w:val="0BE91440"/>
    <w:rsid w:val="0BF57DE5"/>
    <w:rsid w:val="0BF7590B"/>
    <w:rsid w:val="0BFC5617"/>
    <w:rsid w:val="0C2A5CE1"/>
    <w:rsid w:val="0C57284E"/>
    <w:rsid w:val="0CBA3DDB"/>
    <w:rsid w:val="0D270472"/>
    <w:rsid w:val="0D58062B"/>
    <w:rsid w:val="0D5A0848"/>
    <w:rsid w:val="0DA97C29"/>
    <w:rsid w:val="0DB461AA"/>
    <w:rsid w:val="0DC45CC1"/>
    <w:rsid w:val="0DD73C46"/>
    <w:rsid w:val="0E2D2B87"/>
    <w:rsid w:val="0EAF36E6"/>
    <w:rsid w:val="0F07055B"/>
    <w:rsid w:val="0F15264F"/>
    <w:rsid w:val="0F225395"/>
    <w:rsid w:val="0F2904D1"/>
    <w:rsid w:val="0F2C6214"/>
    <w:rsid w:val="0F706C65"/>
    <w:rsid w:val="0F7554C5"/>
    <w:rsid w:val="0F84395A"/>
    <w:rsid w:val="0FD146C5"/>
    <w:rsid w:val="0FD61CDB"/>
    <w:rsid w:val="0FF04607"/>
    <w:rsid w:val="1017657C"/>
    <w:rsid w:val="10CA1840"/>
    <w:rsid w:val="110F4EDE"/>
    <w:rsid w:val="11590DA3"/>
    <w:rsid w:val="1182036D"/>
    <w:rsid w:val="11A82212"/>
    <w:rsid w:val="1202612B"/>
    <w:rsid w:val="12791770"/>
    <w:rsid w:val="12A165D1"/>
    <w:rsid w:val="12EB3CF0"/>
    <w:rsid w:val="13057148"/>
    <w:rsid w:val="1326193B"/>
    <w:rsid w:val="13386F35"/>
    <w:rsid w:val="134A0A16"/>
    <w:rsid w:val="134F0723"/>
    <w:rsid w:val="13545D39"/>
    <w:rsid w:val="136715C8"/>
    <w:rsid w:val="13C7475D"/>
    <w:rsid w:val="13DD5D2E"/>
    <w:rsid w:val="143A0A8B"/>
    <w:rsid w:val="145A7B98"/>
    <w:rsid w:val="14BF70C2"/>
    <w:rsid w:val="14E629C1"/>
    <w:rsid w:val="153B4ABB"/>
    <w:rsid w:val="154716B1"/>
    <w:rsid w:val="15545B7C"/>
    <w:rsid w:val="15910B7E"/>
    <w:rsid w:val="15C63369"/>
    <w:rsid w:val="1638549E"/>
    <w:rsid w:val="163F05DA"/>
    <w:rsid w:val="1655475C"/>
    <w:rsid w:val="16586527"/>
    <w:rsid w:val="16691AFB"/>
    <w:rsid w:val="168A4645"/>
    <w:rsid w:val="169D2E4C"/>
    <w:rsid w:val="16D74CB7"/>
    <w:rsid w:val="16E41C76"/>
    <w:rsid w:val="16FE2244"/>
    <w:rsid w:val="171164A9"/>
    <w:rsid w:val="171657DF"/>
    <w:rsid w:val="172B0B5F"/>
    <w:rsid w:val="1759391E"/>
    <w:rsid w:val="1780534F"/>
    <w:rsid w:val="17E200E4"/>
    <w:rsid w:val="17E94CA2"/>
    <w:rsid w:val="18822A00"/>
    <w:rsid w:val="18CB43A7"/>
    <w:rsid w:val="18ED431E"/>
    <w:rsid w:val="1908043F"/>
    <w:rsid w:val="192341E3"/>
    <w:rsid w:val="19630A84"/>
    <w:rsid w:val="19801636"/>
    <w:rsid w:val="198C1D89"/>
    <w:rsid w:val="19924EC5"/>
    <w:rsid w:val="19A707A4"/>
    <w:rsid w:val="19C92FDD"/>
    <w:rsid w:val="19DC433A"/>
    <w:rsid w:val="19E716B5"/>
    <w:rsid w:val="19FA13E8"/>
    <w:rsid w:val="1A293A7B"/>
    <w:rsid w:val="1A762B8E"/>
    <w:rsid w:val="1A772A39"/>
    <w:rsid w:val="1A98475D"/>
    <w:rsid w:val="1AA94BBC"/>
    <w:rsid w:val="1AC612CA"/>
    <w:rsid w:val="1ADA4D76"/>
    <w:rsid w:val="1AFF15B0"/>
    <w:rsid w:val="1B430B6D"/>
    <w:rsid w:val="1B4C386F"/>
    <w:rsid w:val="1B9F3FD2"/>
    <w:rsid w:val="1BC03F6C"/>
    <w:rsid w:val="1C057BD0"/>
    <w:rsid w:val="1C077DEC"/>
    <w:rsid w:val="1C0876C1"/>
    <w:rsid w:val="1C2838BF"/>
    <w:rsid w:val="1C3109C5"/>
    <w:rsid w:val="1C7A6810"/>
    <w:rsid w:val="1CBF2475"/>
    <w:rsid w:val="1CE65C54"/>
    <w:rsid w:val="1DC05121"/>
    <w:rsid w:val="1DC97EE6"/>
    <w:rsid w:val="1DD43CFE"/>
    <w:rsid w:val="1DD97567"/>
    <w:rsid w:val="1DFB572F"/>
    <w:rsid w:val="1E334EC9"/>
    <w:rsid w:val="1E4331AD"/>
    <w:rsid w:val="1EBD4792"/>
    <w:rsid w:val="1F3C5FFF"/>
    <w:rsid w:val="1F5E41C7"/>
    <w:rsid w:val="1F6D61B8"/>
    <w:rsid w:val="1F8D0609"/>
    <w:rsid w:val="20000DDB"/>
    <w:rsid w:val="200A1C59"/>
    <w:rsid w:val="202D3637"/>
    <w:rsid w:val="20337402"/>
    <w:rsid w:val="206A0572"/>
    <w:rsid w:val="20C31E08"/>
    <w:rsid w:val="20C52024"/>
    <w:rsid w:val="20D64231"/>
    <w:rsid w:val="210466A8"/>
    <w:rsid w:val="210743EB"/>
    <w:rsid w:val="210E39CB"/>
    <w:rsid w:val="215B0293"/>
    <w:rsid w:val="21935C7E"/>
    <w:rsid w:val="21965A9B"/>
    <w:rsid w:val="21E23721"/>
    <w:rsid w:val="21EE1107"/>
    <w:rsid w:val="22160D89"/>
    <w:rsid w:val="221B014E"/>
    <w:rsid w:val="226E2973"/>
    <w:rsid w:val="228757E3"/>
    <w:rsid w:val="22E63EDA"/>
    <w:rsid w:val="230A1F70"/>
    <w:rsid w:val="230C38D2"/>
    <w:rsid w:val="230D1036"/>
    <w:rsid w:val="230E1A60"/>
    <w:rsid w:val="23475E38"/>
    <w:rsid w:val="23775858"/>
    <w:rsid w:val="23906919"/>
    <w:rsid w:val="23E97DD8"/>
    <w:rsid w:val="247B4ED4"/>
    <w:rsid w:val="24AF1021"/>
    <w:rsid w:val="24B108F5"/>
    <w:rsid w:val="25034EC9"/>
    <w:rsid w:val="250F386E"/>
    <w:rsid w:val="252B4B4C"/>
    <w:rsid w:val="25887444"/>
    <w:rsid w:val="259C15A5"/>
    <w:rsid w:val="25DC48F0"/>
    <w:rsid w:val="25F00121"/>
    <w:rsid w:val="2613738E"/>
    <w:rsid w:val="26393298"/>
    <w:rsid w:val="263B7010"/>
    <w:rsid w:val="26502390"/>
    <w:rsid w:val="265919E1"/>
    <w:rsid w:val="266320C3"/>
    <w:rsid w:val="267B565F"/>
    <w:rsid w:val="26804A23"/>
    <w:rsid w:val="26874ADD"/>
    <w:rsid w:val="268B161A"/>
    <w:rsid w:val="2694227D"/>
    <w:rsid w:val="26C1503C"/>
    <w:rsid w:val="26C501E3"/>
    <w:rsid w:val="26C6266C"/>
    <w:rsid w:val="26CC7C68"/>
    <w:rsid w:val="26F947D6"/>
    <w:rsid w:val="275E288B"/>
    <w:rsid w:val="276C4FA7"/>
    <w:rsid w:val="27DD5EA5"/>
    <w:rsid w:val="27E86D24"/>
    <w:rsid w:val="27E9484A"/>
    <w:rsid w:val="27F51441"/>
    <w:rsid w:val="2826784C"/>
    <w:rsid w:val="289447B6"/>
    <w:rsid w:val="28AB5844"/>
    <w:rsid w:val="28B430AA"/>
    <w:rsid w:val="28E514B5"/>
    <w:rsid w:val="28ED2118"/>
    <w:rsid w:val="29DD218D"/>
    <w:rsid w:val="2A043BBD"/>
    <w:rsid w:val="2A44220C"/>
    <w:rsid w:val="2A862824"/>
    <w:rsid w:val="2AC84BEB"/>
    <w:rsid w:val="2AE82B97"/>
    <w:rsid w:val="2AEA3EFB"/>
    <w:rsid w:val="2B287437"/>
    <w:rsid w:val="2B3E6C5B"/>
    <w:rsid w:val="2B65068C"/>
    <w:rsid w:val="2B674404"/>
    <w:rsid w:val="2BAF4EDF"/>
    <w:rsid w:val="2BB67139"/>
    <w:rsid w:val="2BD61589"/>
    <w:rsid w:val="2C3F2C8B"/>
    <w:rsid w:val="2C4B162F"/>
    <w:rsid w:val="2C950AFD"/>
    <w:rsid w:val="2C9F4942"/>
    <w:rsid w:val="2D145EC5"/>
    <w:rsid w:val="2D1B36F8"/>
    <w:rsid w:val="2D4F15F3"/>
    <w:rsid w:val="2D5664DE"/>
    <w:rsid w:val="2DB87198"/>
    <w:rsid w:val="2DC61545"/>
    <w:rsid w:val="2DCD53EF"/>
    <w:rsid w:val="2E243AC3"/>
    <w:rsid w:val="2E2F6D2F"/>
    <w:rsid w:val="2E876B6B"/>
    <w:rsid w:val="2EA65243"/>
    <w:rsid w:val="2EB554F5"/>
    <w:rsid w:val="2EBD433B"/>
    <w:rsid w:val="2EE45D6B"/>
    <w:rsid w:val="2F590507"/>
    <w:rsid w:val="2F860BD0"/>
    <w:rsid w:val="2FBE036A"/>
    <w:rsid w:val="2FD20604"/>
    <w:rsid w:val="301F607B"/>
    <w:rsid w:val="303D3985"/>
    <w:rsid w:val="30CF5E6E"/>
    <w:rsid w:val="30E43E01"/>
    <w:rsid w:val="315947EF"/>
    <w:rsid w:val="31A17E1B"/>
    <w:rsid w:val="31C14142"/>
    <w:rsid w:val="31CA60F3"/>
    <w:rsid w:val="31FE0EF2"/>
    <w:rsid w:val="323E5792"/>
    <w:rsid w:val="32963820"/>
    <w:rsid w:val="32A001FB"/>
    <w:rsid w:val="32AE2918"/>
    <w:rsid w:val="32BF4B25"/>
    <w:rsid w:val="32C959A4"/>
    <w:rsid w:val="33040A4B"/>
    <w:rsid w:val="33217D3D"/>
    <w:rsid w:val="3330505A"/>
    <w:rsid w:val="334D0383"/>
    <w:rsid w:val="335F3C12"/>
    <w:rsid w:val="33792F26"/>
    <w:rsid w:val="338E6DF3"/>
    <w:rsid w:val="339733AC"/>
    <w:rsid w:val="33AB32FB"/>
    <w:rsid w:val="33B95A18"/>
    <w:rsid w:val="33D068BE"/>
    <w:rsid w:val="33EA3E24"/>
    <w:rsid w:val="34160775"/>
    <w:rsid w:val="34205B4A"/>
    <w:rsid w:val="342C61EA"/>
    <w:rsid w:val="346A0AC1"/>
    <w:rsid w:val="34BF705E"/>
    <w:rsid w:val="34C44675"/>
    <w:rsid w:val="34D348B8"/>
    <w:rsid w:val="351A4295"/>
    <w:rsid w:val="355754E9"/>
    <w:rsid w:val="35584DBD"/>
    <w:rsid w:val="35684F0E"/>
    <w:rsid w:val="35696FCA"/>
    <w:rsid w:val="358160C2"/>
    <w:rsid w:val="35F745D6"/>
    <w:rsid w:val="36064819"/>
    <w:rsid w:val="36581519"/>
    <w:rsid w:val="36883480"/>
    <w:rsid w:val="368D6CE8"/>
    <w:rsid w:val="36E20DE2"/>
    <w:rsid w:val="36F01751"/>
    <w:rsid w:val="36F17277"/>
    <w:rsid w:val="370945C1"/>
    <w:rsid w:val="378E2D18"/>
    <w:rsid w:val="379876F3"/>
    <w:rsid w:val="37BD53AB"/>
    <w:rsid w:val="3828316D"/>
    <w:rsid w:val="384635F3"/>
    <w:rsid w:val="38A74091"/>
    <w:rsid w:val="392308A1"/>
    <w:rsid w:val="393331CE"/>
    <w:rsid w:val="39627FB8"/>
    <w:rsid w:val="398253F3"/>
    <w:rsid w:val="39C66799"/>
    <w:rsid w:val="39E9692C"/>
    <w:rsid w:val="3A485400"/>
    <w:rsid w:val="3A575643"/>
    <w:rsid w:val="3A8D72B7"/>
    <w:rsid w:val="3AA34D2C"/>
    <w:rsid w:val="3AB46F3A"/>
    <w:rsid w:val="3AC23843"/>
    <w:rsid w:val="3AD969A0"/>
    <w:rsid w:val="3B567FF1"/>
    <w:rsid w:val="3C4147FD"/>
    <w:rsid w:val="3C5938F5"/>
    <w:rsid w:val="3C5D7CBE"/>
    <w:rsid w:val="3C7649A9"/>
    <w:rsid w:val="3CA1704A"/>
    <w:rsid w:val="3CE27D8E"/>
    <w:rsid w:val="3D0C0967"/>
    <w:rsid w:val="3D4445A5"/>
    <w:rsid w:val="3D453E79"/>
    <w:rsid w:val="3D6764E5"/>
    <w:rsid w:val="3D82119B"/>
    <w:rsid w:val="3D8E5820"/>
    <w:rsid w:val="3D934BE4"/>
    <w:rsid w:val="3DA9265A"/>
    <w:rsid w:val="3DE9514C"/>
    <w:rsid w:val="3E3C1720"/>
    <w:rsid w:val="3E3E3708"/>
    <w:rsid w:val="3E467EA9"/>
    <w:rsid w:val="3E500D27"/>
    <w:rsid w:val="3E7E1019"/>
    <w:rsid w:val="3EA01CAF"/>
    <w:rsid w:val="3EBD52C2"/>
    <w:rsid w:val="3EC84D62"/>
    <w:rsid w:val="3ECD2378"/>
    <w:rsid w:val="3EE17BD1"/>
    <w:rsid w:val="3F0F0BE2"/>
    <w:rsid w:val="3F222C70"/>
    <w:rsid w:val="3F310B59"/>
    <w:rsid w:val="3F397A0D"/>
    <w:rsid w:val="3F4168C2"/>
    <w:rsid w:val="3F536D21"/>
    <w:rsid w:val="3F6F51DD"/>
    <w:rsid w:val="407F58F4"/>
    <w:rsid w:val="40A11D0E"/>
    <w:rsid w:val="40D23C76"/>
    <w:rsid w:val="40D95004"/>
    <w:rsid w:val="40F57964"/>
    <w:rsid w:val="414A7CB0"/>
    <w:rsid w:val="41840C58"/>
    <w:rsid w:val="41BC0943"/>
    <w:rsid w:val="41D659E7"/>
    <w:rsid w:val="42417305"/>
    <w:rsid w:val="425F3C2F"/>
    <w:rsid w:val="42BA2C13"/>
    <w:rsid w:val="42F02AD9"/>
    <w:rsid w:val="43193DDE"/>
    <w:rsid w:val="431C38CE"/>
    <w:rsid w:val="43566DE0"/>
    <w:rsid w:val="43D30430"/>
    <w:rsid w:val="43E268C5"/>
    <w:rsid w:val="43EA577A"/>
    <w:rsid w:val="43EF0FE2"/>
    <w:rsid w:val="443A55A1"/>
    <w:rsid w:val="444B446B"/>
    <w:rsid w:val="445157F9"/>
    <w:rsid w:val="445552E9"/>
    <w:rsid w:val="44753296"/>
    <w:rsid w:val="44DD564F"/>
    <w:rsid w:val="4554734F"/>
    <w:rsid w:val="45725A27"/>
    <w:rsid w:val="45992FB4"/>
    <w:rsid w:val="45CC5137"/>
    <w:rsid w:val="45E32481"/>
    <w:rsid w:val="45F75F2C"/>
    <w:rsid w:val="46144D30"/>
    <w:rsid w:val="466A2DB8"/>
    <w:rsid w:val="46733CB9"/>
    <w:rsid w:val="4674757D"/>
    <w:rsid w:val="4689127A"/>
    <w:rsid w:val="46A2058E"/>
    <w:rsid w:val="46C6602A"/>
    <w:rsid w:val="46DC584E"/>
    <w:rsid w:val="47136D96"/>
    <w:rsid w:val="475A6773"/>
    <w:rsid w:val="47705F96"/>
    <w:rsid w:val="4786146B"/>
    <w:rsid w:val="47975C19"/>
    <w:rsid w:val="47D6611B"/>
    <w:rsid w:val="483D40CA"/>
    <w:rsid w:val="484624D9"/>
    <w:rsid w:val="48C90054"/>
    <w:rsid w:val="48F826E7"/>
    <w:rsid w:val="491A440C"/>
    <w:rsid w:val="491C0184"/>
    <w:rsid w:val="49FC1D63"/>
    <w:rsid w:val="4A2D5561"/>
    <w:rsid w:val="4A8D1509"/>
    <w:rsid w:val="4AD351BA"/>
    <w:rsid w:val="4B2C0426"/>
    <w:rsid w:val="4B906C07"/>
    <w:rsid w:val="4BD74836"/>
    <w:rsid w:val="4BFC604B"/>
    <w:rsid w:val="4C1B2975"/>
    <w:rsid w:val="4C51283A"/>
    <w:rsid w:val="4C5B0FC3"/>
    <w:rsid w:val="4C8C3872"/>
    <w:rsid w:val="4CA961D2"/>
    <w:rsid w:val="4CB22BAD"/>
    <w:rsid w:val="4CD60F91"/>
    <w:rsid w:val="4D790AA7"/>
    <w:rsid w:val="4DBC0187"/>
    <w:rsid w:val="4E191136"/>
    <w:rsid w:val="4E192EE4"/>
    <w:rsid w:val="4E2D698F"/>
    <w:rsid w:val="4E507D60"/>
    <w:rsid w:val="4E573A0C"/>
    <w:rsid w:val="4E604FB7"/>
    <w:rsid w:val="4E61488B"/>
    <w:rsid w:val="4E7E368F"/>
    <w:rsid w:val="4EC310A1"/>
    <w:rsid w:val="4EDD03B5"/>
    <w:rsid w:val="4EE259CC"/>
    <w:rsid w:val="4EFB03B7"/>
    <w:rsid w:val="4F9662F5"/>
    <w:rsid w:val="4FA04700"/>
    <w:rsid w:val="4FB54E8E"/>
    <w:rsid w:val="4FB8672C"/>
    <w:rsid w:val="4FD5108C"/>
    <w:rsid w:val="4FDC066D"/>
    <w:rsid w:val="5036414A"/>
    <w:rsid w:val="506F14E1"/>
    <w:rsid w:val="50CA6717"/>
    <w:rsid w:val="50E852F5"/>
    <w:rsid w:val="512A5408"/>
    <w:rsid w:val="51577749"/>
    <w:rsid w:val="51B66C9C"/>
    <w:rsid w:val="51F6353C"/>
    <w:rsid w:val="52021EE1"/>
    <w:rsid w:val="520F1215"/>
    <w:rsid w:val="52364105"/>
    <w:rsid w:val="52395855"/>
    <w:rsid w:val="529D436B"/>
    <w:rsid w:val="52BE15A7"/>
    <w:rsid w:val="52C553E8"/>
    <w:rsid w:val="530879CB"/>
    <w:rsid w:val="532701D3"/>
    <w:rsid w:val="53513120"/>
    <w:rsid w:val="537F5EDF"/>
    <w:rsid w:val="53CC6C4A"/>
    <w:rsid w:val="53FB7CF8"/>
    <w:rsid w:val="540C3BAA"/>
    <w:rsid w:val="5450525A"/>
    <w:rsid w:val="546155E5"/>
    <w:rsid w:val="546926EB"/>
    <w:rsid w:val="54776BB6"/>
    <w:rsid w:val="54BF40B9"/>
    <w:rsid w:val="54D062C6"/>
    <w:rsid w:val="5507618C"/>
    <w:rsid w:val="55124B31"/>
    <w:rsid w:val="55256612"/>
    <w:rsid w:val="553E5EF1"/>
    <w:rsid w:val="558E065B"/>
    <w:rsid w:val="55CC1183"/>
    <w:rsid w:val="55D122F6"/>
    <w:rsid w:val="55FD30EB"/>
    <w:rsid w:val="56264C19"/>
    <w:rsid w:val="565A22EB"/>
    <w:rsid w:val="568A7075"/>
    <w:rsid w:val="56A84A65"/>
    <w:rsid w:val="56B55774"/>
    <w:rsid w:val="56B91708"/>
    <w:rsid w:val="56E46059"/>
    <w:rsid w:val="573945F7"/>
    <w:rsid w:val="579C7046"/>
    <w:rsid w:val="57A777B2"/>
    <w:rsid w:val="57B629BC"/>
    <w:rsid w:val="57C9597B"/>
    <w:rsid w:val="57EA09E0"/>
    <w:rsid w:val="582C5F09"/>
    <w:rsid w:val="585F008D"/>
    <w:rsid w:val="58670CF0"/>
    <w:rsid w:val="58726012"/>
    <w:rsid w:val="58823D7B"/>
    <w:rsid w:val="5919648E"/>
    <w:rsid w:val="59254E33"/>
    <w:rsid w:val="59585D49"/>
    <w:rsid w:val="596C2A61"/>
    <w:rsid w:val="59832773"/>
    <w:rsid w:val="59C503C4"/>
    <w:rsid w:val="59F33F8E"/>
    <w:rsid w:val="5A8E2EAB"/>
    <w:rsid w:val="5ABD109B"/>
    <w:rsid w:val="5ACB7C5C"/>
    <w:rsid w:val="5ADF1011"/>
    <w:rsid w:val="5B42213D"/>
    <w:rsid w:val="5B6D486F"/>
    <w:rsid w:val="5B792C96"/>
    <w:rsid w:val="5BC30933"/>
    <w:rsid w:val="5BD82630"/>
    <w:rsid w:val="5C961BA3"/>
    <w:rsid w:val="5D46181B"/>
    <w:rsid w:val="5D624021"/>
    <w:rsid w:val="5DAB24DE"/>
    <w:rsid w:val="5DE80B25"/>
    <w:rsid w:val="5DF23751"/>
    <w:rsid w:val="5E2D01BF"/>
    <w:rsid w:val="5E714676"/>
    <w:rsid w:val="5EB033F0"/>
    <w:rsid w:val="5EC944B2"/>
    <w:rsid w:val="5F2B2A77"/>
    <w:rsid w:val="5F772160"/>
    <w:rsid w:val="5FB46F10"/>
    <w:rsid w:val="5FCF78A6"/>
    <w:rsid w:val="60327E35"/>
    <w:rsid w:val="60737825"/>
    <w:rsid w:val="60B30F76"/>
    <w:rsid w:val="61500EBB"/>
    <w:rsid w:val="617A5607"/>
    <w:rsid w:val="618C17C7"/>
    <w:rsid w:val="619F14FA"/>
    <w:rsid w:val="61A42074"/>
    <w:rsid w:val="61C827FF"/>
    <w:rsid w:val="621243C2"/>
    <w:rsid w:val="62265778"/>
    <w:rsid w:val="622A34BA"/>
    <w:rsid w:val="62B72874"/>
    <w:rsid w:val="62EA0E9B"/>
    <w:rsid w:val="62F87114"/>
    <w:rsid w:val="63381C06"/>
    <w:rsid w:val="636C4F67"/>
    <w:rsid w:val="639037F0"/>
    <w:rsid w:val="639F3A33"/>
    <w:rsid w:val="63A66B70"/>
    <w:rsid w:val="63D3192F"/>
    <w:rsid w:val="63FC41B5"/>
    <w:rsid w:val="64CF239C"/>
    <w:rsid w:val="64D92F75"/>
    <w:rsid w:val="650411B8"/>
    <w:rsid w:val="650A67C2"/>
    <w:rsid w:val="652C3B59"/>
    <w:rsid w:val="654A5C21"/>
    <w:rsid w:val="656E190F"/>
    <w:rsid w:val="656E7B61"/>
    <w:rsid w:val="65A45331"/>
    <w:rsid w:val="65F22540"/>
    <w:rsid w:val="65FF6A0B"/>
    <w:rsid w:val="66214BD4"/>
    <w:rsid w:val="66293A88"/>
    <w:rsid w:val="663743F7"/>
    <w:rsid w:val="664A412A"/>
    <w:rsid w:val="66512A3B"/>
    <w:rsid w:val="668A09CB"/>
    <w:rsid w:val="66B23A7E"/>
    <w:rsid w:val="66B5531C"/>
    <w:rsid w:val="66C832A1"/>
    <w:rsid w:val="670342D9"/>
    <w:rsid w:val="67226CAF"/>
    <w:rsid w:val="675114E9"/>
    <w:rsid w:val="67E4410B"/>
    <w:rsid w:val="680622D3"/>
    <w:rsid w:val="68144371"/>
    <w:rsid w:val="68541290"/>
    <w:rsid w:val="68550B65"/>
    <w:rsid w:val="68555008"/>
    <w:rsid w:val="687A681D"/>
    <w:rsid w:val="68866F70"/>
    <w:rsid w:val="68B43ADD"/>
    <w:rsid w:val="68C1444C"/>
    <w:rsid w:val="68C53F3C"/>
    <w:rsid w:val="691B3B5C"/>
    <w:rsid w:val="692D388F"/>
    <w:rsid w:val="693F67DB"/>
    <w:rsid w:val="695157D0"/>
    <w:rsid w:val="699102C2"/>
    <w:rsid w:val="69BE41E9"/>
    <w:rsid w:val="69BF098B"/>
    <w:rsid w:val="69C441F4"/>
    <w:rsid w:val="69CC30A8"/>
    <w:rsid w:val="69E00902"/>
    <w:rsid w:val="69EC54F9"/>
    <w:rsid w:val="6A2D2985"/>
    <w:rsid w:val="6A303637"/>
    <w:rsid w:val="6A4F0C43"/>
    <w:rsid w:val="6A6B2F03"/>
    <w:rsid w:val="6AD55F8D"/>
    <w:rsid w:val="6AFE3735"/>
    <w:rsid w:val="6B4F3F91"/>
    <w:rsid w:val="6B741C4A"/>
    <w:rsid w:val="6B916358"/>
    <w:rsid w:val="6BAF67DE"/>
    <w:rsid w:val="6BC303ED"/>
    <w:rsid w:val="6BEA3CBA"/>
    <w:rsid w:val="6C1B2A2F"/>
    <w:rsid w:val="6C24541E"/>
    <w:rsid w:val="6C5A2BED"/>
    <w:rsid w:val="6CAB3449"/>
    <w:rsid w:val="6CC62031"/>
    <w:rsid w:val="6CDC7AA6"/>
    <w:rsid w:val="6D107750"/>
    <w:rsid w:val="6D1F1741"/>
    <w:rsid w:val="6DC81DD9"/>
    <w:rsid w:val="6E163071"/>
    <w:rsid w:val="6E6B7334"/>
    <w:rsid w:val="6EA2262A"/>
    <w:rsid w:val="6EB8009F"/>
    <w:rsid w:val="6EC10D02"/>
    <w:rsid w:val="6F377216"/>
    <w:rsid w:val="6F523A44"/>
    <w:rsid w:val="6FA10B33"/>
    <w:rsid w:val="6FC36CFC"/>
    <w:rsid w:val="6FD74555"/>
    <w:rsid w:val="7004359C"/>
    <w:rsid w:val="70583472"/>
    <w:rsid w:val="7082657D"/>
    <w:rsid w:val="70914805"/>
    <w:rsid w:val="70A42689"/>
    <w:rsid w:val="70FD1698"/>
    <w:rsid w:val="71347EB1"/>
    <w:rsid w:val="715F2A54"/>
    <w:rsid w:val="717402AD"/>
    <w:rsid w:val="71A1306D"/>
    <w:rsid w:val="71AB7A47"/>
    <w:rsid w:val="71DC4CD5"/>
    <w:rsid w:val="728564EA"/>
    <w:rsid w:val="72C2329A"/>
    <w:rsid w:val="72F42FFF"/>
    <w:rsid w:val="72F53670"/>
    <w:rsid w:val="733A4FAC"/>
    <w:rsid w:val="733E6DC5"/>
    <w:rsid w:val="7419513C"/>
    <w:rsid w:val="744D0FEF"/>
    <w:rsid w:val="745443C6"/>
    <w:rsid w:val="74583EB6"/>
    <w:rsid w:val="74677F10"/>
    <w:rsid w:val="74AC0094"/>
    <w:rsid w:val="74AF784E"/>
    <w:rsid w:val="74C1539A"/>
    <w:rsid w:val="75530AA3"/>
    <w:rsid w:val="755723C0"/>
    <w:rsid w:val="75B61AC7"/>
    <w:rsid w:val="75BD5DE9"/>
    <w:rsid w:val="766034F6"/>
    <w:rsid w:val="766823AB"/>
    <w:rsid w:val="76C75A2B"/>
    <w:rsid w:val="76F35877"/>
    <w:rsid w:val="76FB321F"/>
    <w:rsid w:val="775C6065"/>
    <w:rsid w:val="77813724"/>
    <w:rsid w:val="779A6594"/>
    <w:rsid w:val="77C90C27"/>
    <w:rsid w:val="77FC0FFD"/>
    <w:rsid w:val="783469E8"/>
    <w:rsid w:val="78941235"/>
    <w:rsid w:val="78DE6954"/>
    <w:rsid w:val="78FE2B52"/>
    <w:rsid w:val="79226841"/>
    <w:rsid w:val="792B3272"/>
    <w:rsid w:val="79434B6A"/>
    <w:rsid w:val="79674B9C"/>
    <w:rsid w:val="798A3080"/>
    <w:rsid w:val="798E6F83"/>
    <w:rsid w:val="79D20267"/>
    <w:rsid w:val="79E63D12"/>
    <w:rsid w:val="7A3A405E"/>
    <w:rsid w:val="7A4D5B40"/>
    <w:rsid w:val="7A6530F5"/>
    <w:rsid w:val="7A74131E"/>
    <w:rsid w:val="7AD015C2"/>
    <w:rsid w:val="7AD41DBD"/>
    <w:rsid w:val="7AE71AF0"/>
    <w:rsid w:val="7B113011"/>
    <w:rsid w:val="7B2819F1"/>
    <w:rsid w:val="7B2F5245"/>
    <w:rsid w:val="7B564EC8"/>
    <w:rsid w:val="7B786BEC"/>
    <w:rsid w:val="7BBA17B0"/>
    <w:rsid w:val="7C051BB9"/>
    <w:rsid w:val="7C0E7550"/>
    <w:rsid w:val="7C442F72"/>
    <w:rsid w:val="7C9B5288"/>
    <w:rsid w:val="7CA7776D"/>
    <w:rsid w:val="7CF77FE5"/>
    <w:rsid w:val="7CF95B0B"/>
    <w:rsid w:val="7D605B8A"/>
    <w:rsid w:val="7D641299"/>
    <w:rsid w:val="7DE467BB"/>
    <w:rsid w:val="7E5C27F5"/>
    <w:rsid w:val="7E755665"/>
    <w:rsid w:val="7EBE525E"/>
    <w:rsid w:val="7F54171E"/>
    <w:rsid w:val="7F673200"/>
    <w:rsid w:val="7F871AF4"/>
    <w:rsid w:val="7F963AE5"/>
    <w:rsid w:val="7FCE327F"/>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Times New Roman" w:hAnsi="Times New Roman" w:eastAsia="宋体"/>
    </w:rPr>
  </w:style>
  <w:style w:type="paragraph" w:styleId="3">
    <w:name w:val="Body Text First Indent"/>
    <w:basedOn w:val="2"/>
    <w:qFormat/>
    <w:uiPriority w:val="0"/>
    <w:pPr>
      <w:ind w:firstLine="420" w:firstLineChars="100"/>
    </w:p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kern w:val="2"/>
      <w:sz w:val="18"/>
      <w:szCs w:val="18"/>
    </w:rPr>
  </w:style>
  <w:style w:type="character" w:customStyle="1" w:styleId="13">
    <w:name w:val="页脚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3656</Words>
  <Characters>3814</Characters>
  <Lines>2</Lines>
  <Paragraphs>1</Paragraphs>
  <TotalTime>1</TotalTime>
  <ScaleCrop>false</ScaleCrop>
  <LinksUpToDate>false</LinksUpToDate>
  <CharactersWithSpaces>3897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2023-05-17T02:34:00Z</dcterms:created>
  <dc:creator>Administrator</dc:creator>
  <cp:lastModifiedBy>Administrator</cp:lastModifiedBy>
  <cp:lastPrinted>2024-05-24T02:00:00Z</cp:lastPrinted>
  <dcterms:modified xsi:type="dcterms:W3CDTF">2025-09-23T08:34:28Z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ECF7A86F1F4F42F4B16A01112F31CB00_11</vt:lpwstr>
  </property>
</Properties>
</file>