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jc w:val="both"/>
        <w:rPr>
          <w:rFonts w:hAnsi="黑体"/>
          <w:sz w:val="36"/>
          <w:szCs w:val="36"/>
        </w:rPr>
      </w:pPr>
    </w:p>
    <w:p>
      <w:pPr>
        <w:pStyle w:val="15"/>
        <w:jc w:val="center"/>
        <w:rPr>
          <w:rFonts w:ascii="Times New Roman" w:hAnsi="Times New Roman" w:cs="Times New Roman"/>
          <w:sz w:val="56"/>
          <w:szCs w:val="56"/>
        </w:rPr>
      </w:pPr>
    </w:p>
    <w:p>
      <w:pPr>
        <w:pStyle w:val="15"/>
        <w:jc w:val="center"/>
        <w:rPr>
          <w:rFonts w:ascii="Times New Roman" w:hAnsi="Times New Roman" w:cs="Times New Roman"/>
          <w:sz w:val="84"/>
          <w:szCs w:val="84"/>
        </w:rPr>
      </w:pPr>
    </w:p>
    <w:p>
      <w:pPr>
        <w:pStyle w:val="15"/>
        <w:jc w:val="center"/>
        <w:rPr>
          <w:rFonts w:ascii="Times New Roman" w:hAnsi="Times New Roman" w:cs="Times New Roman"/>
          <w:sz w:val="84"/>
          <w:szCs w:val="84"/>
        </w:rPr>
      </w:pPr>
    </w:p>
    <w:p>
      <w:pPr>
        <w:pStyle w:val="15"/>
        <w:jc w:val="center"/>
        <w:rPr>
          <w:rFonts w:hint="eastAsia" w:ascii="Times New Roman" w:hAnsi="Times New Roman" w:eastAsia="方正小标宋简体" w:cs="Times New Roman"/>
          <w:sz w:val="72"/>
          <w:szCs w:val="72"/>
          <w:lang w:eastAsia="zh-CN"/>
        </w:rPr>
      </w:pPr>
      <w:r>
        <w:rPr>
          <w:rFonts w:ascii="Times New Roman" w:hAnsi="Times New Roman" w:eastAsia="方正小标宋简体" w:cs="Times New Roman"/>
          <w:sz w:val="72"/>
          <w:szCs w:val="72"/>
        </w:rPr>
        <w:t>2024年度</w:t>
      </w:r>
      <w:r>
        <w:rPr>
          <w:rFonts w:hint="eastAsia" w:ascii="Times New Roman" w:hAnsi="Times New Roman" w:eastAsia="方正小标宋简体" w:cs="Times New Roman"/>
          <w:sz w:val="72"/>
          <w:szCs w:val="72"/>
          <w:lang w:eastAsia="zh-CN"/>
        </w:rPr>
        <w:t>祁阳市</w:t>
      </w:r>
    </w:p>
    <w:p>
      <w:pPr>
        <w:pStyle w:val="15"/>
        <w:jc w:val="center"/>
        <w:rPr>
          <w:rFonts w:ascii="Times New Roman" w:hAnsi="Times New Roman" w:eastAsia="方正小标宋简体" w:cs="Times New Roman"/>
          <w:sz w:val="72"/>
          <w:szCs w:val="72"/>
        </w:rPr>
      </w:pPr>
      <w:r>
        <w:rPr>
          <w:rFonts w:hint="eastAsia" w:ascii="Times New Roman" w:hAnsi="Times New Roman" w:eastAsia="方正小标宋简体" w:cs="Times New Roman"/>
          <w:sz w:val="72"/>
          <w:szCs w:val="72"/>
          <w:lang w:eastAsia="zh-CN"/>
        </w:rPr>
        <w:t>农村经营服务站</w:t>
      </w:r>
      <w:r>
        <w:rPr>
          <w:rFonts w:ascii="Times New Roman" w:hAnsi="Times New Roman" w:eastAsia="方正小标宋简体" w:cs="Times New Roman"/>
          <w:sz w:val="72"/>
          <w:szCs w:val="72"/>
        </w:rPr>
        <w:t>部门决算</w:t>
      </w:r>
    </w:p>
    <w:p>
      <w:pPr>
        <w:pStyle w:val="15"/>
        <w:jc w:val="center"/>
        <w:rPr>
          <w:rFonts w:ascii="Times New Roman" w:hAnsi="Times New Roman" w:eastAsia="方正小标宋_GBK" w:cs="Times New Roman"/>
          <w:sz w:val="56"/>
          <w:szCs w:val="56"/>
        </w:rPr>
      </w:pPr>
    </w:p>
    <w:p>
      <w:pPr>
        <w:pStyle w:val="15"/>
        <w:jc w:val="center"/>
        <w:rPr>
          <w:rFonts w:ascii="Times New Roman" w:hAnsi="Times New Roman" w:cs="Times New Roman"/>
          <w:sz w:val="56"/>
          <w:szCs w:val="56"/>
        </w:rPr>
      </w:pPr>
    </w:p>
    <w:p>
      <w:pPr>
        <w:pStyle w:val="15"/>
        <w:rPr>
          <w:rFonts w:ascii="Times New Roman" w:hAnsi="Times New Roman" w:cs="Times New Roman"/>
          <w:sz w:val="56"/>
          <w:szCs w:val="56"/>
        </w:rPr>
      </w:pPr>
    </w:p>
    <w:p>
      <w:pPr>
        <w:pStyle w:val="15"/>
        <w:jc w:val="center"/>
        <w:rPr>
          <w:rFonts w:ascii="Times New Roman" w:hAnsi="Times New Roman" w:cs="Times New Roman"/>
          <w:sz w:val="32"/>
          <w:szCs w:val="32"/>
        </w:rPr>
      </w:pPr>
    </w:p>
    <w:p>
      <w:pPr>
        <w:pStyle w:val="15"/>
        <w:jc w:val="center"/>
        <w:rPr>
          <w:rFonts w:ascii="Times New Roman" w:hAnsi="Times New Roman" w:cs="Times New Roman"/>
          <w:sz w:val="32"/>
          <w:szCs w:val="32"/>
        </w:rPr>
      </w:pPr>
    </w:p>
    <w:p>
      <w:pPr>
        <w:pStyle w:val="15"/>
        <w:jc w:val="center"/>
        <w:rPr>
          <w:rFonts w:ascii="Times New Roman" w:hAnsi="Times New Roman" w:cs="Times New Roman"/>
          <w:sz w:val="32"/>
          <w:szCs w:val="32"/>
        </w:rPr>
      </w:pPr>
    </w:p>
    <w:p>
      <w:pPr>
        <w:pStyle w:val="15"/>
        <w:jc w:val="center"/>
        <w:rPr>
          <w:rFonts w:ascii="Times New Roman" w:hAnsi="Times New Roman" w:cs="Times New Roman"/>
          <w:sz w:val="32"/>
          <w:szCs w:val="32"/>
        </w:rPr>
      </w:pPr>
    </w:p>
    <w:p>
      <w:pPr>
        <w:pStyle w:val="15"/>
        <w:jc w:val="center"/>
        <w:rPr>
          <w:rFonts w:ascii="Times New Roman" w:hAnsi="Times New Roman" w:cs="Times New Roman"/>
          <w:sz w:val="32"/>
          <w:szCs w:val="32"/>
        </w:rPr>
      </w:pPr>
    </w:p>
    <w:p>
      <w:pPr>
        <w:pStyle w:val="15"/>
        <w:jc w:val="center"/>
        <w:rPr>
          <w:rFonts w:ascii="Times New Roman" w:hAnsi="Times New Roman" w:cs="Times New Roman"/>
          <w:sz w:val="32"/>
          <w:szCs w:val="32"/>
        </w:rPr>
      </w:pPr>
    </w:p>
    <w:p>
      <w:pPr>
        <w:rPr>
          <w:rFonts w:ascii="Times New Roman" w:hAnsi="Times New Roman" w:cs="Times New Roman"/>
          <w:b/>
          <w:sz w:val="36"/>
          <w:szCs w:val="28"/>
        </w:rPr>
        <w:sectPr>
          <w:pgSz w:w="11906" w:h="16838"/>
          <w:pgMar w:top="1417" w:right="1588" w:bottom="1417" w:left="1588" w:header="851" w:footer="992" w:gutter="0"/>
          <w:cols w:space="425" w:num="1"/>
          <w:docGrid w:type="lines" w:linePitch="312" w:charSpace="0"/>
        </w:sectPr>
      </w:pPr>
    </w:p>
    <w:p>
      <w:pPr>
        <w:pStyle w:val="15"/>
        <w:spacing w:line="600" w:lineRule="exact"/>
        <w:jc w:val="both"/>
        <w:rPr>
          <w:rFonts w:ascii="Times New Roman" w:hAnsi="Times New Roman" w:cs="Times New Roman"/>
          <w:b/>
          <w:sz w:val="36"/>
          <w:szCs w:val="28"/>
        </w:rPr>
      </w:pPr>
    </w:p>
    <w:p>
      <w:pPr>
        <w:pStyle w:val="15"/>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pPr>
        <w:pStyle w:val="15"/>
        <w:spacing w:line="600" w:lineRule="exact"/>
        <w:jc w:val="center"/>
        <w:rPr>
          <w:rFonts w:ascii="Times New Roman" w:hAnsi="Times New Roman" w:cs="Times New Roman"/>
          <w:b/>
          <w:sz w:val="36"/>
          <w:szCs w:val="28"/>
        </w:rPr>
      </w:pPr>
    </w:p>
    <w:p>
      <w:pPr>
        <w:pStyle w:val="15"/>
        <w:spacing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lang w:eastAsia="zh-CN"/>
        </w:rPr>
        <w:t>祁阳市农村经营服务站</w:t>
      </w:r>
      <w:r>
        <w:rPr>
          <w:rFonts w:ascii="Times New Roman" w:hAnsi="Times New Roman" w:cs="Times New Roman"/>
          <w:bCs/>
          <w:sz w:val="32"/>
          <w:szCs w:val="32"/>
        </w:rPr>
        <w:t>部门概况</w:t>
      </w:r>
    </w:p>
    <w:p>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pPr>
        <w:pStyle w:val="15"/>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pPr>
        <w:pStyle w:val="15"/>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3" w:type="default"/>
          <w:pgSz w:w="11906" w:h="16838"/>
          <w:pgMar w:top="1417" w:right="1588" w:bottom="1417" w:left="1588" w:header="851" w:footer="992" w:gutter="0"/>
          <w:pgNumType w:start="1"/>
          <w:cols w:space="425" w:num="1"/>
          <w:docGrid w:type="lines" w:linePitch="312" w:charSpace="0"/>
        </w:sectPr>
      </w:pP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九、关于机关运行经费支出说明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十、一般性支出情况说明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十一、关于政府采购支出说明</w:t>
      </w:r>
    </w:p>
    <w:p>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十二、关于国有资产占用情况说明</w:t>
      </w:r>
    </w:p>
    <w:p>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十三、关于2024年度预算绩效管理情况的说明</w:t>
      </w:r>
    </w:p>
    <w:p>
      <w:pPr>
        <w:pStyle w:val="15"/>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pPr>
        <w:pStyle w:val="15"/>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pPr>
        <w:pStyle w:val="15"/>
        <w:spacing w:line="600" w:lineRule="exact"/>
        <w:rPr>
          <w:rFonts w:ascii="Times New Roman" w:hAnsi="Times New Roman" w:cs="Times New Roman"/>
          <w:bCs/>
          <w:sz w:val="28"/>
          <w:szCs w:val="28"/>
        </w:rPr>
      </w:pPr>
    </w:p>
    <w:p>
      <w:pPr>
        <w:jc w:val="center"/>
        <w:rPr>
          <w:rFonts w:ascii="Times New Roman" w:hAnsi="Times New Roman" w:cs="Times New Roman"/>
          <w:sz w:val="72"/>
          <w:szCs w:val="72"/>
        </w:rPr>
      </w:pPr>
    </w:p>
    <w:p>
      <w:pPr>
        <w:jc w:val="center"/>
        <w:rPr>
          <w:rFonts w:ascii="Times New Roman" w:hAnsi="Times New Roman" w:cs="Times New Roman"/>
          <w:sz w:val="72"/>
          <w:szCs w:val="72"/>
        </w:rPr>
      </w:pPr>
    </w:p>
    <w:p>
      <w:pPr>
        <w:jc w:val="center"/>
        <w:rPr>
          <w:rFonts w:ascii="Times New Roman" w:hAnsi="Times New Roman" w:cs="Times New Roman"/>
          <w:sz w:val="72"/>
          <w:szCs w:val="72"/>
        </w:rPr>
      </w:pPr>
    </w:p>
    <w:p>
      <w:pPr>
        <w:pStyle w:val="9"/>
        <w:rPr>
          <w:rFonts w:ascii="Times New Roman" w:hAnsi="Times New Roman" w:cs="Times New Roman"/>
        </w:rPr>
        <w:sectPr>
          <w:footerReference r:id="rId4" w:type="default"/>
          <w:pgSz w:w="11906" w:h="16838"/>
          <w:pgMar w:top="1417" w:right="1588" w:bottom="1417" w:left="1588" w:header="851" w:footer="992" w:gutter="0"/>
          <w:pgNumType w:start="1"/>
          <w:cols w:space="425" w:num="1"/>
          <w:docGrid w:type="lines" w:linePitch="312" w:charSpace="0"/>
        </w:sectPr>
      </w:pPr>
    </w:p>
    <w:p>
      <w:pPr>
        <w:rPr>
          <w:rFonts w:ascii="Times New Roman" w:hAnsi="Times New Roman" w:eastAsia="方正小标宋_GBK" w:cs="Times New Roman"/>
          <w:sz w:val="72"/>
          <w:szCs w:val="72"/>
        </w:rPr>
      </w:pPr>
    </w:p>
    <w:p>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pPr>
        <w:pStyle w:val="15"/>
        <w:spacing w:line="360" w:lineRule="auto"/>
        <w:jc w:val="center"/>
        <w:rPr>
          <w:rFonts w:ascii="Times New Roman" w:hAnsi="Times New Roman" w:eastAsia="方正小标宋_GBK" w:cs="Times New Roman"/>
          <w:sz w:val="52"/>
          <w:szCs w:val="52"/>
        </w:rPr>
      </w:pPr>
      <w:bookmarkStart w:id="0" w:name="OLE_LINK1"/>
      <w:r>
        <w:rPr>
          <w:rFonts w:hint="eastAsia" w:ascii="Times New Roman" w:hAnsi="Times New Roman" w:eastAsia="方正小标宋_GBK" w:cs="Times New Roman"/>
          <w:sz w:val="52"/>
          <w:szCs w:val="52"/>
          <w:lang w:eastAsia="zh-CN"/>
        </w:rPr>
        <w:t>祁阳市农村经营服务站</w:t>
      </w:r>
      <w:bookmarkEnd w:id="0"/>
      <w:r>
        <w:rPr>
          <w:rFonts w:ascii="Times New Roman" w:hAnsi="Times New Roman" w:eastAsia="方正小标宋_GBK" w:cs="Times New Roman"/>
          <w:sz w:val="52"/>
          <w:szCs w:val="52"/>
        </w:rPr>
        <w:t>概况</w:t>
      </w:r>
    </w:p>
    <w:p>
      <w:pPr>
        <w:pStyle w:val="5"/>
        <w:ind w:left="0" w:leftChars="0" w:firstLine="0" w:firstLineChars="0"/>
        <w:rPr>
          <w:rFonts w:ascii="Times New Roman" w:hAnsi="Times New Roman" w:cs="Times New Roman"/>
        </w:rPr>
      </w:pPr>
    </w:p>
    <w:p>
      <w:pPr>
        <w:pStyle w:val="16"/>
        <w:spacing w:line="60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pPr>
        <w:snapToGrid w:val="0"/>
        <w:spacing w:line="520" w:lineRule="exact"/>
        <w:ind w:firstLine="640" w:firstLineChars="200"/>
        <w:rPr>
          <w:rFonts w:hint="eastAsia" w:ascii="仿宋" w:hAnsi="Times New Roman" w:eastAsia="仿宋" w:cs="仿宋"/>
          <w:sz w:val="32"/>
          <w:szCs w:val="32"/>
        </w:rPr>
      </w:pPr>
      <w:r>
        <w:rPr>
          <w:rFonts w:ascii="Times New Roman" w:hAnsi="Times New Roman" w:eastAsia="仿宋_GB2312" w:cs="Times New Roman"/>
          <w:sz w:val="32"/>
          <w:szCs w:val="32"/>
        </w:rPr>
        <w:t>（一）</w:t>
      </w:r>
      <w:r>
        <w:rPr>
          <w:rFonts w:hint="eastAsia" w:ascii="仿宋" w:hAnsi="Times New Roman" w:eastAsia="仿宋" w:cs="仿宋"/>
          <w:sz w:val="32"/>
          <w:szCs w:val="32"/>
        </w:rPr>
        <w:t>负责提出稳定和完善家庭承包经营为主的责任制和统分结合的双层经营体制的意见。</w:t>
      </w:r>
    </w:p>
    <w:p>
      <w:pPr>
        <w:snapToGrid w:val="0"/>
        <w:spacing w:line="520" w:lineRule="exact"/>
        <w:ind w:firstLine="640" w:firstLineChars="200"/>
        <w:rPr>
          <w:rFonts w:hint="eastAsia" w:ascii="仿宋" w:hAnsi="Times New Roman" w:eastAsia="仿宋" w:cs="仿宋"/>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二</w:t>
      </w:r>
      <w:r>
        <w:rPr>
          <w:rFonts w:ascii="Times New Roman" w:hAnsi="Times New Roman" w:eastAsia="仿宋_GB2312" w:cs="Times New Roman"/>
          <w:sz w:val="32"/>
          <w:szCs w:val="32"/>
        </w:rPr>
        <w:t>）</w:t>
      </w:r>
      <w:r>
        <w:rPr>
          <w:rFonts w:hint="eastAsia" w:ascii="仿宋" w:hAnsi="Times New Roman" w:eastAsia="仿宋" w:cs="仿宋"/>
          <w:sz w:val="32"/>
          <w:szCs w:val="32"/>
        </w:rPr>
        <w:t>负责农村土地承包管理。做好农村土地承包经营权确权颁证工作，稳定和完善农村土地承包关系；指导规范农村土地使用权流转工作；指导农村承包合同签订、鉴证、变更以及农村承包合同纠纷调解、仲裁工作，推进农村土地承包经营权健康有序流转。</w:t>
      </w:r>
    </w:p>
    <w:p>
      <w:pPr>
        <w:snapToGrid w:val="0"/>
        <w:spacing w:line="520" w:lineRule="exact"/>
        <w:ind w:firstLine="640" w:firstLineChars="200"/>
        <w:rPr>
          <w:rFonts w:hint="eastAsia" w:ascii="仿宋" w:hAnsi="Times New Roman" w:eastAsia="仿宋" w:cs="仿宋"/>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三</w:t>
      </w:r>
      <w:r>
        <w:rPr>
          <w:rFonts w:ascii="Times New Roman" w:hAnsi="Times New Roman" w:eastAsia="仿宋_GB2312" w:cs="Times New Roman"/>
          <w:sz w:val="32"/>
          <w:szCs w:val="32"/>
        </w:rPr>
        <w:t>）</w:t>
      </w:r>
      <w:r>
        <w:rPr>
          <w:rFonts w:hint="eastAsia" w:ascii="仿宋" w:hAnsi="Times New Roman" w:eastAsia="仿宋" w:cs="仿宋"/>
          <w:sz w:val="32"/>
          <w:szCs w:val="32"/>
        </w:rPr>
        <w:t>负责农民负担监督管理。宣传贯彻国家农民负担监督管理的法律、法规和政策；组织对乡村</w:t>
      </w:r>
      <w:r>
        <w:rPr>
          <w:rFonts w:ascii="仿宋" w:hAnsi="Times New Roman" w:eastAsia="仿宋" w:cs="仿宋"/>
          <w:sz w:val="32"/>
          <w:szCs w:val="32"/>
        </w:rPr>
        <w:t xml:space="preserve"> </w:t>
      </w:r>
      <w:r>
        <w:rPr>
          <w:rFonts w:hint="eastAsia" w:ascii="仿宋" w:hAnsi="Times New Roman" w:eastAsia="仿宋" w:cs="仿宋"/>
          <w:sz w:val="32"/>
          <w:szCs w:val="32"/>
        </w:rPr>
        <w:t>“共同生产费用”预决算方案的审批；审核会签涉及农民负担的文件和项目；监督惠农政策的落实，进行农民负担专项审计；监督管理涉农收费政策及价格的公示；参与查处涉及农民负担的违法违纪案件；培训农民负担监督管理工作人员。</w:t>
      </w:r>
    </w:p>
    <w:p>
      <w:pPr>
        <w:snapToGrid w:val="0"/>
        <w:spacing w:line="520" w:lineRule="exact"/>
        <w:ind w:firstLine="640" w:firstLineChars="200"/>
        <w:rPr>
          <w:rFonts w:hint="eastAsia" w:ascii="仿宋" w:hAnsi="Times New Roman" w:eastAsia="仿宋" w:cs="仿宋"/>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四</w:t>
      </w:r>
      <w:r>
        <w:rPr>
          <w:rFonts w:ascii="Times New Roman" w:hAnsi="Times New Roman" w:eastAsia="仿宋_GB2312" w:cs="Times New Roman"/>
          <w:sz w:val="32"/>
          <w:szCs w:val="32"/>
        </w:rPr>
        <w:t>）</w:t>
      </w:r>
      <w:r>
        <w:rPr>
          <w:rFonts w:hint="eastAsia" w:ascii="仿宋" w:hAnsi="Times New Roman" w:eastAsia="仿宋" w:cs="仿宋"/>
          <w:sz w:val="32"/>
          <w:szCs w:val="32"/>
        </w:rPr>
        <w:t>负责农村集体财务和农村集体资产管理。建立健全农村财务管理制度；负责农村资产清产核资工作，股权量化，农村集体经济组织换证及成员信息报送，管好用好农村集体资产，促进农村集体资产保值增值；管理农村财务人员，开展农村财会人员的业务培训；指导农村财会业务，指导农村财务公开。</w:t>
      </w:r>
    </w:p>
    <w:p>
      <w:pPr>
        <w:snapToGrid w:val="0"/>
        <w:spacing w:line="520" w:lineRule="exact"/>
        <w:ind w:firstLine="640" w:firstLineChars="200"/>
        <w:rPr>
          <w:rFonts w:hint="eastAsia" w:ascii="仿宋" w:hAnsi="Times New Roman" w:eastAsia="仿宋" w:cs="仿宋"/>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五</w:t>
      </w:r>
      <w:r>
        <w:rPr>
          <w:rFonts w:ascii="Times New Roman" w:hAnsi="Times New Roman" w:eastAsia="仿宋_GB2312" w:cs="Times New Roman"/>
          <w:sz w:val="32"/>
          <w:szCs w:val="32"/>
        </w:rPr>
        <w:t>）</w:t>
      </w:r>
      <w:r>
        <w:rPr>
          <w:rFonts w:hint="eastAsia" w:ascii="仿宋" w:hAnsi="Times New Roman" w:eastAsia="仿宋" w:cs="仿宋"/>
          <w:sz w:val="32"/>
          <w:szCs w:val="32"/>
        </w:rPr>
        <w:t>负责农村经济情况和社会发展指标体系的统计和分析工作。组织对农村经济收支、农民收入情况的监测。</w:t>
      </w:r>
    </w:p>
    <w:p>
      <w:pPr>
        <w:snapToGrid w:val="0"/>
        <w:spacing w:line="520" w:lineRule="exact"/>
        <w:ind w:firstLine="640" w:firstLineChars="200"/>
        <w:rPr>
          <w:rFonts w:hint="eastAsia" w:ascii="仿宋" w:hAnsi="Times New Roman" w:eastAsia="仿宋" w:cs="仿宋"/>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六</w:t>
      </w:r>
      <w:r>
        <w:rPr>
          <w:rFonts w:ascii="Times New Roman" w:hAnsi="Times New Roman" w:eastAsia="仿宋_GB2312" w:cs="Times New Roman"/>
          <w:sz w:val="32"/>
          <w:szCs w:val="32"/>
        </w:rPr>
        <w:t>）</w:t>
      </w:r>
      <w:r>
        <w:rPr>
          <w:rFonts w:hint="eastAsia" w:ascii="仿宋" w:hAnsi="Times New Roman" w:eastAsia="仿宋" w:cs="仿宋"/>
          <w:sz w:val="32"/>
          <w:szCs w:val="32"/>
        </w:rPr>
        <w:t>负责农村集体经济审计监督。管理和培训农村集体经济审计工作人员，组织开展村集体经济审计工作。</w:t>
      </w:r>
    </w:p>
    <w:p>
      <w:pPr>
        <w:snapToGrid w:val="0"/>
        <w:spacing w:line="520" w:lineRule="exact"/>
        <w:ind w:firstLine="640" w:firstLineChars="200"/>
        <w:rPr>
          <w:rFonts w:hint="eastAsia" w:ascii="仿宋" w:hAnsi="Times New Roman" w:eastAsia="仿宋" w:cs="仿宋"/>
          <w:sz w:val="32"/>
          <w:szCs w:val="32"/>
          <w:lang w:val="en-US" w:eastAsia="zh-CN"/>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七</w:t>
      </w:r>
      <w:r>
        <w:rPr>
          <w:rFonts w:ascii="Times New Roman" w:hAnsi="Times New Roman" w:eastAsia="仿宋_GB2312" w:cs="Times New Roman"/>
          <w:sz w:val="32"/>
          <w:szCs w:val="32"/>
        </w:rPr>
        <w:t>）</w:t>
      </w:r>
      <w:r>
        <w:rPr>
          <w:rFonts w:hint="eastAsia" w:ascii="仿宋" w:hAnsi="Times New Roman" w:eastAsia="仿宋" w:cs="仿宋"/>
          <w:sz w:val="32"/>
          <w:szCs w:val="32"/>
        </w:rPr>
        <w:t>负责农民专业合作社的管理。指导农业产业化经营、农村专业合作社组织和农业生产社会化服务体系建设；为农户经营、农村专业合作社组织提供产前、产中、产后的经济信息服务；指导专业合作社的经济核算，争取了蔬菜生产社会化服务试点县，对项目实行事前、事中、事后实地考察验收。</w:t>
      </w:r>
      <w:r>
        <w:rPr>
          <w:rFonts w:hint="eastAsia" w:ascii="仿宋" w:hAnsi="Times New Roman" w:eastAsia="仿宋" w:cs="仿宋"/>
          <w:sz w:val="32"/>
          <w:szCs w:val="32"/>
          <w:lang w:val="en-US" w:eastAsia="zh-CN"/>
        </w:rPr>
        <w:t xml:space="preserve">  </w:t>
      </w:r>
    </w:p>
    <w:p>
      <w:pPr>
        <w:snapToGrid w:val="0"/>
        <w:spacing w:line="520" w:lineRule="exact"/>
        <w:ind w:firstLine="640" w:firstLineChars="200"/>
        <w:rPr>
          <w:rFonts w:hint="eastAsia" w:ascii="仿宋" w:hAnsi="Times New Roman" w:eastAsia="仿宋" w:cs="仿宋"/>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八</w:t>
      </w:r>
      <w:r>
        <w:rPr>
          <w:rFonts w:ascii="Times New Roman" w:hAnsi="Times New Roman" w:eastAsia="仿宋_GB2312" w:cs="Times New Roman"/>
          <w:sz w:val="32"/>
          <w:szCs w:val="32"/>
        </w:rPr>
        <w:t>）</w:t>
      </w:r>
      <w:r>
        <w:rPr>
          <w:rFonts w:hint="eastAsia" w:ascii="仿宋" w:hAnsi="Times New Roman" w:eastAsia="仿宋" w:cs="仿宋"/>
          <w:sz w:val="32"/>
          <w:szCs w:val="32"/>
        </w:rPr>
        <w:t>负责牵头农村宅基地管理体系改革，承担指导宅基地分配、使用、流转、纠纷仲裁、合理布局、用地标准、查处违法用地行为以及闲置宅基地、闲置住房的利用，负责农村宅基监督检查，重点查处“未批先建”“骗取批准”“批小建大”“批东建西”等违法行为，负责引导农村适度集中建房，及农村宅基地队伍管理培训、政策宣传、统计年报等工作。</w:t>
      </w:r>
    </w:p>
    <w:p>
      <w:pPr>
        <w:snapToGrid w:val="0"/>
        <w:spacing w:line="520" w:lineRule="exact"/>
        <w:ind w:firstLine="640" w:firstLineChars="200"/>
        <w:rPr>
          <w:rFonts w:hint="eastAsia" w:ascii="仿宋_GB2312" w:hAnsi="仿宋" w:eastAsia="仿宋_GB2312"/>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九</w:t>
      </w:r>
      <w:r>
        <w:rPr>
          <w:rFonts w:ascii="Times New Roman" w:hAnsi="Times New Roman" w:eastAsia="仿宋_GB2312" w:cs="Times New Roman"/>
          <w:sz w:val="32"/>
          <w:szCs w:val="32"/>
        </w:rPr>
        <w:t>）</w:t>
      </w:r>
      <w:r>
        <w:rPr>
          <w:rFonts w:hint="eastAsia" w:ascii="仿宋" w:hAnsi="Times New Roman" w:eastAsia="仿宋" w:cs="仿宋"/>
          <w:sz w:val="32"/>
          <w:szCs w:val="32"/>
        </w:rPr>
        <w:t>承办市委、市政府和上级主管部门交办的其他工作。</w:t>
      </w:r>
    </w:p>
    <w:p>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pPr>
        <w:widowControl/>
        <w:spacing w:line="60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（一）内设机构设置。</w:t>
      </w:r>
      <w:r>
        <w:rPr>
          <w:rFonts w:hint="eastAsia" w:ascii="Times New Roman" w:hAnsi="仿宋_GB2312" w:eastAsia="仿宋_GB2312"/>
          <w:kern w:val="0"/>
          <w:sz w:val="32"/>
          <w:szCs w:val="32"/>
        </w:rPr>
        <w:t>祁阳市农村经营服务站内设机构包括：综合股、农村土地承包管理股、农村经济发展指导股、农村集体资产（财务）管理股、农村宅基地管理股、农民负担监督管理股、农村土地承包仲裁委员会办公室。</w:t>
      </w:r>
    </w:p>
    <w:p>
      <w:pPr>
        <w:widowControl/>
        <w:spacing w:line="60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（二）决算单位构成。</w:t>
      </w:r>
      <w:r>
        <w:rPr>
          <w:rFonts w:hint="eastAsia" w:ascii="Times New Roman" w:hAnsi="仿宋_GB2312" w:eastAsia="仿宋_GB2312"/>
          <w:kern w:val="0"/>
          <w:sz w:val="32"/>
          <w:szCs w:val="32"/>
        </w:rPr>
        <w:t>祁阳市农村经营服务站</w:t>
      </w:r>
      <w:r>
        <w:rPr>
          <w:rFonts w:ascii="Times New Roman" w:hAnsi="Times New Roman" w:eastAsia="仿宋_GB2312" w:cs="Times New Roman"/>
          <w:bCs/>
          <w:kern w:val="0"/>
          <w:sz w:val="32"/>
          <w:szCs w:val="32"/>
        </w:rPr>
        <w:t>2024年部门决算汇总公开单位构成包括：</w:t>
      </w:r>
      <w:r>
        <w:rPr>
          <w:rFonts w:hint="eastAsia" w:ascii="Times New Roman" w:hAnsi="仿宋_GB2312" w:eastAsia="仿宋_GB2312"/>
          <w:kern w:val="0"/>
          <w:sz w:val="32"/>
          <w:szCs w:val="32"/>
        </w:rPr>
        <w:t>祁阳市农村经营服务站</w:t>
      </w:r>
      <w:r>
        <w:rPr>
          <w:rFonts w:hint="eastAsia" w:ascii="Times New Roman" w:hAnsi="Times New Roman" w:eastAsia="仿宋_GB2312" w:cs="仿宋_GB2312"/>
          <w:bCs/>
          <w:kern w:val="0"/>
          <w:sz w:val="32"/>
          <w:szCs w:val="32"/>
        </w:rPr>
        <w:t>本级</w:t>
      </w:r>
      <w:r>
        <w:rPr>
          <w:rFonts w:hint="eastAsia" w:ascii="Times New Roman" w:hAnsi="Times New Roman" w:eastAsia="仿宋_GB2312" w:cs="仿宋_GB2312"/>
          <w:bCs/>
          <w:kern w:val="0"/>
          <w:sz w:val="32"/>
          <w:szCs w:val="32"/>
          <w:lang w:eastAsia="zh-CN"/>
        </w:rPr>
        <w:t>。</w:t>
      </w: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pStyle w:val="9"/>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pPr>
        <w:widowControl/>
        <w:spacing w:line="400" w:lineRule="exact"/>
        <w:jc w:val="center"/>
        <w:textAlignment w:val="center"/>
        <w:rPr>
          <w:rFonts w:ascii="Times New Roman" w:hAnsi="Times New Roman" w:eastAsia="仿宋_GB2312" w:cs="Times New Roman"/>
          <w:color w:val="000000"/>
          <w:kern w:val="0"/>
          <w:sz w:val="32"/>
          <w:szCs w:val="32"/>
          <w:lang w:bidi="ar"/>
        </w:rPr>
      </w:pP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pStyle w:val="15"/>
        <w:jc w:val="center"/>
        <w:rPr>
          <w:rFonts w:ascii="Times New Roman" w:hAnsi="Times New Roman" w:eastAsia="方正小标宋_GBK" w:cs="Times New Roman"/>
          <w:sz w:val="52"/>
          <w:szCs w:val="52"/>
        </w:rPr>
      </w:pPr>
    </w:p>
    <w:p>
      <w:pPr>
        <w:pStyle w:val="15"/>
        <w:jc w:val="center"/>
        <w:rPr>
          <w:rFonts w:ascii="Times New Roman" w:hAnsi="Times New Roman" w:eastAsia="方正小标宋_GBK" w:cs="Times New Roman"/>
          <w:sz w:val="52"/>
          <w:szCs w:val="52"/>
        </w:rPr>
      </w:pPr>
    </w:p>
    <w:p>
      <w:pPr>
        <w:pStyle w:val="15"/>
        <w:jc w:val="center"/>
        <w:rPr>
          <w:rFonts w:ascii="Times New Roman" w:hAnsi="Times New Roman" w:eastAsia="方正小标宋_GBK" w:cs="Times New Roman"/>
          <w:sz w:val="52"/>
          <w:szCs w:val="52"/>
        </w:rPr>
      </w:pPr>
    </w:p>
    <w:p>
      <w:pPr>
        <w:pStyle w:val="15"/>
        <w:jc w:val="center"/>
        <w:rPr>
          <w:rFonts w:ascii="Times New Roman" w:hAnsi="Times New Roman" w:eastAsia="方正小标宋_GBK" w:cs="Times New Roman"/>
          <w:sz w:val="52"/>
          <w:szCs w:val="52"/>
        </w:rPr>
      </w:pPr>
    </w:p>
    <w:p>
      <w:pPr>
        <w:pStyle w:val="15"/>
        <w:jc w:val="center"/>
        <w:rPr>
          <w:rFonts w:ascii="Times New Roman" w:hAnsi="Times New Roman" w:eastAsia="方正小标宋_GBK" w:cs="Times New Roman"/>
          <w:sz w:val="52"/>
          <w:szCs w:val="52"/>
        </w:rPr>
      </w:pPr>
    </w:p>
    <w:p>
      <w:pPr>
        <w:pStyle w:val="15"/>
        <w:jc w:val="center"/>
        <w:rPr>
          <w:rFonts w:ascii="Times New Roman" w:hAnsi="Times New Roman" w:eastAsia="方正小标宋_GBK" w:cs="Times New Roman"/>
          <w:sz w:val="52"/>
          <w:szCs w:val="52"/>
        </w:rPr>
      </w:pPr>
    </w:p>
    <w:p>
      <w:pPr>
        <w:pStyle w:val="15"/>
        <w:jc w:val="center"/>
        <w:rPr>
          <w:rFonts w:ascii="Times New Roman" w:hAnsi="Times New Roman" w:eastAsia="方正小标宋_GBK" w:cs="Times New Roman"/>
          <w:sz w:val="52"/>
          <w:szCs w:val="52"/>
        </w:rPr>
      </w:pPr>
    </w:p>
    <w:p>
      <w:pPr>
        <w:pStyle w:val="15"/>
        <w:numPr>
          <w:ilvl w:val="0"/>
          <w:numId w:val="1"/>
        </w:numPr>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 xml:space="preserve">  </w:t>
      </w:r>
    </w:p>
    <w:p>
      <w:pPr>
        <w:pStyle w:val="15"/>
        <w:numPr>
          <w:ilvl w:val="0"/>
          <w:numId w:val="0"/>
        </w:numPr>
        <w:jc w:val="center"/>
        <w:rPr>
          <w:rFonts w:hint="eastAsia" w:ascii="Times New Roman" w:hAnsi="Times New Roman" w:eastAsia="方正小标宋_GBK" w:cs="Times New Roman"/>
          <w:sz w:val="52"/>
          <w:szCs w:val="52"/>
          <w:lang w:eastAsia="zh-CN"/>
        </w:rPr>
      </w:pPr>
      <w:r>
        <w:rPr>
          <w:rFonts w:ascii="Times New Roman" w:hAnsi="Times New Roman" w:eastAsia="方正小标宋_GBK" w:cs="Times New Roman"/>
          <w:sz w:val="52"/>
          <w:szCs w:val="52"/>
        </w:rPr>
        <w:t>部门决算表</w:t>
      </w:r>
      <w:r>
        <w:rPr>
          <w:rFonts w:hint="eastAsia" w:ascii="Times New Roman" w:hAnsi="Times New Roman" w:eastAsia="方正小标宋_GBK" w:cs="Times New Roman"/>
          <w:sz w:val="52"/>
          <w:szCs w:val="52"/>
          <w:lang w:eastAsia="zh-CN"/>
        </w:rPr>
        <w:t>（见附表）</w:t>
      </w:r>
    </w:p>
    <w:p>
      <w:pPr>
        <w:widowControl/>
        <w:rPr>
          <w:rFonts w:ascii="Times New Roman" w:hAnsi="Times New Roman" w:eastAsia="黑体" w:cs="Times New Roman"/>
          <w:szCs w:val="21"/>
        </w:rPr>
      </w:pPr>
    </w:p>
    <w:p>
      <w:pPr>
        <w:pStyle w:val="9"/>
        <w:rPr>
          <w:rFonts w:ascii="Times New Roman" w:hAnsi="Times New Roman" w:eastAsia="黑体" w:cs="Times New Roman"/>
          <w:szCs w:val="21"/>
        </w:rPr>
      </w:pPr>
    </w:p>
    <w:p>
      <w:pPr>
        <w:pStyle w:val="5"/>
      </w:pPr>
    </w:p>
    <w:p>
      <w:pPr>
        <w:pStyle w:val="15"/>
        <w:rPr>
          <w:rFonts w:ascii="Times New Roman" w:hAnsi="Times New Roman" w:cs="Times New Roman"/>
          <w:sz w:val="72"/>
          <w:szCs w:val="72"/>
        </w:rPr>
      </w:pPr>
    </w:p>
    <w:p>
      <w:pPr>
        <w:pStyle w:val="15"/>
        <w:rPr>
          <w:rFonts w:ascii="Times New Roman" w:hAnsi="Times New Roman" w:cs="Times New Roman"/>
          <w:sz w:val="72"/>
          <w:szCs w:val="72"/>
        </w:rPr>
      </w:pPr>
    </w:p>
    <w:p>
      <w:pPr>
        <w:pStyle w:val="15"/>
        <w:jc w:val="center"/>
        <w:rPr>
          <w:rFonts w:ascii="Times New Roman" w:hAnsi="Times New Roman" w:cs="Times New Roman"/>
          <w:sz w:val="72"/>
          <w:szCs w:val="72"/>
        </w:rPr>
      </w:pPr>
    </w:p>
    <w:p>
      <w:pPr>
        <w:pStyle w:val="15"/>
        <w:jc w:val="center"/>
        <w:rPr>
          <w:rFonts w:ascii="Times New Roman" w:hAnsi="Times New Roman" w:eastAsia="方正小标宋_GBK" w:cs="Times New Roman"/>
          <w:sz w:val="72"/>
          <w:szCs w:val="72"/>
        </w:rPr>
      </w:pPr>
    </w:p>
    <w:p>
      <w:pPr>
        <w:pStyle w:val="15"/>
        <w:jc w:val="center"/>
        <w:rPr>
          <w:rFonts w:ascii="Times New Roman" w:hAnsi="Times New Roman" w:eastAsia="方正小标宋_GBK" w:cs="Times New Roman"/>
          <w:sz w:val="72"/>
          <w:szCs w:val="72"/>
        </w:rPr>
      </w:pPr>
    </w:p>
    <w:p>
      <w:pPr>
        <w:pStyle w:val="15"/>
        <w:jc w:val="center"/>
        <w:rPr>
          <w:rFonts w:ascii="Times New Roman" w:hAnsi="Times New Roman" w:eastAsia="方正小标宋_GBK" w:cs="Times New Roman"/>
          <w:sz w:val="72"/>
          <w:szCs w:val="72"/>
        </w:rPr>
      </w:pPr>
    </w:p>
    <w:p>
      <w:pPr>
        <w:pStyle w:val="15"/>
        <w:jc w:val="center"/>
        <w:rPr>
          <w:rFonts w:ascii="Times New Roman" w:hAnsi="Times New Roman" w:eastAsia="方正小标宋_GBK" w:cs="Times New Roman"/>
          <w:sz w:val="72"/>
          <w:szCs w:val="72"/>
        </w:rPr>
      </w:pPr>
    </w:p>
    <w:p>
      <w:pPr>
        <w:pStyle w:val="15"/>
        <w:jc w:val="center"/>
        <w:rPr>
          <w:rFonts w:ascii="Times New Roman" w:hAnsi="Times New Roman" w:eastAsia="方正小标宋_GBK" w:cs="Times New Roman"/>
          <w:sz w:val="72"/>
          <w:szCs w:val="72"/>
        </w:rPr>
      </w:pPr>
    </w:p>
    <w:p>
      <w:pPr>
        <w:pStyle w:val="15"/>
        <w:jc w:val="center"/>
        <w:rPr>
          <w:rFonts w:ascii="Times New Roman" w:hAnsi="Times New Roman" w:eastAsia="方正小标宋_GBK" w:cs="Times New Roman"/>
          <w:sz w:val="72"/>
          <w:szCs w:val="72"/>
        </w:rPr>
      </w:pPr>
    </w:p>
    <w:p>
      <w:pPr>
        <w:pStyle w:val="15"/>
        <w:jc w:val="center"/>
        <w:rPr>
          <w:rFonts w:ascii="Times New Roman" w:hAnsi="Times New Roman" w:eastAsia="方正小标宋_GBK" w:cs="Times New Roman"/>
          <w:sz w:val="72"/>
          <w:szCs w:val="72"/>
        </w:rPr>
      </w:pPr>
    </w:p>
    <w:p>
      <w:pPr>
        <w:pStyle w:val="15"/>
        <w:jc w:val="center"/>
        <w:rPr>
          <w:rFonts w:ascii="Times New Roman" w:hAnsi="Times New Roman" w:eastAsia="方正小标宋_GBK" w:cs="Times New Roman"/>
          <w:sz w:val="72"/>
          <w:szCs w:val="72"/>
        </w:rPr>
      </w:pPr>
    </w:p>
    <w:p>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pPr>
        <w:pStyle w:val="15"/>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2024年度收、支总计</w:t>
      </w:r>
      <w:bookmarkStart w:id="1" w:name="OLE_LINK2"/>
      <w:r>
        <w:rPr>
          <w:rFonts w:hint="eastAsia" w:ascii="Times New Roman" w:hAnsi="Times New Roman" w:eastAsia="仿宋_GB2312" w:cs="Times New Roman"/>
          <w:sz w:val="32"/>
          <w:szCs w:val="32"/>
          <w:lang w:val="en-US" w:eastAsia="zh-CN"/>
        </w:rPr>
        <w:t>1249.91</w:t>
      </w:r>
      <w:bookmarkEnd w:id="1"/>
      <w:r>
        <w:rPr>
          <w:rFonts w:ascii="Times New Roman" w:hAnsi="Times New Roman" w:eastAsia="仿宋_GB2312" w:cs="Times New Roman"/>
          <w:sz w:val="32"/>
          <w:szCs w:val="32"/>
        </w:rPr>
        <w:t>万元。与上年相比，减少</w:t>
      </w:r>
      <w:r>
        <w:rPr>
          <w:rFonts w:hint="eastAsia" w:ascii="Times New Roman" w:hAnsi="Times New Roman" w:eastAsia="仿宋_GB2312" w:cs="Times New Roman"/>
          <w:sz w:val="32"/>
          <w:szCs w:val="32"/>
          <w:lang w:val="en-US" w:eastAsia="zh-CN"/>
        </w:rPr>
        <w:t>863.77</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40.87</w:t>
      </w:r>
      <w:r>
        <w:rPr>
          <w:rFonts w:ascii="Times New Roman" w:hAnsi="Times New Roman" w:eastAsia="仿宋_GB2312" w:cs="Times New Roman"/>
          <w:sz w:val="32"/>
          <w:szCs w:val="32"/>
        </w:rPr>
        <w:t>%，主要</w:t>
      </w:r>
      <w:r>
        <w:rPr>
          <w:rFonts w:ascii="Times New Roman" w:hAnsi="Times New Roman" w:eastAsia="仿宋_GB2312" w:cs="Times New Roman"/>
          <w:sz w:val="32"/>
          <w:szCs w:val="32"/>
          <w:highlight w:val="none"/>
        </w:rPr>
        <w:t>是因为</w:t>
      </w:r>
      <w:r>
        <w:rPr>
          <w:rFonts w:hint="eastAsia" w:ascii="Times New Roman" w:hAnsi="Times New Roman" w:eastAsia="仿宋_GB2312" w:cs="Times New Roman"/>
          <w:sz w:val="32"/>
          <w:szCs w:val="32"/>
          <w:highlight w:val="none"/>
          <w:lang w:eastAsia="zh-CN"/>
        </w:rPr>
        <w:t>减少了</w:t>
      </w:r>
      <w:r>
        <w:rPr>
          <w:rFonts w:hint="eastAsia" w:ascii="Times New Roman" w:hAnsi="Times New Roman" w:eastAsia="仿宋_GB2312"/>
          <w:sz w:val="32"/>
          <w:szCs w:val="32"/>
        </w:rPr>
        <w:t>项目专项资金</w:t>
      </w:r>
      <w:r>
        <w:rPr>
          <w:rFonts w:hint="eastAsia" w:ascii="Times New Roman" w:hAnsi="Times New Roman" w:eastAsia="仿宋_GB2312"/>
          <w:sz w:val="32"/>
          <w:szCs w:val="32"/>
          <w:lang w:eastAsia="zh-CN"/>
        </w:rPr>
        <w:t>。</w:t>
      </w:r>
    </w:p>
    <w:p>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lang w:val="en-US" w:eastAsia="zh-CN"/>
        </w:rPr>
        <w:t>1249.91</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lang w:val="en-US" w:eastAsia="zh-CN"/>
        </w:rPr>
        <w:t>1249.91</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%；上级补助收入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%；事业收入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X%；经营收入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%；附属单位上缴收入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%；其他收入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lang w:val="en-US" w:eastAsia="zh-CN"/>
        </w:rPr>
        <w:t>1249.91</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329.91</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26.39</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val="en-US" w:eastAsia="zh-CN"/>
        </w:rPr>
        <w:t>920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73.61</w:t>
      </w:r>
      <w:r>
        <w:rPr>
          <w:rFonts w:ascii="Times New Roman" w:hAnsi="Times New Roman" w:eastAsia="仿宋_GB2312" w:cs="Times New Roman"/>
          <w:sz w:val="32"/>
          <w:szCs w:val="32"/>
        </w:rPr>
        <w:t>%；上缴上级支出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%；对附属单位补助支出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pPr>
        <w:pStyle w:val="15"/>
        <w:overflowPunct w:val="0"/>
        <w:autoSpaceDE/>
        <w:autoSpaceDN/>
        <w:spacing w:line="600" w:lineRule="exact"/>
        <w:ind w:firstLine="640" w:firstLineChars="200"/>
        <w:jc w:val="both"/>
        <w:rPr>
          <w:rFonts w:hint="eastAsia" w:ascii="Times New Roman" w:hAnsi="Times New Roman" w:eastAsia="仿宋_GB2312"/>
          <w:sz w:val="32"/>
          <w:szCs w:val="32"/>
          <w:lang w:eastAsia="zh-CN"/>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lang w:val="en-US" w:eastAsia="zh-CN"/>
        </w:rPr>
        <w:t>1249.91</w:t>
      </w:r>
      <w:r>
        <w:rPr>
          <w:rFonts w:ascii="Times New Roman" w:hAnsi="Times New Roman" w:eastAsia="仿宋_GB2312" w:cs="Times New Roman"/>
          <w:sz w:val="32"/>
          <w:szCs w:val="32"/>
        </w:rPr>
        <w:t>万元，与上年相比，减少</w:t>
      </w:r>
      <w:r>
        <w:rPr>
          <w:rFonts w:hint="eastAsia" w:ascii="Times New Roman" w:hAnsi="Times New Roman" w:eastAsia="仿宋_GB2312" w:cs="Times New Roman"/>
          <w:sz w:val="32"/>
          <w:szCs w:val="32"/>
          <w:lang w:val="en-US" w:eastAsia="zh-CN"/>
        </w:rPr>
        <w:t>863.77</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40.87</w:t>
      </w:r>
      <w:r>
        <w:rPr>
          <w:rFonts w:ascii="Times New Roman" w:hAnsi="Times New Roman" w:eastAsia="仿宋_GB2312" w:cs="Times New Roman"/>
          <w:sz w:val="32"/>
          <w:szCs w:val="32"/>
        </w:rPr>
        <w:t>%，主要是</w:t>
      </w:r>
      <w:r>
        <w:rPr>
          <w:rFonts w:ascii="Times New Roman" w:hAnsi="Times New Roman" w:eastAsia="仿宋_GB2312" w:cs="Times New Roman"/>
          <w:sz w:val="32"/>
          <w:szCs w:val="32"/>
          <w:highlight w:val="none"/>
        </w:rPr>
        <w:t>因为</w:t>
      </w:r>
      <w:r>
        <w:rPr>
          <w:rFonts w:hint="eastAsia" w:ascii="Times New Roman" w:hAnsi="Times New Roman" w:eastAsia="仿宋_GB2312" w:cs="Times New Roman"/>
          <w:sz w:val="32"/>
          <w:szCs w:val="32"/>
          <w:highlight w:val="none"/>
          <w:lang w:eastAsia="zh-CN"/>
        </w:rPr>
        <w:t>减</w:t>
      </w:r>
      <w:r>
        <w:rPr>
          <w:rFonts w:hint="eastAsia" w:ascii="Times New Roman" w:hAnsi="Times New Roman" w:eastAsia="仿宋_GB2312" w:cs="Times New Roman"/>
          <w:sz w:val="32"/>
          <w:szCs w:val="32"/>
          <w:lang w:eastAsia="zh-CN"/>
        </w:rPr>
        <w:t>少了</w:t>
      </w:r>
      <w:r>
        <w:rPr>
          <w:rFonts w:hint="eastAsia" w:ascii="Times New Roman" w:hAnsi="Times New Roman" w:eastAsia="仿宋_GB2312"/>
          <w:sz w:val="32"/>
          <w:szCs w:val="32"/>
        </w:rPr>
        <w:t>项目专项资金</w:t>
      </w:r>
      <w:r>
        <w:rPr>
          <w:rFonts w:hint="eastAsia" w:ascii="Times New Roman" w:hAnsi="Times New Roman" w:eastAsia="仿宋_GB2312"/>
          <w:sz w:val="32"/>
          <w:szCs w:val="32"/>
          <w:lang w:eastAsia="zh-CN"/>
        </w:rPr>
        <w:t>。</w:t>
      </w:r>
    </w:p>
    <w:p>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1249.91</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%，与上年相比，财政拨款支出减少</w:t>
      </w:r>
      <w:r>
        <w:rPr>
          <w:rFonts w:hint="eastAsia" w:ascii="Times New Roman" w:hAnsi="Times New Roman" w:eastAsia="仿宋_GB2312" w:cs="Times New Roman"/>
          <w:sz w:val="32"/>
          <w:szCs w:val="32"/>
          <w:lang w:val="en-US" w:eastAsia="zh-CN"/>
        </w:rPr>
        <w:t>863.77</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40.87</w:t>
      </w:r>
      <w:r>
        <w:rPr>
          <w:rFonts w:ascii="Times New Roman" w:hAnsi="Times New Roman" w:eastAsia="仿宋_GB2312" w:cs="Times New Roman"/>
          <w:sz w:val="32"/>
          <w:szCs w:val="32"/>
        </w:rPr>
        <w:t>%，主要</w:t>
      </w:r>
      <w:r>
        <w:rPr>
          <w:rFonts w:ascii="Times New Roman" w:hAnsi="Times New Roman" w:eastAsia="仿宋_GB2312" w:cs="Times New Roman"/>
          <w:sz w:val="32"/>
          <w:szCs w:val="32"/>
          <w:highlight w:val="none"/>
        </w:rPr>
        <w:t>是因为</w:t>
      </w:r>
      <w:r>
        <w:rPr>
          <w:rFonts w:hint="eastAsia" w:ascii="Times New Roman" w:hAnsi="Times New Roman" w:eastAsia="仿宋_GB2312" w:cs="Times New Roman"/>
          <w:sz w:val="32"/>
          <w:szCs w:val="32"/>
          <w:highlight w:val="none"/>
          <w:lang w:eastAsia="zh-CN"/>
        </w:rPr>
        <w:t>减</w:t>
      </w:r>
      <w:r>
        <w:rPr>
          <w:rFonts w:hint="eastAsia" w:ascii="Times New Roman" w:hAnsi="Times New Roman" w:eastAsia="仿宋_GB2312" w:cs="Times New Roman"/>
          <w:sz w:val="32"/>
          <w:szCs w:val="32"/>
          <w:lang w:eastAsia="zh-CN"/>
        </w:rPr>
        <w:t>少了</w:t>
      </w:r>
      <w:r>
        <w:rPr>
          <w:rFonts w:hint="eastAsia" w:ascii="Times New Roman" w:hAnsi="Times New Roman" w:eastAsia="仿宋_GB2312"/>
          <w:sz w:val="32"/>
          <w:szCs w:val="32"/>
        </w:rPr>
        <w:t>项目专项资金</w:t>
      </w:r>
      <w:r>
        <w:rPr>
          <w:rFonts w:hint="eastAsia" w:ascii="Times New Roman" w:hAnsi="Times New Roman" w:eastAsia="仿宋_GB2312"/>
          <w:sz w:val="32"/>
          <w:szCs w:val="32"/>
          <w:lang w:eastAsia="zh-CN"/>
        </w:rPr>
        <w:t>。</w:t>
      </w:r>
    </w:p>
    <w:p>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pPr>
        <w:pStyle w:val="15"/>
        <w:spacing w:line="600" w:lineRule="exact"/>
        <w:ind w:firstLine="640" w:firstLineChars="200"/>
        <w:rPr>
          <w:rFonts w:ascii="Times New Roman" w:hAnsi="Times New Roman" w:eastAsia="仿宋_GB2312"/>
          <w:sz w:val="32"/>
          <w:szCs w:val="32"/>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1249.91</w:t>
      </w:r>
      <w:r>
        <w:rPr>
          <w:rFonts w:ascii="Times New Roman" w:hAnsi="Times New Roman" w:eastAsia="仿宋_GB2312" w:cs="Times New Roman"/>
          <w:sz w:val="32"/>
          <w:szCs w:val="32"/>
        </w:rPr>
        <w:t>万元，主要用于以下方面：教育（类）支出</w:t>
      </w:r>
      <w:r>
        <w:rPr>
          <w:rFonts w:hint="eastAsia" w:ascii="Times New Roman" w:hAnsi="Times New Roman" w:eastAsia="仿宋_GB2312" w:cs="Times New Roman"/>
          <w:sz w:val="32"/>
          <w:szCs w:val="32"/>
          <w:lang w:val="en-US" w:eastAsia="zh-CN"/>
        </w:rPr>
        <w:t>9.21</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0.74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eastAsia" w:ascii="Times New Roman" w:hAnsi="Times New Roman" w:eastAsia="仿宋_GB2312"/>
          <w:sz w:val="32"/>
          <w:szCs w:val="32"/>
          <w:lang w:eastAsia="zh-CN"/>
        </w:rPr>
        <w:t>社会保障和就业</w:t>
      </w:r>
      <w:r>
        <w:rPr>
          <w:rFonts w:ascii="Times New Roman" w:hAnsi="Times New Roman" w:eastAsia="仿宋_GB2312" w:cs="Times New Roman"/>
          <w:sz w:val="32"/>
          <w:szCs w:val="32"/>
        </w:rPr>
        <w:t>（类）</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lang w:val="en-US" w:eastAsia="zh-CN"/>
        </w:rPr>
        <w:t>37.1</w:t>
      </w:r>
      <w:r>
        <w:rPr>
          <w:rFonts w:hint="eastAsia" w:ascii="Times New Roman" w:hAnsi="Times New Roman" w:eastAsia="仿宋_GB2312"/>
          <w:sz w:val="32"/>
          <w:szCs w:val="32"/>
          <w:lang w:eastAsia="zh-CN"/>
        </w:rPr>
        <w:t>万元，占</w:t>
      </w:r>
      <w:r>
        <w:rPr>
          <w:rFonts w:hint="eastAsia" w:ascii="Times New Roman" w:hAnsi="Times New Roman" w:eastAsia="仿宋_GB2312"/>
          <w:sz w:val="32"/>
          <w:szCs w:val="32"/>
          <w:lang w:val="en-US" w:eastAsia="zh-CN"/>
        </w:rPr>
        <w:t>2.97</w:t>
      </w:r>
      <w:r>
        <w:rPr>
          <w:rFonts w:hint="eastAsia" w:ascii="Times New Roman" w:hAnsi="Times New Roman" w:eastAsia="仿宋_GB2312"/>
          <w:sz w:val="32"/>
          <w:szCs w:val="32"/>
          <w:lang w:eastAsia="zh-CN"/>
        </w:rPr>
        <w:t>%；卫生健康</w:t>
      </w:r>
      <w:r>
        <w:rPr>
          <w:rFonts w:ascii="Times New Roman" w:hAnsi="Times New Roman" w:eastAsia="仿宋_GB2312" w:cs="Times New Roman"/>
          <w:sz w:val="32"/>
          <w:szCs w:val="32"/>
        </w:rPr>
        <w:t>（类）</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lang w:val="en-US" w:eastAsia="zh-CN"/>
        </w:rPr>
        <w:t>11.97</w:t>
      </w:r>
      <w:r>
        <w:rPr>
          <w:rFonts w:hint="eastAsia" w:ascii="Times New Roman" w:hAnsi="Times New Roman" w:eastAsia="仿宋_GB2312"/>
          <w:sz w:val="32"/>
          <w:szCs w:val="32"/>
          <w:lang w:eastAsia="zh-CN"/>
        </w:rPr>
        <w:t>万元，占</w:t>
      </w:r>
      <w:r>
        <w:rPr>
          <w:rFonts w:hint="eastAsia" w:ascii="Times New Roman" w:hAnsi="Times New Roman" w:eastAsia="仿宋_GB2312"/>
          <w:sz w:val="32"/>
          <w:szCs w:val="32"/>
          <w:lang w:val="en-US" w:eastAsia="zh-CN"/>
        </w:rPr>
        <w:t>0.96</w:t>
      </w:r>
      <w:r>
        <w:rPr>
          <w:rFonts w:hint="eastAsia" w:ascii="Times New Roman" w:hAnsi="Times New Roman" w:eastAsia="仿宋_GB2312"/>
          <w:sz w:val="32"/>
          <w:szCs w:val="32"/>
          <w:lang w:eastAsia="zh-CN"/>
        </w:rPr>
        <w:t>%；</w:t>
      </w:r>
      <w:bookmarkStart w:id="2" w:name="OLE_LINK3"/>
      <w:r>
        <w:rPr>
          <w:rFonts w:hint="eastAsia" w:ascii="Times New Roman" w:hAnsi="Times New Roman" w:eastAsia="仿宋_GB2312"/>
          <w:sz w:val="32"/>
          <w:szCs w:val="32"/>
          <w:lang w:eastAsia="zh-CN"/>
        </w:rPr>
        <w:t>农林水</w:t>
      </w:r>
      <w:r>
        <w:rPr>
          <w:rFonts w:ascii="Times New Roman" w:hAnsi="Times New Roman" w:eastAsia="仿宋_GB2312" w:cs="Times New Roman"/>
          <w:sz w:val="32"/>
          <w:szCs w:val="32"/>
        </w:rPr>
        <w:t>（类）</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lang w:val="en-US" w:eastAsia="zh-CN"/>
        </w:rPr>
        <w:t>1179.06</w:t>
      </w:r>
      <w:r>
        <w:rPr>
          <w:rFonts w:hint="eastAsia" w:ascii="Times New Roman" w:hAnsi="Times New Roman" w:eastAsia="仿宋_GB2312"/>
          <w:sz w:val="32"/>
          <w:szCs w:val="32"/>
          <w:lang w:eastAsia="zh-CN"/>
        </w:rPr>
        <w:t>万元，占</w:t>
      </w:r>
      <w:r>
        <w:rPr>
          <w:rFonts w:hint="eastAsia" w:ascii="Times New Roman" w:hAnsi="Times New Roman" w:eastAsia="仿宋_GB2312"/>
          <w:sz w:val="32"/>
          <w:szCs w:val="32"/>
          <w:lang w:val="en-US" w:eastAsia="zh-CN"/>
        </w:rPr>
        <w:t>94.33</w:t>
      </w:r>
      <w:r>
        <w:rPr>
          <w:rFonts w:hint="eastAsia" w:ascii="Times New Roman" w:hAnsi="Times New Roman" w:eastAsia="仿宋_GB2312"/>
          <w:sz w:val="32"/>
          <w:szCs w:val="32"/>
          <w:lang w:eastAsia="zh-CN"/>
        </w:rPr>
        <w:t>%</w:t>
      </w:r>
      <w:bookmarkEnd w:id="2"/>
      <w:r>
        <w:rPr>
          <w:rFonts w:hint="eastAsia" w:ascii="Times New Roman" w:hAnsi="Times New Roman" w:eastAsia="仿宋_GB2312"/>
          <w:sz w:val="32"/>
          <w:szCs w:val="32"/>
          <w:lang w:eastAsia="zh-CN"/>
        </w:rPr>
        <w:t>；住房保障</w:t>
      </w:r>
      <w:r>
        <w:rPr>
          <w:rFonts w:ascii="Times New Roman" w:hAnsi="Times New Roman" w:eastAsia="仿宋_GB2312" w:cs="Times New Roman"/>
          <w:sz w:val="32"/>
          <w:szCs w:val="32"/>
        </w:rPr>
        <w:t>（类）</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lang w:val="en-US" w:eastAsia="zh-CN"/>
        </w:rPr>
        <w:t>12.57</w:t>
      </w:r>
      <w:r>
        <w:rPr>
          <w:rFonts w:hint="eastAsia" w:ascii="Times New Roman" w:hAnsi="Times New Roman" w:eastAsia="仿宋_GB2312"/>
          <w:sz w:val="32"/>
          <w:szCs w:val="32"/>
          <w:lang w:eastAsia="zh-CN"/>
        </w:rPr>
        <w:t>万元，占</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lang w:eastAsia="zh-CN"/>
        </w:rPr>
        <w:t>%。</w:t>
      </w:r>
    </w:p>
    <w:p>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2024年度财政拨款支出年初预算数为</w:t>
      </w:r>
      <w:r>
        <w:rPr>
          <w:rFonts w:hint="eastAsia" w:ascii="Times New Roman" w:hAnsi="Times New Roman" w:eastAsia="仿宋_GB2312" w:cs="Times New Roman"/>
          <w:sz w:val="32"/>
          <w:szCs w:val="32"/>
          <w:lang w:val="en-US" w:eastAsia="zh-CN"/>
        </w:rPr>
        <w:t>215.708</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lang w:val="en-US" w:eastAsia="zh-CN"/>
        </w:rPr>
        <w:t>1249.91</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579.4</w:t>
      </w:r>
      <w:r>
        <w:rPr>
          <w:rFonts w:ascii="Times New Roman" w:hAnsi="Times New Roman" w:eastAsia="仿宋_GB2312" w:cs="Times New Roman"/>
          <w:sz w:val="32"/>
          <w:szCs w:val="32"/>
        </w:rPr>
        <w:t>%，其中：</w:t>
      </w:r>
    </w:p>
    <w:p>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黑体"/>
          <w:color w:val="000000"/>
          <w:kern w:val="0"/>
          <w:sz w:val="32"/>
          <w:szCs w:val="32"/>
          <w:lang w:val="en-US" w:eastAsia="zh-CN" w:bidi="ar-SA"/>
        </w:rPr>
        <w:t>教育支出（类）成人教育（款）其他成人教育支出（项）。</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Times New Roman" w:hAnsi="Times New Roman" w:eastAsia="仿宋_GB2312" w:cs="黑体"/>
          <w:color w:val="000000"/>
          <w:kern w:val="0"/>
          <w:sz w:val="32"/>
          <w:szCs w:val="32"/>
          <w:lang w:val="en-US" w:eastAsia="zh-CN" w:bidi="ar-SA"/>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9.21</w:t>
      </w:r>
      <w:r>
        <w:rPr>
          <w:rFonts w:ascii="Times New Roman" w:hAnsi="Times New Roman" w:eastAsia="仿宋_GB2312" w:cs="Times New Roman"/>
          <w:sz w:val="32"/>
          <w:szCs w:val="32"/>
        </w:rPr>
        <w:t>万元，</w:t>
      </w:r>
      <w:r>
        <w:rPr>
          <w:rFonts w:hint="eastAsia" w:ascii="Times New Roman" w:hAnsi="Times New Roman" w:eastAsia="仿宋_GB2312" w:cs="黑体"/>
          <w:color w:val="000000"/>
          <w:kern w:val="0"/>
          <w:sz w:val="32"/>
          <w:szCs w:val="32"/>
          <w:highlight w:val="none"/>
          <w:lang w:val="en-US" w:eastAsia="zh-CN" w:bidi="ar-SA"/>
        </w:rPr>
        <w:t>分母为0，所以无法计算完成年初预算</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sz w:val="32"/>
          <w:szCs w:val="32"/>
          <w:highlight w:val="none"/>
        </w:rPr>
        <w:t>开展</w:t>
      </w:r>
      <w:r>
        <w:rPr>
          <w:rFonts w:hint="eastAsia" w:ascii="Times New Roman" w:hAnsi="Times New Roman" w:eastAsia="仿宋_GB2312"/>
          <w:sz w:val="32"/>
          <w:szCs w:val="32"/>
          <w:highlight w:val="none"/>
          <w:lang w:val="en-US" w:eastAsia="zh-CN"/>
        </w:rPr>
        <w:t>农村财务会计暨延包工作</w:t>
      </w:r>
      <w:r>
        <w:rPr>
          <w:rFonts w:hint="eastAsia" w:ascii="Times New Roman" w:hAnsi="Times New Roman" w:eastAsia="仿宋_GB2312"/>
          <w:sz w:val="32"/>
          <w:szCs w:val="32"/>
          <w:highlight w:val="none"/>
        </w:rPr>
        <w:t>培</w:t>
      </w:r>
      <w:r>
        <w:rPr>
          <w:rFonts w:hint="eastAsia" w:ascii="Times New Roman" w:hAnsi="Times New Roman" w:eastAsia="仿宋_GB2312"/>
          <w:sz w:val="32"/>
          <w:szCs w:val="32"/>
        </w:rPr>
        <w:t>训</w:t>
      </w:r>
      <w:r>
        <w:rPr>
          <w:rFonts w:hint="eastAsia" w:ascii="Times New Roman" w:hAnsi="Times New Roman" w:eastAsia="仿宋_GB2312"/>
          <w:sz w:val="32"/>
          <w:szCs w:val="32"/>
          <w:lang w:eastAsia="zh-CN"/>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right="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黑体"/>
          <w:color w:val="000000"/>
          <w:kern w:val="0"/>
          <w:sz w:val="32"/>
          <w:szCs w:val="32"/>
          <w:lang w:val="en-US" w:eastAsia="zh-CN" w:bidi="ar-SA"/>
        </w:rPr>
        <w:t>社会保障和就业支出（类）行政事业单位养老支出（款）机关事业单位基本养老保险缴费支出（项）。</w:t>
      </w:r>
    </w:p>
    <w:p>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28.52</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17.1</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60</w:t>
      </w:r>
      <w:r>
        <w:rPr>
          <w:rFonts w:ascii="Times New Roman" w:hAnsi="Times New Roman" w:eastAsia="仿宋_GB2312" w:cs="Times New Roman"/>
          <w:sz w:val="32"/>
          <w:szCs w:val="32"/>
        </w:rPr>
        <w:t>%，</w:t>
      </w:r>
      <w:r>
        <w:rPr>
          <w:rFonts w:hint="eastAsia" w:ascii="Times New Roman" w:hAnsi="Times New Roman" w:eastAsia="仿宋_GB2312" w:cs="黑体"/>
          <w:color w:val="000000"/>
          <w:kern w:val="0"/>
          <w:sz w:val="32"/>
          <w:szCs w:val="32"/>
          <w:lang w:val="en-US" w:eastAsia="zh-CN" w:bidi="ar-SA"/>
        </w:rPr>
        <w:t>决算数小于年初预算数的主要原因是：人员退休2人。</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3、社会保障和就业支出（类）抚恤（款）死亡抚恤（项）。</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Times New Roman" w:hAnsi="Times New Roman" w:eastAsia="仿宋_GB2312" w:cs="黑体"/>
          <w:color w:val="000000"/>
          <w:kern w:val="0"/>
          <w:sz w:val="32"/>
          <w:szCs w:val="32"/>
          <w:highlight w:val="none"/>
          <w:lang w:val="en-US" w:eastAsia="zh-CN" w:bidi="ar-SA"/>
        </w:rPr>
      </w:pPr>
      <w:r>
        <w:rPr>
          <w:rFonts w:hint="eastAsia" w:ascii="Times New Roman" w:hAnsi="Times New Roman" w:eastAsia="仿宋_GB2312" w:cs="黑体"/>
          <w:color w:val="000000"/>
          <w:kern w:val="0"/>
          <w:sz w:val="32"/>
          <w:szCs w:val="32"/>
          <w:lang w:val="en-US" w:eastAsia="zh-CN" w:bidi="ar-SA"/>
        </w:rPr>
        <w:t>年初</w:t>
      </w:r>
      <w:r>
        <w:rPr>
          <w:rFonts w:hint="eastAsia" w:ascii="Times New Roman" w:hAnsi="Times New Roman" w:eastAsia="仿宋_GB2312" w:cs="黑体"/>
          <w:color w:val="000000"/>
          <w:kern w:val="0"/>
          <w:sz w:val="32"/>
          <w:szCs w:val="32"/>
          <w:highlight w:val="none"/>
          <w:lang w:val="en-US" w:eastAsia="zh-CN" w:bidi="ar-SA"/>
        </w:rPr>
        <w:t>预算为0万</w:t>
      </w:r>
      <w:r>
        <w:rPr>
          <w:rFonts w:hint="eastAsia" w:ascii="Times New Roman" w:hAnsi="Times New Roman" w:eastAsia="仿宋_GB2312" w:cs="黑体"/>
          <w:color w:val="000000"/>
          <w:kern w:val="0"/>
          <w:sz w:val="32"/>
          <w:szCs w:val="32"/>
          <w:lang w:val="en-US" w:eastAsia="zh-CN" w:bidi="ar-SA"/>
        </w:rPr>
        <w:t>元，支出决算为20万元，</w:t>
      </w:r>
      <w:r>
        <w:rPr>
          <w:rFonts w:hint="eastAsia" w:ascii="Times New Roman" w:hAnsi="Times New Roman" w:eastAsia="仿宋_GB2312" w:cs="黑体"/>
          <w:color w:val="000000"/>
          <w:kern w:val="0"/>
          <w:sz w:val="32"/>
          <w:szCs w:val="32"/>
          <w:highlight w:val="none"/>
          <w:lang w:val="en-US" w:eastAsia="zh-CN" w:bidi="ar-SA"/>
        </w:rPr>
        <w:t>分母为0，所以无法计算完成年初预算</w:t>
      </w:r>
      <w:r>
        <w:rPr>
          <w:rFonts w:hint="eastAsia" w:ascii="Times New Roman" w:hAnsi="Times New Roman" w:eastAsia="仿宋_GB2312" w:cs="黑体"/>
          <w:color w:val="000000"/>
          <w:kern w:val="0"/>
          <w:sz w:val="32"/>
          <w:szCs w:val="32"/>
          <w:lang w:val="en-US" w:eastAsia="zh-CN" w:bidi="ar-SA"/>
        </w:rPr>
        <w:t>，决算数大于年初预算数的主要原因是：死亡人员2人</w:t>
      </w:r>
      <w:r>
        <w:rPr>
          <w:rFonts w:hint="eastAsia" w:ascii="Times New Roman" w:hAnsi="Times New Roman" w:eastAsia="仿宋_GB2312" w:cs="黑体"/>
          <w:color w:val="000000"/>
          <w:kern w:val="0"/>
          <w:sz w:val="32"/>
          <w:szCs w:val="32"/>
          <w:highlight w:val="none"/>
          <w:lang w:val="en-US" w:eastAsia="zh-CN" w:bidi="ar-SA"/>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Times New Roman" w:hAnsi="Times New Roman" w:eastAsia="仿宋_GB2312" w:cs="黑体"/>
          <w:color w:val="000000"/>
          <w:kern w:val="0"/>
          <w:sz w:val="32"/>
          <w:szCs w:val="32"/>
          <w:highlight w:val="none"/>
          <w:lang w:val="en-US" w:eastAsia="zh-CN" w:bidi="ar-SA"/>
        </w:rPr>
      </w:pPr>
      <w:r>
        <w:rPr>
          <w:rFonts w:hint="eastAsia" w:ascii="Times New Roman" w:hAnsi="Times New Roman" w:eastAsia="仿宋_GB2312" w:cs="黑体"/>
          <w:color w:val="000000"/>
          <w:kern w:val="0"/>
          <w:sz w:val="32"/>
          <w:szCs w:val="32"/>
          <w:highlight w:val="none"/>
          <w:lang w:val="en-US" w:eastAsia="zh-CN" w:bidi="ar-SA"/>
        </w:rPr>
        <w:t>4、卫生健康支出（类）行政事业单位医疗（款）事业单位医疗（项）。</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Times New Roman" w:hAnsi="Times New Roman" w:eastAsia="仿宋_GB2312"/>
          <w:sz w:val="32"/>
          <w:szCs w:val="32"/>
        </w:rPr>
      </w:pPr>
      <w:r>
        <w:rPr>
          <w:rFonts w:hint="eastAsia" w:ascii="Times New Roman" w:hAnsi="Times New Roman" w:eastAsia="仿宋_GB2312" w:cs="黑体"/>
          <w:color w:val="000000"/>
          <w:kern w:val="0"/>
          <w:sz w:val="32"/>
          <w:szCs w:val="32"/>
          <w:highlight w:val="none"/>
          <w:lang w:val="en-US" w:eastAsia="zh-CN" w:bidi="ar-SA"/>
        </w:rPr>
        <w:t>年初</w:t>
      </w:r>
      <w:r>
        <w:rPr>
          <w:rFonts w:hint="eastAsia" w:ascii="Times New Roman" w:hAnsi="Times New Roman" w:eastAsia="仿宋_GB2312" w:cs="黑体"/>
          <w:color w:val="000000"/>
          <w:kern w:val="0"/>
          <w:sz w:val="32"/>
          <w:szCs w:val="32"/>
          <w:lang w:val="en-US" w:eastAsia="zh-CN" w:bidi="ar-SA"/>
        </w:rPr>
        <w:t>预算为10.29万元，支出决算为11.97万元，完成年初预算的116%，决算数大于年初预算数的主要原因是：含其他保障经费。</w:t>
      </w:r>
    </w:p>
    <w:p>
      <w:pPr>
        <w:pStyle w:val="15"/>
        <w:numPr>
          <w:ilvl w:val="0"/>
          <w:numId w:val="0"/>
        </w:numPr>
        <w:spacing w:line="600" w:lineRule="exact"/>
        <w:ind w:firstLine="640" w:firstLineChars="200"/>
        <w:rPr>
          <w:rFonts w:hint="eastAsia" w:ascii="Times New Roman" w:hAnsi="Times New Roman" w:eastAsia="仿宋_GB2312" w:cs="黑体"/>
          <w:color w:val="000000"/>
          <w:kern w:val="0"/>
          <w:sz w:val="32"/>
          <w:szCs w:val="32"/>
          <w:highlight w:val="none"/>
          <w:lang w:val="en-US" w:eastAsia="zh-CN" w:bidi="ar-SA"/>
        </w:rPr>
      </w:pPr>
      <w:r>
        <w:rPr>
          <w:rFonts w:hint="eastAsia" w:ascii="Times New Roman" w:hAnsi="Times New Roman" w:eastAsia="仿宋_GB2312" w:cs="黑体"/>
          <w:color w:val="000000"/>
          <w:kern w:val="0"/>
          <w:sz w:val="32"/>
          <w:szCs w:val="32"/>
          <w:highlight w:val="none"/>
          <w:lang w:val="en-US" w:eastAsia="zh-CN" w:bidi="ar-SA"/>
        </w:rPr>
        <w:t>5、农林水支出（类）农业农村（款）行政运行（项）。</w:t>
      </w:r>
    </w:p>
    <w:p>
      <w:pPr>
        <w:pStyle w:val="15"/>
        <w:numPr>
          <w:ilvl w:val="0"/>
          <w:numId w:val="0"/>
        </w:numPr>
        <w:spacing w:line="60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176.898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173.45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87.94</w:t>
      </w:r>
      <w:r>
        <w:rPr>
          <w:rFonts w:hint="eastAsia" w:ascii="Times New Roman" w:hAnsi="Times New Roman" w:eastAsia="仿宋_GB2312"/>
          <w:sz w:val="32"/>
          <w:szCs w:val="32"/>
        </w:rPr>
        <w:t>%，决算数小于年初预算数的主要原因是：</w:t>
      </w:r>
      <w:r>
        <w:rPr>
          <w:rFonts w:hint="eastAsia" w:ascii="Times New Roman" w:hAnsi="Times New Roman" w:eastAsia="仿宋_GB2312"/>
          <w:sz w:val="32"/>
          <w:szCs w:val="32"/>
          <w:lang w:eastAsia="zh-CN"/>
        </w:rPr>
        <w:t>经费调整。</w:t>
      </w:r>
    </w:p>
    <w:p>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630" w:leftChars="0" w:right="0" w:rightChars="0"/>
        <w:rPr>
          <w:rFonts w:hint="eastAsia" w:ascii="Times New Roman" w:hAnsi="Times New Roman" w:eastAsia="仿宋_GB2312" w:cs="黑体"/>
          <w:color w:val="000000"/>
          <w:kern w:val="0"/>
          <w:sz w:val="32"/>
          <w:szCs w:val="32"/>
          <w:highlight w:val="none"/>
          <w:lang w:val="en-US" w:eastAsia="zh-CN" w:bidi="ar-SA"/>
        </w:rPr>
      </w:pPr>
      <w:r>
        <w:rPr>
          <w:rFonts w:hint="eastAsia" w:ascii="Times New Roman" w:hAnsi="Times New Roman" w:eastAsia="仿宋_GB2312" w:cs="黑体"/>
          <w:color w:val="000000"/>
          <w:kern w:val="0"/>
          <w:sz w:val="32"/>
          <w:szCs w:val="32"/>
          <w:highlight w:val="none"/>
          <w:lang w:val="en-US" w:eastAsia="zh-CN" w:bidi="ar-SA"/>
        </w:rPr>
        <w:t>6、农林水支出（类）农业农村（款）机关服务（项）。</w:t>
      </w:r>
    </w:p>
    <w:p>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right="0" w:rightChars="0" w:firstLine="640" w:firstLineChars="200"/>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万元，</w:t>
      </w:r>
      <w:r>
        <w:rPr>
          <w:rFonts w:hint="eastAsia" w:ascii="Times New Roman" w:hAnsi="Times New Roman" w:eastAsia="仿宋_GB2312" w:cs="黑体"/>
          <w:color w:val="000000"/>
          <w:kern w:val="0"/>
          <w:sz w:val="32"/>
          <w:szCs w:val="32"/>
          <w:highlight w:val="none"/>
          <w:lang w:val="en-US" w:eastAsia="zh-CN" w:bidi="ar-SA"/>
        </w:rPr>
        <w:t>分母为0，所以无法计算完成年初预算</w:t>
      </w:r>
      <w:r>
        <w:rPr>
          <w:rFonts w:hint="eastAsia" w:ascii="Times New Roman" w:hAnsi="Times New Roman" w:eastAsia="仿宋_GB2312" w:cs="黑体"/>
          <w:color w:val="000000"/>
          <w:kern w:val="0"/>
          <w:sz w:val="32"/>
          <w:szCs w:val="32"/>
          <w:lang w:val="en-US" w:eastAsia="zh-CN" w:bidi="ar-SA"/>
        </w:rPr>
        <w:t>，决算数大于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eastAsia="zh-CN"/>
        </w:rPr>
        <w:t>经费调整。</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960" w:firstLineChars="300"/>
        <w:rPr>
          <w:rFonts w:hint="eastAsia" w:ascii="Times New Roman" w:hAnsi="Times New Roman" w:eastAsia="仿宋_GB2312" w:cs="黑体"/>
          <w:color w:val="000000"/>
          <w:kern w:val="0"/>
          <w:sz w:val="32"/>
          <w:szCs w:val="32"/>
          <w:highlight w:val="none"/>
          <w:lang w:val="en-US" w:eastAsia="zh-CN" w:bidi="ar-SA"/>
        </w:rPr>
      </w:pPr>
      <w:r>
        <w:rPr>
          <w:rFonts w:hint="eastAsia" w:ascii="Times New Roman" w:hAnsi="Times New Roman" w:eastAsia="仿宋_GB2312" w:cs="黑体"/>
          <w:color w:val="000000"/>
          <w:kern w:val="0"/>
          <w:sz w:val="32"/>
          <w:szCs w:val="32"/>
          <w:highlight w:val="none"/>
          <w:lang w:val="en-US" w:eastAsia="zh-CN" w:bidi="ar-SA"/>
        </w:rPr>
        <w:t>7、农林水支出（类）农业农村（款）事业运行（项）。</w:t>
      </w:r>
    </w:p>
    <w:p>
      <w:pPr>
        <w:pStyle w:val="15"/>
        <w:spacing w:line="600" w:lineRule="exact"/>
        <w:ind w:firstLine="800" w:firstLineChars="250"/>
        <w:rPr>
          <w:rFonts w:hint="eastAsia" w:ascii="Times New Roman" w:hAnsi="Times New Roman" w:eastAsia="仿宋_GB2312" w:cs="黑体"/>
          <w:color w:val="000000"/>
          <w:kern w:val="0"/>
          <w:sz w:val="32"/>
          <w:szCs w:val="32"/>
          <w:highlight w:val="none"/>
          <w:lang w:val="en-US" w:eastAsia="zh-CN" w:bidi="ar-SA"/>
        </w:rPr>
      </w:pPr>
      <w:r>
        <w:rPr>
          <w:rFonts w:hint="eastAsia" w:ascii="Times New Roman" w:hAnsi="Times New Roman" w:eastAsia="仿宋_GB2312" w:cs="黑体"/>
          <w:color w:val="000000"/>
          <w:kern w:val="0"/>
          <w:sz w:val="32"/>
          <w:szCs w:val="32"/>
          <w:highlight w:val="none"/>
          <w:lang w:val="en-US" w:eastAsia="zh-CN" w:bidi="ar-SA"/>
        </w:rPr>
        <w:t>年初预算为0万元，支出决算为2.82万元，分母为0，所以无法计算完成年初预算</w:t>
      </w:r>
      <w:r>
        <w:rPr>
          <w:rFonts w:hint="eastAsia" w:ascii="Times New Roman" w:hAnsi="Times New Roman" w:eastAsia="仿宋_GB2312" w:cs="黑体"/>
          <w:color w:val="000000"/>
          <w:kern w:val="0"/>
          <w:sz w:val="32"/>
          <w:szCs w:val="32"/>
          <w:lang w:val="en-US" w:eastAsia="zh-CN" w:bidi="ar-SA"/>
        </w:rPr>
        <w:t>，决算数大于</w:t>
      </w:r>
      <w:r>
        <w:rPr>
          <w:rFonts w:hint="eastAsia" w:ascii="Times New Roman" w:hAnsi="Times New Roman" w:eastAsia="仿宋_GB2312" w:cs="黑体"/>
          <w:color w:val="000000"/>
          <w:kern w:val="0"/>
          <w:sz w:val="32"/>
          <w:szCs w:val="32"/>
          <w:highlight w:val="none"/>
          <w:lang w:val="en-US" w:eastAsia="zh-CN" w:bidi="ar-SA"/>
        </w:rPr>
        <w:t>年初预算数的主要原因是：经费调整。</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960" w:firstLineChars="300"/>
        <w:rPr>
          <w:rFonts w:hint="eastAsia" w:ascii="Times New Roman" w:hAnsi="Times New Roman" w:eastAsia="仿宋_GB2312" w:cs="黑体"/>
          <w:color w:val="000000"/>
          <w:kern w:val="0"/>
          <w:sz w:val="32"/>
          <w:szCs w:val="32"/>
          <w:highlight w:val="none"/>
          <w:lang w:val="en-US" w:eastAsia="zh-CN" w:bidi="ar-SA"/>
        </w:rPr>
      </w:pPr>
      <w:r>
        <w:rPr>
          <w:rFonts w:hint="eastAsia" w:ascii="Times New Roman" w:hAnsi="Times New Roman" w:eastAsia="仿宋_GB2312" w:cs="黑体"/>
          <w:color w:val="000000"/>
          <w:kern w:val="0"/>
          <w:sz w:val="32"/>
          <w:szCs w:val="32"/>
          <w:highlight w:val="none"/>
          <w:lang w:val="en-US" w:eastAsia="zh-CN" w:bidi="ar-SA"/>
        </w:rPr>
        <w:t>8、农林水支出（类）农业农村（款）农业生产发展（项）。</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960" w:firstLineChars="300"/>
        <w:rPr>
          <w:rFonts w:hint="eastAsia" w:ascii="Times New Roman" w:hAnsi="Times New Roman" w:eastAsia="仿宋_GB2312" w:cs="黑体"/>
          <w:color w:val="000000"/>
          <w:kern w:val="0"/>
          <w:sz w:val="32"/>
          <w:szCs w:val="32"/>
          <w:highlight w:val="none"/>
          <w:lang w:val="en-US" w:eastAsia="zh-CN" w:bidi="ar-SA"/>
        </w:rPr>
      </w:pPr>
      <w:r>
        <w:rPr>
          <w:rFonts w:hint="eastAsia" w:ascii="Times New Roman" w:hAnsi="Times New Roman" w:eastAsia="仿宋_GB2312" w:cs="黑体"/>
          <w:color w:val="000000"/>
          <w:kern w:val="0"/>
          <w:sz w:val="32"/>
          <w:szCs w:val="32"/>
          <w:highlight w:val="none"/>
          <w:lang w:val="en-US" w:eastAsia="zh-CN" w:bidi="ar-SA"/>
        </w:rPr>
        <w:t>年初预算为0万元，支出决算为168.43万元，分母为0，所以无法计算完成年初预算</w:t>
      </w:r>
      <w:r>
        <w:rPr>
          <w:rFonts w:hint="eastAsia" w:ascii="Times New Roman" w:hAnsi="Times New Roman" w:eastAsia="仿宋_GB2312" w:cs="黑体"/>
          <w:color w:val="000000"/>
          <w:kern w:val="0"/>
          <w:sz w:val="32"/>
          <w:szCs w:val="32"/>
          <w:lang w:val="en-US" w:eastAsia="zh-CN" w:bidi="ar-SA"/>
        </w:rPr>
        <w:t>，决算数大于</w:t>
      </w:r>
      <w:r>
        <w:rPr>
          <w:rFonts w:hint="eastAsia" w:ascii="Times New Roman" w:hAnsi="Times New Roman" w:eastAsia="仿宋_GB2312" w:cs="黑体"/>
          <w:color w:val="000000"/>
          <w:kern w:val="0"/>
          <w:sz w:val="32"/>
          <w:szCs w:val="32"/>
          <w:highlight w:val="none"/>
          <w:lang w:val="en-US" w:eastAsia="zh-CN" w:bidi="ar-SA"/>
        </w:rPr>
        <w:t>年初预算数的主要原因是：经费调整。</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960" w:firstLineChars="300"/>
        <w:rPr>
          <w:rFonts w:hint="eastAsia" w:ascii="Times New Roman" w:hAnsi="Times New Roman" w:eastAsia="仿宋_GB2312" w:cs="黑体"/>
          <w:color w:val="000000"/>
          <w:kern w:val="0"/>
          <w:sz w:val="32"/>
          <w:szCs w:val="32"/>
          <w:highlight w:val="none"/>
          <w:lang w:val="en-US" w:eastAsia="zh-CN" w:bidi="ar-SA"/>
        </w:rPr>
      </w:pPr>
      <w:r>
        <w:rPr>
          <w:rFonts w:hint="eastAsia" w:ascii="Times New Roman" w:hAnsi="Times New Roman" w:eastAsia="仿宋_GB2312" w:cs="黑体"/>
          <w:color w:val="000000"/>
          <w:kern w:val="0"/>
          <w:sz w:val="32"/>
          <w:szCs w:val="32"/>
          <w:highlight w:val="none"/>
          <w:lang w:val="en-US" w:eastAsia="zh-CN" w:bidi="ar-SA"/>
        </w:rPr>
        <w:t>9、农林水支出（类）农业农村（款）其他农业农村支出（项）。</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960" w:firstLineChars="300"/>
        <w:rPr>
          <w:rFonts w:hint="eastAsia" w:ascii="Times New Roman" w:hAnsi="Times New Roman" w:eastAsia="仿宋_GB2312" w:cs="黑体"/>
          <w:color w:val="000000"/>
          <w:kern w:val="0"/>
          <w:sz w:val="32"/>
          <w:szCs w:val="32"/>
          <w:highlight w:val="none"/>
          <w:lang w:val="en-US" w:eastAsia="zh-CN" w:bidi="ar-SA"/>
        </w:rPr>
      </w:pPr>
      <w:r>
        <w:rPr>
          <w:rFonts w:hint="eastAsia" w:ascii="Times New Roman" w:hAnsi="Times New Roman" w:eastAsia="仿宋_GB2312" w:cs="黑体"/>
          <w:color w:val="000000"/>
          <w:kern w:val="0"/>
          <w:sz w:val="32"/>
          <w:szCs w:val="32"/>
          <w:highlight w:val="none"/>
          <w:lang w:val="en-US" w:eastAsia="zh-CN" w:bidi="ar-SA"/>
        </w:rPr>
        <w:t>年初预算为0万元，支出决算为28.36万元，分母为0，所以无法计算完成年初预算</w:t>
      </w:r>
      <w:r>
        <w:rPr>
          <w:rFonts w:hint="eastAsia" w:ascii="Times New Roman" w:hAnsi="Times New Roman" w:eastAsia="仿宋_GB2312" w:cs="黑体"/>
          <w:color w:val="000000"/>
          <w:kern w:val="0"/>
          <w:sz w:val="32"/>
          <w:szCs w:val="32"/>
          <w:lang w:val="en-US" w:eastAsia="zh-CN" w:bidi="ar-SA"/>
        </w:rPr>
        <w:t>，决算数大于</w:t>
      </w:r>
      <w:r>
        <w:rPr>
          <w:rFonts w:hint="eastAsia" w:ascii="Times New Roman" w:hAnsi="Times New Roman" w:eastAsia="仿宋_GB2312" w:cs="黑体"/>
          <w:color w:val="000000"/>
          <w:kern w:val="0"/>
          <w:sz w:val="32"/>
          <w:szCs w:val="32"/>
          <w:highlight w:val="none"/>
          <w:lang w:val="en-US" w:eastAsia="zh-CN" w:bidi="ar-SA"/>
        </w:rPr>
        <w:t>年初预算数的主要原因是：经费调整。</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960" w:firstLineChars="300"/>
        <w:rPr>
          <w:rFonts w:hint="eastAsia" w:ascii="Times New Roman" w:hAnsi="Times New Roman" w:eastAsia="仿宋_GB2312" w:cs="黑体"/>
          <w:color w:val="000000"/>
          <w:kern w:val="0"/>
          <w:sz w:val="32"/>
          <w:szCs w:val="32"/>
          <w:highlight w:val="none"/>
          <w:lang w:val="en-US" w:eastAsia="zh-CN" w:bidi="ar-SA"/>
        </w:rPr>
      </w:pPr>
      <w:r>
        <w:rPr>
          <w:rFonts w:hint="eastAsia" w:ascii="Times New Roman" w:hAnsi="Times New Roman" w:eastAsia="仿宋_GB2312" w:cs="黑体"/>
          <w:color w:val="000000"/>
          <w:kern w:val="0"/>
          <w:sz w:val="32"/>
          <w:szCs w:val="32"/>
          <w:highlight w:val="none"/>
          <w:lang w:val="en-US" w:eastAsia="zh-CN" w:bidi="ar-SA"/>
        </w:rPr>
        <w:t>10、农林水支出（类）巩固脱贫攻坚成果衔接乡村振兴（款）其他巩固脱贫攻坚成果衔接乡村振兴支出（项）。</w:t>
      </w:r>
    </w:p>
    <w:p>
      <w:pPr>
        <w:pStyle w:val="15"/>
        <w:spacing w:line="600" w:lineRule="exact"/>
        <w:ind w:firstLine="800" w:firstLineChars="250"/>
        <w:rPr>
          <w:rFonts w:hint="eastAsia" w:ascii="Times New Roman" w:hAnsi="Times New Roman" w:eastAsia="仿宋_GB2312" w:cs="黑体"/>
          <w:color w:val="000000"/>
          <w:kern w:val="0"/>
          <w:sz w:val="32"/>
          <w:szCs w:val="32"/>
          <w:highlight w:val="none"/>
          <w:lang w:val="en-US" w:eastAsia="zh-CN" w:bidi="ar-SA"/>
        </w:rPr>
      </w:pPr>
      <w:r>
        <w:rPr>
          <w:rFonts w:hint="eastAsia" w:ascii="Times New Roman" w:hAnsi="Times New Roman" w:eastAsia="仿宋_GB2312" w:cs="黑体"/>
          <w:color w:val="000000"/>
          <w:kern w:val="0"/>
          <w:sz w:val="32"/>
          <w:szCs w:val="32"/>
          <w:highlight w:val="none"/>
          <w:lang w:val="en-US" w:eastAsia="zh-CN" w:bidi="ar-SA"/>
        </w:rPr>
        <w:t>年初预算为0万元，支出决算为800万元，分母为0，所以无法计算完成年初预算</w:t>
      </w:r>
      <w:r>
        <w:rPr>
          <w:rFonts w:hint="eastAsia" w:ascii="Times New Roman" w:hAnsi="Times New Roman" w:eastAsia="仿宋_GB2312" w:cs="黑体"/>
          <w:color w:val="000000"/>
          <w:kern w:val="0"/>
          <w:sz w:val="32"/>
          <w:szCs w:val="32"/>
          <w:lang w:val="en-US" w:eastAsia="zh-CN" w:bidi="ar-SA"/>
        </w:rPr>
        <w:t>，决算数大于</w:t>
      </w:r>
      <w:r>
        <w:rPr>
          <w:rFonts w:hint="eastAsia" w:ascii="Times New Roman" w:hAnsi="Times New Roman" w:eastAsia="仿宋_GB2312" w:cs="黑体"/>
          <w:color w:val="000000"/>
          <w:kern w:val="0"/>
          <w:sz w:val="32"/>
          <w:szCs w:val="32"/>
          <w:highlight w:val="none"/>
          <w:lang w:val="en-US" w:eastAsia="zh-CN" w:bidi="ar-SA"/>
        </w:rPr>
        <w:t>年初预算数的主要原因是：发放</w:t>
      </w:r>
      <w:r>
        <w:rPr>
          <w:rFonts w:hint="eastAsia" w:ascii="Times New Roman" w:hAnsi="Times New Roman" w:eastAsia="仿宋_GB2312"/>
          <w:sz w:val="32"/>
          <w:szCs w:val="32"/>
        </w:rPr>
        <w:t>村集体经济发展项目专项资金</w:t>
      </w:r>
      <w:r>
        <w:rPr>
          <w:rFonts w:hint="eastAsia" w:ascii="Times New Roman" w:hAnsi="Times New Roman" w:eastAsia="仿宋_GB2312" w:cs="黑体"/>
          <w:color w:val="000000"/>
          <w:kern w:val="0"/>
          <w:sz w:val="32"/>
          <w:szCs w:val="32"/>
          <w:highlight w:val="none"/>
          <w:lang w:val="en-US" w:eastAsia="zh-CN" w:bidi="ar-SA"/>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960" w:firstLineChars="300"/>
        <w:rPr>
          <w:rFonts w:hint="eastAsia" w:ascii="Times New Roman" w:hAnsi="Times New Roman" w:eastAsia="仿宋_GB2312" w:cs="黑体"/>
          <w:color w:val="000000"/>
          <w:kern w:val="0"/>
          <w:sz w:val="32"/>
          <w:szCs w:val="32"/>
          <w:highlight w:val="none"/>
          <w:lang w:val="en-US" w:eastAsia="zh-CN" w:bidi="ar-SA"/>
        </w:rPr>
      </w:pPr>
      <w:r>
        <w:rPr>
          <w:rFonts w:hint="eastAsia" w:ascii="Times New Roman" w:hAnsi="Times New Roman" w:eastAsia="仿宋_GB2312" w:cs="黑体"/>
          <w:color w:val="000000"/>
          <w:kern w:val="0"/>
          <w:sz w:val="32"/>
          <w:szCs w:val="32"/>
          <w:highlight w:val="none"/>
          <w:lang w:val="en-US" w:eastAsia="zh-CN" w:bidi="ar-SA"/>
        </w:rPr>
        <w:t>11、住房保障支出（类）住房改革支出（款）住房公积金（项）。</w:t>
      </w:r>
    </w:p>
    <w:p>
      <w:pPr>
        <w:pStyle w:val="15"/>
        <w:spacing w:line="600" w:lineRule="exact"/>
        <w:ind w:firstLine="800" w:firstLineChars="250"/>
        <w:rPr>
          <w:rFonts w:ascii="Times New Roman" w:hAnsi="Times New Roman" w:eastAsia="仿宋_GB2312" w:cs="Times New Roman"/>
          <w:sz w:val="32"/>
          <w:szCs w:val="32"/>
        </w:rPr>
      </w:pPr>
      <w:r>
        <w:rPr>
          <w:rFonts w:hint="eastAsia" w:ascii="Times New Roman" w:hAnsi="Times New Roman" w:eastAsia="仿宋_GB2312" w:cs="黑体"/>
          <w:color w:val="000000"/>
          <w:kern w:val="0"/>
          <w:sz w:val="32"/>
          <w:szCs w:val="32"/>
          <w:highlight w:val="none"/>
          <w:lang w:val="en-US" w:eastAsia="zh-CN" w:bidi="ar-SA"/>
        </w:rPr>
        <w:t>年初预算为0万元，支出决算为12.57万元，分母为0，所以无法计算完成年初预算</w:t>
      </w:r>
      <w:r>
        <w:rPr>
          <w:rFonts w:hint="eastAsia" w:ascii="Times New Roman" w:hAnsi="Times New Roman" w:eastAsia="仿宋_GB2312" w:cs="黑体"/>
          <w:color w:val="000000"/>
          <w:kern w:val="0"/>
          <w:sz w:val="32"/>
          <w:szCs w:val="32"/>
          <w:lang w:val="en-US" w:eastAsia="zh-CN" w:bidi="ar-SA"/>
        </w:rPr>
        <w:t>，决算数大于</w:t>
      </w:r>
      <w:r>
        <w:rPr>
          <w:rFonts w:hint="eastAsia" w:ascii="Times New Roman" w:hAnsi="Times New Roman" w:eastAsia="仿宋_GB2312" w:cs="黑体"/>
          <w:color w:val="000000"/>
          <w:kern w:val="0"/>
          <w:sz w:val="32"/>
          <w:szCs w:val="32"/>
          <w:highlight w:val="none"/>
          <w:lang w:val="en-US" w:eastAsia="zh-CN" w:bidi="ar-SA"/>
        </w:rPr>
        <w:t>年初预算数的主要原因是：经费调整。</w:t>
      </w:r>
    </w:p>
    <w:p>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lang w:val="en-US" w:eastAsia="zh-CN"/>
        </w:rPr>
        <w:t>329.91</w:t>
      </w:r>
      <w:r>
        <w:rPr>
          <w:rFonts w:ascii="Times New Roman" w:hAnsi="Times New Roman" w:eastAsia="仿宋_GB2312" w:cs="Times New Roman"/>
          <w:sz w:val="32"/>
          <w:szCs w:val="32"/>
        </w:rPr>
        <w:t>万元，其中：</w:t>
      </w:r>
    </w:p>
    <w:p>
      <w:pPr>
        <w:pStyle w:val="15"/>
        <w:spacing w:line="600" w:lineRule="exact"/>
        <w:ind w:firstLine="640" w:firstLineChars="200"/>
        <w:rPr>
          <w:rFonts w:hint="eastAsia" w:ascii="Times New Roman" w:hAnsi="Times New Roman" w:eastAsia="仿宋_GB2312"/>
          <w:sz w:val="32"/>
          <w:szCs w:val="32"/>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sz w:val="32"/>
          <w:szCs w:val="32"/>
          <w:lang w:val="en-US" w:eastAsia="zh-CN"/>
        </w:rPr>
        <w:t>217.58</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66</w:t>
      </w:r>
      <w:r>
        <w:rPr>
          <w:rFonts w:ascii="Times New Roman" w:hAnsi="Times New Roman" w:eastAsia="仿宋_GB2312" w:cs="Times New Roman"/>
          <w:sz w:val="32"/>
          <w:szCs w:val="32"/>
        </w:rPr>
        <w:t>%,主要包括</w:t>
      </w:r>
      <w:r>
        <w:rPr>
          <w:rFonts w:hint="eastAsia" w:ascii="Times New Roman" w:hAnsi="Times New Roman" w:eastAsia="仿宋_GB2312"/>
          <w:sz w:val="32"/>
          <w:szCs w:val="32"/>
        </w:rPr>
        <w:t>基本工资、津贴补贴、奖金、</w:t>
      </w:r>
      <w:r>
        <w:rPr>
          <w:rFonts w:hint="eastAsia" w:ascii="Times New Roman" w:hAnsi="Times New Roman" w:eastAsia="仿宋_GB2312"/>
          <w:sz w:val="32"/>
          <w:szCs w:val="32"/>
          <w:lang w:eastAsia="zh-CN"/>
        </w:rPr>
        <w:t>绩效工资、</w:t>
      </w:r>
      <w:r>
        <w:rPr>
          <w:rFonts w:hint="eastAsia" w:ascii="Times New Roman" w:hAnsi="Times New Roman" w:eastAsia="仿宋_GB2312"/>
          <w:sz w:val="32"/>
          <w:szCs w:val="32"/>
        </w:rPr>
        <w:t>机关事业单位基本养老保险缴费、职工基本医疗保险缴费、其他社会保障</w:t>
      </w:r>
      <w:r>
        <w:rPr>
          <w:rFonts w:hint="eastAsia" w:ascii="Times New Roman" w:hAnsi="Times New Roman" w:eastAsia="仿宋_GB2312"/>
          <w:sz w:val="32"/>
          <w:szCs w:val="32"/>
          <w:highlight w:val="none"/>
        </w:rPr>
        <w:t>缴费</w:t>
      </w:r>
      <w:r>
        <w:rPr>
          <w:rFonts w:hint="eastAsia" w:ascii="Times New Roman" w:hAnsi="Times New Roman" w:eastAsia="仿宋_GB2312"/>
          <w:sz w:val="32"/>
          <w:szCs w:val="32"/>
          <w:highlight w:val="none"/>
          <w:lang w:eastAsia="zh-CN"/>
        </w:rPr>
        <w:t>、住房公积金、抚恤金、奖励金、个人农业生产补贴、其他对个人和家庭的补助</w:t>
      </w:r>
      <w:r>
        <w:rPr>
          <w:rFonts w:hint="eastAsia" w:ascii="Times New Roman" w:hAnsi="Times New Roman" w:eastAsia="仿宋_GB2312"/>
          <w:sz w:val="32"/>
          <w:szCs w:val="32"/>
          <w:highlight w:val="none"/>
        </w:rPr>
        <w:t>。</w:t>
      </w:r>
    </w:p>
    <w:p>
      <w:pPr>
        <w:pStyle w:val="15"/>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sz w:val="32"/>
          <w:szCs w:val="32"/>
          <w:lang w:val="en-US" w:eastAsia="zh-CN"/>
        </w:rPr>
        <w:t>112.33</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34</w:t>
      </w:r>
      <w:r>
        <w:rPr>
          <w:rFonts w:ascii="Times New Roman" w:hAnsi="Times New Roman" w:eastAsia="仿宋_GB2312" w:cs="Times New Roman"/>
          <w:sz w:val="32"/>
          <w:szCs w:val="32"/>
        </w:rPr>
        <w:t>%，主要包括办公费、印刷费、</w:t>
      </w:r>
      <w:r>
        <w:rPr>
          <w:rFonts w:hint="eastAsia" w:ascii="Times New Roman" w:hAnsi="Times New Roman" w:eastAsia="仿宋_GB2312"/>
          <w:sz w:val="32"/>
          <w:szCs w:val="32"/>
        </w:rPr>
        <w:t>水费、电费、邮电费、差旅费、维修（护）费、培训费、公务接待费、</w:t>
      </w:r>
      <w:r>
        <w:rPr>
          <w:rFonts w:hint="eastAsia" w:ascii="Times New Roman" w:hAnsi="Times New Roman" w:eastAsia="仿宋_GB2312"/>
          <w:sz w:val="32"/>
          <w:szCs w:val="32"/>
          <w:lang w:eastAsia="zh-CN"/>
        </w:rPr>
        <w:t>劳务费、</w:t>
      </w:r>
      <w:r>
        <w:rPr>
          <w:rFonts w:hint="eastAsia" w:ascii="Times New Roman" w:hAnsi="Times New Roman" w:eastAsia="仿宋_GB2312"/>
          <w:sz w:val="32"/>
          <w:szCs w:val="32"/>
        </w:rPr>
        <w:t>工会经费、其他交通费用</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其他商品和服务支出</w:t>
      </w:r>
      <w:r>
        <w:rPr>
          <w:rFonts w:hint="eastAsia" w:ascii="Times New Roman" w:hAnsi="Times New Roman" w:eastAsia="仿宋_GB2312"/>
          <w:sz w:val="32"/>
          <w:szCs w:val="32"/>
          <w:lang w:eastAsia="zh-CN"/>
        </w:rPr>
        <w:t>及办公室设备购置</w:t>
      </w:r>
      <w:r>
        <w:rPr>
          <w:rFonts w:hint="eastAsia" w:ascii="Times New Roman" w:hAnsi="Times New Roman" w:eastAsia="仿宋_GB2312"/>
          <w:sz w:val="32"/>
          <w:szCs w:val="32"/>
        </w:rPr>
        <w:t>。</w:t>
      </w:r>
    </w:p>
    <w:p>
      <w:pPr>
        <w:pStyle w:val="15"/>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cs="Times New Roman"/>
          <w:bCs/>
          <w:sz w:val="32"/>
          <w:szCs w:val="32"/>
        </w:rPr>
        <w:t>七、财政拨款“三公”经费支出决算情况说明</w:t>
      </w:r>
      <w:r>
        <w:rPr>
          <w:rFonts w:ascii="Times New Roman" w:hAnsi="Times New Roman" w:eastAsia="楷体_GB2312" w:cs="Times New Roman"/>
          <w:b/>
          <w:bCs/>
          <w:i/>
          <w:color w:val="auto"/>
          <w:sz w:val="32"/>
          <w:szCs w:val="32"/>
        </w:rPr>
        <w:t>（注意：“三公”经费不再是一般公共预算财政拨款口径，而是财政拨款口径）</w:t>
      </w:r>
    </w:p>
    <w:p>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pPr>
        <w:pStyle w:val="15"/>
        <w:overflowPunct w:val="0"/>
        <w:autoSpaceDE/>
        <w:autoSpaceDN/>
        <w:spacing w:line="60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lang w:val="en-US" w:eastAsia="zh-CN"/>
        </w:rPr>
        <w:t>2.13</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2.13</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0.77</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26.55</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highlight w:val="none"/>
          <w:lang w:eastAsia="zh-CN"/>
        </w:rPr>
        <w:t>等于</w:t>
      </w:r>
      <w:r>
        <w:rPr>
          <w:rFonts w:ascii="Times New Roman" w:hAnsi="Times New Roman" w:eastAsia="仿宋_GB2312" w:cs="Times New Roman"/>
          <w:sz w:val="32"/>
          <w:szCs w:val="32"/>
        </w:rPr>
        <w:t>预算数的主要原因是</w:t>
      </w:r>
      <w:r>
        <w:rPr>
          <w:rFonts w:hint="eastAsia" w:ascii="Times New Roman" w:hAnsi="Times New Roman" w:eastAsia="仿宋_GB2312" w:cs="Times New Roman"/>
          <w:sz w:val="32"/>
          <w:szCs w:val="32"/>
          <w:lang w:eastAsia="zh-CN"/>
        </w:rPr>
        <w:t>严格管控支出</w:t>
      </w:r>
      <w:r>
        <w:rPr>
          <w:rFonts w:ascii="Times New Roman" w:hAnsi="Times New Roman" w:eastAsia="仿宋_GB2312" w:cs="Times New Roman"/>
          <w:sz w:val="32"/>
          <w:szCs w:val="32"/>
        </w:rPr>
        <w:t>。决算数小于上年数的主要原因是</w:t>
      </w:r>
      <w:r>
        <w:rPr>
          <w:rFonts w:hint="eastAsia" w:ascii="Times New Roman" w:hAnsi="Times New Roman" w:eastAsia="仿宋_GB2312"/>
          <w:sz w:val="32"/>
          <w:szCs w:val="32"/>
        </w:rPr>
        <w:t>节约开支</w:t>
      </w:r>
      <w:r>
        <w:rPr>
          <w:rFonts w:ascii="Times New Roman" w:hAnsi="Times New Roman" w:eastAsia="仿宋_GB2312" w:cs="Times New Roman"/>
          <w:sz w:val="32"/>
          <w:szCs w:val="32"/>
        </w:rPr>
        <w:t>。</w:t>
      </w:r>
    </w:p>
    <w:p>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pPr>
        <w:pStyle w:val="15"/>
        <w:overflowPunct w:val="0"/>
        <w:autoSpaceDE/>
        <w:autoSpaceDN/>
        <w:spacing w:line="600" w:lineRule="exact"/>
        <w:ind w:firstLine="640" w:firstLineChars="200"/>
        <w:jc w:val="both"/>
        <w:rPr>
          <w:rFonts w:hint="eastAsia" w:ascii="Times New Roman" w:hAnsi="Times New Roman" w:eastAsia="仿宋_GB2312" w:cs="Times New Roman"/>
          <w:b/>
          <w:bCs/>
          <w:i/>
          <w:color w:val="auto"/>
          <w:sz w:val="32"/>
          <w:szCs w:val="32"/>
          <w:lang w:val="en-US" w:eastAsia="zh-CN"/>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%；与上年相比增加（减少）</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万元，增长（降低）</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预算数的主要原因是无因公出国人员</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等于</w:t>
      </w:r>
      <w:r>
        <w:rPr>
          <w:rFonts w:ascii="Times New Roman" w:hAnsi="Times New Roman" w:eastAsia="仿宋_GB2312" w:cs="Times New Roman"/>
          <w:sz w:val="32"/>
          <w:szCs w:val="32"/>
        </w:rPr>
        <w:t>上年数的主要原因是</w:t>
      </w:r>
      <w:r>
        <w:rPr>
          <w:rFonts w:hint="eastAsia" w:ascii="Times New Roman" w:hAnsi="Times New Roman" w:eastAsia="仿宋_GB2312"/>
          <w:sz w:val="32"/>
          <w:szCs w:val="32"/>
        </w:rPr>
        <w:t>无因公出国人员</w:t>
      </w:r>
      <w:r>
        <w:rPr>
          <w:rFonts w:ascii="Times New Roman" w:hAnsi="Times New Roman" w:eastAsia="仿宋_GB2312" w:cs="Times New Roman"/>
          <w:sz w:val="32"/>
          <w:szCs w:val="32"/>
        </w:rPr>
        <w:t>。2024年度安排因公出国（境）团组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个，累计</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人次</w:t>
      </w:r>
      <w:r>
        <w:rPr>
          <w:rFonts w:hint="eastAsia" w:ascii="Times New Roman" w:hAnsi="Times New Roman" w:eastAsia="仿宋_GB2312" w:cs="Times New Roman"/>
          <w:sz w:val="32"/>
          <w:szCs w:val="32"/>
          <w:lang w:eastAsia="zh-CN"/>
        </w:rPr>
        <w:t>。</w:t>
      </w:r>
    </w:p>
    <w:p>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%；与上年相比增加（减少）</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万元，增长（降低）</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%。其中：</w:t>
      </w:r>
    </w:p>
    <w:p>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公务用车购置费支出预算为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%；与上年相比增加（减少）</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万元，增长（降低）</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等于</w:t>
      </w:r>
      <w:r>
        <w:rPr>
          <w:rFonts w:ascii="Times New Roman" w:hAnsi="Times New Roman" w:eastAsia="仿宋_GB2312" w:cs="Times New Roman"/>
          <w:sz w:val="32"/>
          <w:szCs w:val="32"/>
        </w:rPr>
        <w:t>预算数的主要原因是</w:t>
      </w:r>
      <w:r>
        <w:rPr>
          <w:rFonts w:hint="eastAsia" w:ascii="Times New Roman" w:hAnsi="Times New Roman" w:eastAsia="仿宋_GB2312" w:cs="黑体"/>
          <w:color w:val="auto"/>
          <w:kern w:val="0"/>
          <w:sz w:val="32"/>
          <w:szCs w:val="32"/>
          <w:lang w:val="en-US" w:eastAsia="zh-CN" w:bidi="ar-SA"/>
        </w:rPr>
        <w:t>没有购置公车</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等于</w:t>
      </w:r>
      <w:r>
        <w:rPr>
          <w:rFonts w:ascii="Times New Roman" w:hAnsi="Times New Roman" w:eastAsia="仿宋_GB2312" w:cs="Times New Roman"/>
          <w:sz w:val="32"/>
          <w:szCs w:val="32"/>
        </w:rPr>
        <w:t>上年数的主要原因是</w:t>
      </w:r>
      <w:r>
        <w:rPr>
          <w:rFonts w:hint="eastAsia" w:ascii="Times New Roman" w:hAnsi="Times New Roman" w:eastAsia="仿宋_GB2312" w:cs="黑体"/>
          <w:color w:val="auto"/>
          <w:kern w:val="0"/>
          <w:sz w:val="32"/>
          <w:szCs w:val="32"/>
          <w:lang w:val="en-US" w:eastAsia="zh-CN" w:bidi="ar-SA"/>
        </w:rPr>
        <w:t>没有购置公车</w:t>
      </w:r>
      <w:r>
        <w:rPr>
          <w:rFonts w:ascii="Times New Roman" w:hAnsi="Times New Roman" w:eastAsia="仿宋_GB2312" w:cs="Times New Roman"/>
          <w:sz w:val="32"/>
          <w:szCs w:val="32"/>
        </w:rPr>
        <w:t>。</w:t>
      </w:r>
    </w:p>
    <w:p>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%；与上年相比增加（减少）</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万元，增长（降低）</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等于</w:t>
      </w:r>
      <w:r>
        <w:rPr>
          <w:rFonts w:ascii="Times New Roman" w:hAnsi="Times New Roman" w:eastAsia="仿宋_GB2312" w:cs="Times New Roman"/>
          <w:sz w:val="32"/>
          <w:szCs w:val="32"/>
        </w:rPr>
        <w:t>预算数的主要原因是</w:t>
      </w:r>
      <w:r>
        <w:rPr>
          <w:rFonts w:hint="eastAsia" w:ascii="Times New Roman" w:hAnsi="Times New Roman" w:eastAsia="仿宋_GB2312" w:cs="黑体"/>
          <w:color w:val="auto"/>
          <w:kern w:val="0"/>
          <w:sz w:val="32"/>
          <w:szCs w:val="32"/>
          <w:lang w:val="en-US" w:eastAsia="zh-CN" w:bidi="ar-SA"/>
        </w:rPr>
        <w:t>本单位没有公车</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等于</w:t>
      </w:r>
      <w:r>
        <w:rPr>
          <w:rFonts w:ascii="Times New Roman" w:hAnsi="Times New Roman" w:eastAsia="仿宋_GB2312" w:cs="Times New Roman"/>
          <w:sz w:val="32"/>
          <w:szCs w:val="32"/>
        </w:rPr>
        <w:t>上年数的主要原因是</w:t>
      </w:r>
      <w:r>
        <w:rPr>
          <w:rFonts w:hint="eastAsia" w:ascii="Times New Roman" w:hAnsi="Times New Roman" w:eastAsia="仿宋_GB2312" w:cs="黑体"/>
          <w:color w:val="auto"/>
          <w:kern w:val="0"/>
          <w:sz w:val="32"/>
          <w:szCs w:val="32"/>
          <w:lang w:val="en-US" w:eastAsia="zh-CN" w:bidi="ar-SA"/>
        </w:rPr>
        <w:t>本单位没有公车</w:t>
      </w:r>
      <w:r>
        <w:rPr>
          <w:rFonts w:ascii="Times New Roman" w:hAnsi="Times New Roman" w:eastAsia="仿宋_GB2312" w:cs="Times New Roman"/>
          <w:sz w:val="32"/>
          <w:szCs w:val="32"/>
        </w:rPr>
        <w:t>。截止2024年12月31日，我单位开支财政拨款的公务用车保有量为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辆。</w:t>
      </w:r>
    </w:p>
    <w:p>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3.公务接待费支出预算为</w:t>
      </w:r>
      <w:r>
        <w:rPr>
          <w:rFonts w:hint="eastAsia" w:ascii="Times New Roman" w:hAnsi="Times New Roman" w:eastAsia="仿宋_GB2312" w:cs="Times New Roman"/>
          <w:sz w:val="32"/>
          <w:szCs w:val="32"/>
          <w:lang w:val="en-US" w:eastAsia="zh-CN"/>
        </w:rPr>
        <w:t>2.13</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2.13</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0.77</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26.55</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等于</w:t>
      </w:r>
      <w:r>
        <w:rPr>
          <w:rFonts w:ascii="Times New Roman" w:hAnsi="Times New Roman" w:eastAsia="仿宋_GB2312" w:cs="Times New Roman"/>
          <w:sz w:val="32"/>
          <w:szCs w:val="32"/>
        </w:rPr>
        <w:t>预算数的主</w:t>
      </w:r>
      <w:r>
        <w:rPr>
          <w:rFonts w:ascii="Times New Roman" w:hAnsi="Times New Roman" w:eastAsia="仿宋_GB2312" w:cs="Times New Roman"/>
          <w:sz w:val="32"/>
          <w:szCs w:val="32"/>
          <w:highlight w:val="none"/>
        </w:rPr>
        <w:t>要原因是</w:t>
      </w:r>
      <w:r>
        <w:rPr>
          <w:rFonts w:hint="eastAsia" w:ascii="Times New Roman" w:hAnsi="Times New Roman" w:eastAsia="仿宋_GB2312" w:cs="Times New Roman"/>
          <w:sz w:val="32"/>
          <w:szCs w:val="32"/>
          <w:lang w:eastAsia="zh-CN"/>
        </w:rPr>
        <w:t>严格管控支出</w:t>
      </w:r>
      <w:r>
        <w:rPr>
          <w:rFonts w:ascii="Times New Roman" w:hAnsi="Times New Roman" w:eastAsia="仿宋_GB2312" w:cs="Times New Roman"/>
          <w:sz w:val="32"/>
          <w:szCs w:val="32"/>
        </w:rPr>
        <w:t>。决算数小于上年数的主要原因是</w:t>
      </w:r>
      <w:r>
        <w:rPr>
          <w:rFonts w:hint="eastAsia" w:ascii="Times New Roman" w:hAnsi="Times New Roman" w:eastAsia="仿宋_GB2312"/>
          <w:sz w:val="32"/>
          <w:szCs w:val="32"/>
        </w:rPr>
        <w:t>节约开支</w:t>
      </w:r>
      <w:r>
        <w:rPr>
          <w:rFonts w:ascii="Times New Roman" w:hAnsi="Times New Roman" w:eastAsia="仿宋_GB2312" w:cs="Times New Roman"/>
          <w:sz w:val="32"/>
          <w:szCs w:val="32"/>
        </w:rPr>
        <w:t>。2024年度共接待来访团组</w:t>
      </w:r>
      <w:r>
        <w:rPr>
          <w:rFonts w:hint="eastAsia" w:ascii="Times New Roman" w:hAnsi="Times New Roman" w:eastAsia="仿宋_GB2312" w:cs="Times New Roman"/>
          <w:sz w:val="32"/>
          <w:szCs w:val="32"/>
          <w:lang w:val="en-US" w:eastAsia="zh-CN"/>
        </w:rPr>
        <w:t>29</w:t>
      </w:r>
      <w:r>
        <w:rPr>
          <w:rFonts w:ascii="Times New Roman" w:hAnsi="Times New Roman" w:eastAsia="仿宋_GB2312" w:cs="Times New Roman"/>
          <w:sz w:val="32"/>
          <w:szCs w:val="32"/>
        </w:rPr>
        <w:t>个、来宾</w:t>
      </w:r>
      <w:r>
        <w:rPr>
          <w:rFonts w:hint="eastAsia" w:ascii="Times New Roman" w:hAnsi="Times New Roman" w:eastAsia="仿宋_GB2312" w:cs="Times New Roman"/>
          <w:sz w:val="32"/>
          <w:szCs w:val="32"/>
          <w:lang w:val="en-US" w:eastAsia="zh-CN"/>
        </w:rPr>
        <w:t>305</w:t>
      </w:r>
      <w:r>
        <w:rPr>
          <w:rFonts w:ascii="Times New Roman" w:hAnsi="Times New Roman" w:eastAsia="仿宋_GB2312" w:cs="Times New Roman"/>
          <w:sz w:val="32"/>
          <w:szCs w:val="32"/>
        </w:rPr>
        <w:t>人次，主要是</w:t>
      </w:r>
      <w:r>
        <w:rPr>
          <w:rFonts w:hint="eastAsia" w:ascii="Times New Roman" w:hAnsi="Times New Roman" w:eastAsia="仿宋_GB2312"/>
          <w:sz w:val="32"/>
          <w:szCs w:val="32"/>
          <w:highlight w:val="none"/>
        </w:rPr>
        <w:t>上级部门业务指导及相关</w:t>
      </w:r>
      <w:r>
        <w:rPr>
          <w:rFonts w:hint="eastAsia" w:ascii="Times New Roman" w:hAnsi="Times New Roman" w:eastAsia="仿宋_GB2312"/>
          <w:sz w:val="32"/>
          <w:szCs w:val="32"/>
        </w:rPr>
        <w:t>检查</w:t>
      </w:r>
      <w:r>
        <w:rPr>
          <w:rFonts w:ascii="Times New Roman" w:hAnsi="Times New Roman" w:eastAsia="仿宋_GB2312" w:cs="Times New Roman"/>
          <w:sz w:val="32"/>
          <w:szCs w:val="32"/>
        </w:rPr>
        <w:t>发生的接待支出。</w:t>
      </w:r>
    </w:p>
    <w:p>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2024年度政府性基金预算财政拨款收入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万元；年初结转和结余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万元；年末结转和结余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sz w:val="32"/>
          <w:szCs w:val="32"/>
          <w:lang w:eastAsia="zh-CN"/>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年度本单位无政府性基金收支</w:t>
      </w:r>
      <w:r>
        <w:rPr>
          <w:rFonts w:hint="eastAsia" w:ascii="Times New Roman" w:hAnsi="Times New Roman" w:eastAsia="仿宋_GB2312"/>
          <w:sz w:val="32"/>
          <w:szCs w:val="32"/>
          <w:lang w:eastAsia="zh-CN"/>
        </w:rPr>
        <w:t>。</w:t>
      </w:r>
    </w:p>
    <w:p>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九、关于机关运行经费支出说明</w:t>
      </w:r>
    </w:p>
    <w:p>
      <w:pPr>
        <w:pStyle w:val="15"/>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本部门2024年度机关运行经费支出</w:t>
      </w:r>
      <w:r>
        <w:rPr>
          <w:rFonts w:hint="eastAsia" w:ascii="Times New Roman" w:hAnsi="Times New Roman" w:eastAsia="仿宋_GB2312" w:cs="Times New Roman"/>
          <w:sz w:val="32"/>
          <w:szCs w:val="32"/>
          <w:lang w:val="en-US" w:eastAsia="zh-CN"/>
        </w:rPr>
        <w:t>112.33</w:t>
      </w:r>
      <w:r>
        <w:rPr>
          <w:rFonts w:ascii="Times New Roman" w:hAnsi="Times New Roman" w:eastAsia="仿宋_GB2312" w:cs="Times New Roman"/>
          <w:sz w:val="32"/>
          <w:szCs w:val="32"/>
        </w:rPr>
        <w:t>万元，比上年决算数增加</w:t>
      </w:r>
      <w:r>
        <w:rPr>
          <w:rFonts w:hint="eastAsia" w:ascii="Times New Roman" w:hAnsi="Times New Roman" w:eastAsia="仿宋_GB2312" w:cs="Times New Roman"/>
          <w:sz w:val="32"/>
          <w:szCs w:val="32"/>
          <w:lang w:val="en-US" w:eastAsia="zh-CN"/>
        </w:rPr>
        <w:t>13.23</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13.35</w:t>
      </w:r>
      <w:r>
        <w:rPr>
          <w:rFonts w:ascii="Times New Roman" w:hAnsi="Times New Roman" w:eastAsia="仿宋_GB2312" w:cs="Times New Roman"/>
          <w:sz w:val="32"/>
          <w:szCs w:val="32"/>
        </w:rPr>
        <w:t>%</w:t>
      </w:r>
      <w:r>
        <w:rPr>
          <w:rFonts w:ascii="Times New Roman" w:hAnsi="Times New Roman" w:eastAsia="仿宋_GB2312" w:cs="Times New Roman"/>
          <w:sz w:val="32"/>
          <w:szCs w:val="32"/>
          <w:highlight w:val="none"/>
        </w:rPr>
        <w:t>。主要原因是：</w:t>
      </w:r>
      <w:r>
        <w:rPr>
          <w:rFonts w:hint="eastAsia" w:ascii="Times New Roman" w:hAnsi="Times New Roman" w:eastAsia="仿宋_GB2312"/>
          <w:sz w:val="32"/>
          <w:szCs w:val="32"/>
          <w:lang w:eastAsia="zh-CN"/>
        </w:rPr>
        <w:t>印刷费、差旅费、维修费、</w:t>
      </w:r>
      <w:r>
        <w:rPr>
          <w:rFonts w:hint="eastAsia" w:ascii="Times New Roman" w:hAnsi="Times New Roman" w:eastAsia="仿宋_GB2312"/>
          <w:sz w:val="32"/>
          <w:szCs w:val="32"/>
        </w:rPr>
        <w:t>其他商品和服务支出</w:t>
      </w:r>
      <w:r>
        <w:rPr>
          <w:rFonts w:hint="eastAsia" w:ascii="Times New Roman" w:hAnsi="Times New Roman" w:eastAsia="仿宋_GB2312"/>
          <w:sz w:val="32"/>
          <w:szCs w:val="32"/>
          <w:lang w:eastAsia="zh-CN"/>
        </w:rPr>
        <w:t>增加了</w:t>
      </w:r>
      <w:r>
        <w:rPr>
          <w:rFonts w:hint="eastAsia" w:ascii="Times New Roman" w:hAnsi="Times New Roman" w:eastAsia="仿宋_GB2312"/>
          <w:color w:val="auto"/>
          <w:sz w:val="32"/>
          <w:szCs w:val="32"/>
        </w:rPr>
        <w:t>。</w:t>
      </w:r>
    </w:p>
    <w:p>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十、一般性支出情况说明</w:t>
      </w:r>
    </w:p>
    <w:p>
      <w:pPr>
        <w:pStyle w:val="15"/>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2024年本部门开支会议费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未</w:t>
      </w:r>
      <w:r>
        <w:rPr>
          <w:rFonts w:ascii="Times New Roman" w:hAnsi="Times New Roman" w:eastAsia="仿宋_GB2312" w:cs="Times New Roman"/>
          <w:sz w:val="32"/>
          <w:szCs w:val="32"/>
        </w:rPr>
        <w:t>召开会议，人数</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人，内容为</w:t>
      </w:r>
      <w:r>
        <w:rPr>
          <w:rFonts w:hint="eastAsia" w:ascii="Times New Roman" w:hAnsi="Times New Roman" w:eastAsia="仿宋_GB2312" w:cs="Times New Roman"/>
          <w:sz w:val="32"/>
          <w:szCs w:val="32"/>
          <w:lang w:eastAsia="zh-CN"/>
        </w:rPr>
        <w:t>无</w:t>
      </w:r>
      <w:r>
        <w:rPr>
          <w:rFonts w:ascii="Times New Roman" w:hAnsi="Times New Roman" w:eastAsia="仿宋_GB2312" w:cs="Times New Roman"/>
          <w:sz w:val="32"/>
          <w:szCs w:val="32"/>
        </w:rPr>
        <w:t>；开支培训费</w:t>
      </w:r>
      <w:r>
        <w:rPr>
          <w:rFonts w:hint="eastAsia" w:ascii="Times New Roman" w:hAnsi="Times New Roman" w:eastAsia="仿宋_GB2312" w:cs="Times New Roman"/>
          <w:sz w:val="32"/>
          <w:szCs w:val="32"/>
          <w:lang w:val="en-US" w:eastAsia="zh-CN"/>
        </w:rPr>
        <w:t>10.97</w:t>
      </w:r>
      <w:r>
        <w:rPr>
          <w:rFonts w:ascii="Times New Roman" w:hAnsi="Times New Roman" w:eastAsia="仿宋_GB2312" w:cs="Times New Roman"/>
          <w:sz w:val="32"/>
          <w:szCs w:val="32"/>
        </w:rPr>
        <w:t>万元，用于开展</w:t>
      </w:r>
      <w:r>
        <w:rPr>
          <w:rFonts w:hint="eastAsia" w:ascii="Times New Roman" w:hAnsi="Times New Roman" w:eastAsia="仿宋_GB2312"/>
          <w:sz w:val="32"/>
          <w:szCs w:val="32"/>
          <w:lang w:val="en-US" w:eastAsia="zh-CN"/>
        </w:rPr>
        <w:t>村会计财政支农</w:t>
      </w:r>
      <w:r>
        <w:rPr>
          <w:rFonts w:ascii="Times New Roman" w:hAnsi="Times New Roman" w:eastAsia="仿宋_GB2312" w:cs="Times New Roman"/>
          <w:sz w:val="32"/>
          <w:szCs w:val="32"/>
        </w:rPr>
        <w:t>培训，人</w:t>
      </w:r>
      <w:r>
        <w:rPr>
          <w:rFonts w:ascii="Times New Roman" w:hAnsi="Times New Roman" w:eastAsia="仿宋_GB2312" w:cs="Times New Roman"/>
          <w:sz w:val="32"/>
          <w:szCs w:val="32"/>
          <w:highlight w:val="none"/>
        </w:rPr>
        <w:t>数</w:t>
      </w:r>
      <w:r>
        <w:rPr>
          <w:rFonts w:hint="eastAsia" w:ascii="Times New Roman" w:hAnsi="Times New Roman" w:eastAsia="仿宋_GB2312" w:cs="Times New Roman"/>
          <w:sz w:val="32"/>
          <w:szCs w:val="32"/>
          <w:highlight w:val="none"/>
          <w:lang w:val="en-US" w:eastAsia="zh-CN"/>
        </w:rPr>
        <w:t>530</w:t>
      </w:r>
      <w:r>
        <w:rPr>
          <w:rFonts w:ascii="Times New Roman" w:hAnsi="Times New Roman" w:eastAsia="仿宋_GB2312" w:cs="Times New Roman"/>
          <w:sz w:val="32"/>
          <w:szCs w:val="32"/>
          <w:highlight w:val="none"/>
        </w:rPr>
        <w:t>人，</w:t>
      </w:r>
      <w:r>
        <w:rPr>
          <w:rFonts w:ascii="Times New Roman" w:hAnsi="Times New Roman" w:eastAsia="仿宋_GB2312" w:cs="Times New Roman"/>
          <w:sz w:val="32"/>
          <w:szCs w:val="32"/>
        </w:rPr>
        <w:t>内容为</w:t>
      </w:r>
      <w:r>
        <w:rPr>
          <w:rFonts w:hint="eastAsia" w:ascii="Times New Roman" w:hAnsi="Times New Roman" w:eastAsia="仿宋_GB2312"/>
          <w:sz w:val="32"/>
          <w:szCs w:val="32"/>
          <w:highlight w:val="none"/>
        </w:rPr>
        <w:t>开展</w:t>
      </w:r>
      <w:r>
        <w:rPr>
          <w:rFonts w:hint="eastAsia" w:ascii="Times New Roman" w:hAnsi="Times New Roman" w:eastAsia="仿宋_GB2312"/>
          <w:sz w:val="32"/>
          <w:szCs w:val="32"/>
          <w:highlight w:val="none"/>
          <w:lang w:val="en-US" w:eastAsia="zh-CN"/>
        </w:rPr>
        <w:t>农村财务会计暨延包工作</w:t>
      </w:r>
      <w:r>
        <w:rPr>
          <w:rFonts w:hint="eastAsia" w:ascii="Times New Roman" w:hAnsi="Times New Roman" w:eastAsia="仿宋_GB2312"/>
          <w:sz w:val="32"/>
          <w:szCs w:val="32"/>
          <w:highlight w:val="none"/>
        </w:rPr>
        <w:t>培</w:t>
      </w:r>
      <w:r>
        <w:rPr>
          <w:rFonts w:hint="eastAsia" w:ascii="Times New Roman" w:hAnsi="Times New Roman" w:eastAsia="仿宋_GB2312"/>
          <w:sz w:val="32"/>
          <w:szCs w:val="32"/>
        </w:rPr>
        <w:t>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未</w:t>
      </w:r>
      <w:r>
        <w:rPr>
          <w:rFonts w:ascii="Times New Roman" w:hAnsi="Times New Roman" w:eastAsia="仿宋_GB2312" w:cs="Times New Roman"/>
          <w:sz w:val="32"/>
          <w:szCs w:val="32"/>
        </w:rPr>
        <w:t>举办节庆、晚会、论坛、赛事活动，开支</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w:t>
      </w:r>
    </w:p>
    <w:p>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十一、关于政府采购支出说明</w:t>
      </w:r>
    </w:p>
    <w:p>
      <w:pPr>
        <w:pStyle w:val="15"/>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本部门2024年度政府采购支出总额</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万元，其中：政府采购货物支出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 xml:space="preserve"> 万元、政府采购工程支出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万元、政府采购服务支出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万元。授予中小企业合同金额</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万元，占政府采购支出总额的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%，其中：授予小微企业合同金额</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rPr>
        <w:t>占授予中小企业合同金额的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%。货物采购授予中小企业合同金额占货物支出金额的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%，工程采购授予中小企业合同金额占工程支出金额的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%，服务采购授予中小企业合同金额占服务支出金额的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w:t>
      </w:r>
    </w:p>
    <w:p>
      <w:pPr>
        <w:pStyle w:val="15"/>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十二、关于国有资产占用情况说明</w:t>
      </w:r>
    </w:p>
    <w:p>
      <w:pPr>
        <w:pStyle w:val="15"/>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截至2024年12月31日，部门（单位）共有车辆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辆、执法执勤用车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辆、特种专业技术用车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辆；单位价值100万元以上设备（不含车辆）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台（套）。</w:t>
      </w:r>
    </w:p>
    <w:p>
      <w:pPr>
        <w:pStyle w:val="15"/>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十三、关于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pPr>
        <w:overflowPunct w:val="0"/>
        <w:spacing w:line="600" w:lineRule="exact"/>
        <w:ind w:firstLine="640" w:firstLineChars="200"/>
        <w:rPr>
          <w:rFonts w:ascii="Times New Roman" w:hAnsi="Times New Roman" w:eastAsia="楷体" w:cs="Times New Roman"/>
          <w:b/>
          <w:bCs/>
          <w:sz w:val="32"/>
          <w:szCs w:val="32"/>
          <w:highlight w:val="yellow"/>
        </w:rPr>
      </w:pPr>
      <w:r>
        <w:rPr>
          <w:rFonts w:ascii="Times New Roman" w:hAnsi="Times New Roman" w:eastAsia="楷体_GB2312" w:cs="Times New Roman"/>
          <w:b/>
          <w:bCs/>
          <w:sz w:val="32"/>
          <w:szCs w:val="32"/>
        </w:rPr>
        <w:t>（一）绩效评价工作开展情况。</w:t>
      </w:r>
      <w:r>
        <w:rPr>
          <w:rFonts w:ascii="Times New Roman" w:hAnsi="Times New Roman" w:eastAsia="仿宋_GB2312" w:cs="Times New Roman"/>
          <w:b/>
          <w:bCs/>
          <w:kern w:val="0"/>
          <w:sz w:val="32"/>
          <w:szCs w:val="32"/>
        </w:rPr>
        <w:t>一是绩效自评开展情况。</w:t>
      </w:r>
      <w:r>
        <w:rPr>
          <w:rFonts w:ascii="Times New Roman" w:hAnsi="Times New Roman" w:eastAsia="仿宋_GB2312" w:cs="Times New Roman"/>
          <w:kern w:val="0"/>
          <w:sz w:val="32"/>
          <w:szCs w:val="32"/>
        </w:rPr>
        <w:t>组织对2024年度本部门（单位）整体支出开展绩效自评，涉及项目</w:t>
      </w:r>
      <w:r>
        <w:rPr>
          <w:rFonts w:hint="eastAsia" w:ascii="Times New Roman" w:hAnsi="Times New Roman" w:eastAsia="仿宋_GB2312" w:cs="Times New Roman"/>
          <w:kern w:val="0"/>
          <w:sz w:val="32"/>
          <w:szCs w:val="32"/>
          <w:lang w:val="en-US" w:eastAsia="zh-CN"/>
        </w:rPr>
        <w:t>2</w:t>
      </w:r>
      <w:r>
        <w:rPr>
          <w:rFonts w:ascii="Times New Roman" w:hAnsi="Times New Roman" w:eastAsia="仿宋_GB2312" w:cs="Times New Roman"/>
          <w:kern w:val="0"/>
          <w:sz w:val="32"/>
          <w:szCs w:val="32"/>
        </w:rPr>
        <w:t xml:space="preserve"> 个，共涉及资金</w:t>
      </w:r>
      <w:r>
        <w:rPr>
          <w:rFonts w:hint="eastAsia" w:ascii="Times New Roman" w:hAnsi="Times New Roman" w:eastAsia="仿宋_GB2312" w:cs="Times New Roman"/>
          <w:kern w:val="0"/>
          <w:sz w:val="32"/>
          <w:szCs w:val="32"/>
          <w:lang w:val="en-US" w:eastAsia="zh-CN"/>
        </w:rPr>
        <w:t>920</w:t>
      </w:r>
      <w:r>
        <w:rPr>
          <w:rFonts w:ascii="Times New Roman" w:hAnsi="Times New Roman" w:eastAsia="仿宋_GB2312" w:cs="Times New Roman"/>
          <w:kern w:val="0"/>
          <w:sz w:val="32"/>
          <w:szCs w:val="32"/>
        </w:rPr>
        <w:t>万元。其中，一般公共预算项目</w:t>
      </w:r>
      <w:r>
        <w:rPr>
          <w:rFonts w:hint="eastAsia" w:ascii="Times New Roman" w:hAnsi="Times New Roman" w:eastAsia="仿宋_GB2312" w:cs="Times New Roman"/>
          <w:kern w:val="0"/>
          <w:sz w:val="32"/>
          <w:szCs w:val="32"/>
          <w:lang w:val="en-US" w:eastAsia="zh-CN"/>
        </w:rPr>
        <w:t>2</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920</w:t>
      </w:r>
      <w:r>
        <w:rPr>
          <w:rFonts w:ascii="Times New Roman" w:hAnsi="Times New Roman" w:eastAsia="仿宋_GB2312" w:cs="Times New Roman"/>
          <w:kern w:val="0"/>
          <w:sz w:val="32"/>
          <w:szCs w:val="32"/>
        </w:rPr>
        <w:t xml:space="preserve"> 万元，占一般公共预算支出总额的</w:t>
      </w:r>
      <w:r>
        <w:rPr>
          <w:rFonts w:hint="eastAsia" w:ascii="Times New Roman" w:hAnsi="Times New Roman" w:eastAsia="仿宋_GB2312" w:cs="Times New Roman"/>
          <w:kern w:val="0"/>
          <w:sz w:val="32"/>
          <w:szCs w:val="32"/>
          <w:highlight w:val="none"/>
          <w:lang w:val="en-US" w:eastAsia="zh-CN"/>
        </w:rPr>
        <w:t>100</w:t>
      </w:r>
      <w:r>
        <w:rPr>
          <w:rFonts w:ascii="Times New Roman" w:hAnsi="Times New Roman" w:eastAsia="仿宋_GB2312" w:cs="Times New Roman"/>
          <w:kern w:val="0"/>
          <w:sz w:val="32"/>
          <w:szCs w:val="32"/>
          <w:highlight w:val="none"/>
        </w:rPr>
        <w:t>%；</w:t>
      </w:r>
      <w:r>
        <w:rPr>
          <w:rFonts w:ascii="Times New Roman" w:hAnsi="Times New Roman" w:eastAsia="仿宋_GB2312" w:cs="Times New Roman"/>
          <w:kern w:val="0"/>
          <w:sz w:val="32"/>
          <w:szCs w:val="32"/>
        </w:rPr>
        <w:t>政府性基金预算项目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万元，占政府性基金预算支出总额的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%；国有资本经营预算项目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万元，占国有资本经营预算支出总额的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%；社会保险基金预算项目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万元，占社会保险基金预算支出总额的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w:t>
      </w:r>
      <w:r>
        <w:rPr>
          <w:rFonts w:ascii="Times New Roman" w:hAnsi="Times New Roman" w:eastAsia="仿宋_GB2312" w:cs="Times New Roman"/>
          <w:b/>
          <w:bCs/>
          <w:kern w:val="0"/>
          <w:sz w:val="32"/>
          <w:szCs w:val="32"/>
        </w:rPr>
        <w:t>二是部门评价开展情况。</w:t>
      </w:r>
      <w:r>
        <w:rPr>
          <w:rFonts w:ascii="Times New Roman" w:hAnsi="Times New Roman" w:eastAsia="仿宋_GB2312" w:cs="Times New Roman"/>
          <w:kern w:val="0"/>
          <w:sz w:val="32"/>
          <w:szCs w:val="32"/>
        </w:rPr>
        <w:t>组织对所属单位2024年度“</w:t>
      </w:r>
      <w:r>
        <w:rPr>
          <w:rFonts w:hint="default" w:ascii="仿宋_GB2312" w:eastAsia="仿宋_GB2312" w:cs="仿宋_GB2312"/>
          <w:b w:val="0"/>
          <w:bCs w:val="0"/>
          <w:i w:val="0"/>
          <w:iCs w:val="0"/>
          <w:caps w:val="0"/>
          <w:color w:val="333333"/>
          <w:spacing w:val="0"/>
          <w:sz w:val="32"/>
          <w:szCs w:val="32"/>
          <w:highlight w:val="none"/>
          <w:shd w:val="clear" w:fill="FFFFFF"/>
          <w:lang w:eastAsia="zh-CN"/>
        </w:rPr>
        <w:t>农业生产发展</w:t>
      </w:r>
      <w:r>
        <w:rPr>
          <w:rFonts w:hint="eastAsia" w:ascii="仿宋_GB2312" w:eastAsia="仿宋_GB2312" w:cs="仿宋_GB2312"/>
          <w:b w:val="0"/>
          <w:bCs w:val="0"/>
          <w:i w:val="0"/>
          <w:iCs w:val="0"/>
          <w:caps w:val="0"/>
          <w:color w:val="333333"/>
          <w:spacing w:val="0"/>
          <w:sz w:val="32"/>
          <w:szCs w:val="32"/>
          <w:highlight w:val="none"/>
          <w:shd w:val="clear" w:fill="FFFFFF"/>
          <w:lang w:eastAsia="zh-CN"/>
        </w:rPr>
        <w:t>项目</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和</w:t>
      </w:r>
      <w:r>
        <w:rPr>
          <w:rFonts w:ascii="Times New Roman" w:hAnsi="Times New Roman" w:eastAsia="仿宋_GB2312" w:cs="Times New Roman"/>
          <w:kern w:val="0"/>
          <w:sz w:val="32"/>
          <w:szCs w:val="32"/>
        </w:rPr>
        <w:t>“</w:t>
      </w:r>
      <w:r>
        <w:rPr>
          <w:rFonts w:hint="eastAsia" w:ascii="仿宋_GB2312" w:hAnsi="仿宋_GB2312" w:eastAsia="仿宋_GB2312" w:cs="仿宋_GB2312"/>
          <w:b w:val="0"/>
          <w:color w:val="000000" w:themeColor="text1"/>
          <w:sz w:val="32"/>
          <w:szCs w:val="32"/>
          <w:highlight w:val="none"/>
          <w:u w:val="none"/>
          <w:lang w:val="en-US" w:eastAsia="zh-CN"/>
          <w14:textFill>
            <w14:solidFill>
              <w14:schemeClr w14:val="tx1"/>
            </w14:solidFill>
          </w14:textFill>
        </w:rPr>
        <w:t>巩固脱贫攻坚成果衔接乡村振兴支出项目</w:t>
      </w:r>
      <w:r>
        <w:rPr>
          <w:rFonts w:ascii="Times New Roman" w:hAnsi="Times New Roman" w:eastAsia="仿宋_GB2312" w:cs="Times New Roman"/>
          <w:kern w:val="0"/>
          <w:sz w:val="32"/>
          <w:szCs w:val="32"/>
        </w:rPr>
        <w:t>”等</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kern w:val="0"/>
          <w:sz w:val="32"/>
          <w:szCs w:val="32"/>
        </w:rPr>
        <w:t>个项目开展了部门评价，涉及一般公共预算支出</w:t>
      </w:r>
      <w:r>
        <w:rPr>
          <w:rFonts w:hint="eastAsia" w:ascii="Times New Roman" w:hAnsi="Times New Roman" w:eastAsia="仿宋_GB2312" w:cs="Times New Roman"/>
          <w:sz w:val="32"/>
          <w:szCs w:val="32"/>
          <w:lang w:val="en-US" w:eastAsia="zh-CN"/>
        </w:rPr>
        <w:t>920</w:t>
      </w:r>
      <w:r>
        <w:rPr>
          <w:rFonts w:ascii="Times New Roman" w:hAnsi="Times New Roman" w:eastAsia="仿宋_GB2312" w:cs="Times New Roman"/>
          <w:kern w:val="0"/>
          <w:sz w:val="32"/>
          <w:szCs w:val="32"/>
        </w:rPr>
        <w:t>万元，政府性基金预算支出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万元，国有资本经营预算支出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万元，社会保险基金预算支出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w:t>
      </w:r>
      <w:r>
        <w:rPr>
          <w:rFonts w:ascii="Times New Roman" w:hAnsi="Times New Roman" w:eastAsia="仿宋_GB2312" w:cs="Times New Roman"/>
          <w:b/>
          <w:bCs/>
          <w:kern w:val="0"/>
          <w:sz w:val="32"/>
          <w:szCs w:val="32"/>
        </w:rPr>
        <w:t>三是事前绩效评估开展情况。</w:t>
      </w:r>
      <w:r>
        <w:rPr>
          <w:rFonts w:ascii="Times New Roman" w:hAnsi="Times New Roman" w:eastAsia="仿宋_GB2312" w:cs="Times New Roman"/>
          <w:kern w:val="0"/>
          <w:sz w:val="32"/>
          <w:szCs w:val="32"/>
        </w:rPr>
        <w:t>2024年</w:t>
      </w:r>
      <w:r>
        <w:rPr>
          <w:rFonts w:ascii="Times New Roman" w:hAnsi="Times New Roman" w:eastAsia="仿宋_GB2312" w:cs="Times New Roman"/>
          <w:kern w:val="0"/>
          <w:sz w:val="32"/>
          <w:szCs w:val="32"/>
          <w:highlight w:val="none"/>
        </w:rPr>
        <w:t>度</w:t>
      </w:r>
      <w:r>
        <w:rPr>
          <w:rFonts w:hint="eastAsia" w:ascii="Times New Roman" w:hAnsi="Times New Roman" w:eastAsia="仿宋_GB2312" w:cs="Times New Roman"/>
          <w:sz w:val="32"/>
          <w:szCs w:val="32"/>
          <w:highlight w:val="none"/>
          <w:lang w:eastAsia="zh-CN"/>
        </w:rPr>
        <w:t>无</w:t>
      </w:r>
      <w:r>
        <w:rPr>
          <w:rFonts w:ascii="Times New Roman" w:hAnsi="Times New Roman" w:eastAsia="仿宋_GB2312" w:cs="Times New Roman"/>
          <w:kern w:val="0"/>
          <w:sz w:val="32"/>
          <w:szCs w:val="32"/>
          <w:highlight w:val="none"/>
        </w:rPr>
        <w:t>新增重大政策</w:t>
      </w:r>
      <w:r>
        <w:rPr>
          <w:rFonts w:hint="eastAsia" w:ascii="Times New Roman" w:hAnsi="Times New Roman" w:eastAsia="仿宋_GB2312" w:cs="Times New Roman"/>
          <w:kern w:val="0"/>
          <w:sz w:val="32"/>
          <w:szCs w:val="32"/>
          <w:highlight w:val="none"/>
          <w:lang w:eastAsia="zh-CN"/>
        </w:rPr>
        <w:t>，</w:t>
      </w:r>
      <w:r>
        <w:rPr>
          <w:rFonts w:ascii="Times New Roman" w:hAnsi="Times New Roman" w:eastAsia="仿宋_GB2312" w:cs="Times New Roman"/>
          <w:kern w:val="0"/>
          <w:sz w:val="32"/>
          <w:szCs w:val="32"/>
          <w:highlight w:val="none"/>
        </w:rPr>
        <w:t>组织对</w:t>
      </w:r>
      <w:r>
        <w:rPr>
          <w:rFonts w:hint="eastAsia" w:ascii="Times New Roman" w:hAnsi="Times New Roman" w:eastAsia="仿宋_GB2312" w:cs="Times New Roman"/>
          <w:sz w:val="32"/>
          <w:szCs w:val="32"/>
          <w:highlight w:val="none"/>
          <w:lang w:val="en-US" w:eastAsia="zh-CN"/>
        </w:rPr>
        <w:t>2</w:t>
      </w:r>
      <w:r>
        <w:rPr>
          <w:rFonts w:ascii="Times New Roman" w:hAnsi="Times New Roman" w:eastAsia="仿宋_GB2312" w:cs="Times New Roman"/>
          <w:kern w:val="0"/>
          <w:sz w:val="32"/>
          <w:szCs w:val="32"/>
          <w:highlight w:val="none"/>
        </w:rPr>
        <w:t>个重大项目开展事前绩效评估，共涉及资金</w:t>
      </w:r>
      <w:r>
        <w:rPr>
          <w:rFonts w:hint="eastAsia" w:ascii="Times New Roman" w:hAnsi="Times New Roman" w:eastAsia="仿宋_GB2312" w:cs="Times New Roman"/>
          <w:kern w:val="0"/>
          <w:sz w:val="32"/>
          <w:szCs w:val="32"/>
          <w:highlight w:val="none"/>
          <w:lang w:val="en-US" w:eastAsia="zh-CN"/>
        </w:rPr>
        <w:t>920</w:t>
      </w:r>
      <w:r>
        <w:rPr>
          <w:rFonts w:ascii="Times New Roman" w:hAnsi="Times New Roman" w:eastAsia="仿宋_GB2312" w:cs="Times New Roman"/>
          <w:kern w:val="0"/>
          <w:sz w:val="32"/>
          <w:szCs w:val="32"/>
          <w:highlight w:val="none"/>
        </w:rPr>
        <w:t>万元。</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41" w:lineRule="atLeast"/>
        <w:ind w:left="0" w:right="0" w:firstLine="420"/>
        <w:jc w:val="left"/>
        <w:rPr>
          <w:rFonts w:ascii="Times New Roman" w:hAnsi="Times New Roman" w:eastAsia="仿宋_GB2312" w:cs="Times New Roman"/>
          <w:bCs/>
          <w:sz w:val="32"/>
          <w:szCs w:val="32"/>
        </w:rPr>
      </w:pPr>
      <w:r>
        <w:rPr>
          <w:rFonts w:ascii="Times New Roman" w:hAnsi="Times New Roman" w:eastAsia="楷体_GB2312" w:cs="Times New Roman"/>
          <w:b/>
          <w:bCs/>
          <w:sz w:val="32"/>
          <w:szCs w:val="32"/>
        </w:rPr>
        <w:t>（二）绩效评价结果。</w:t>
      </w:r>
      <w:r>
        <w:rPr>
          <w:rFonts w:ascii="Times New Roman" w:hAnsi="Times New Roman" w:eastAsia="仿宋_GB2312" w:cs="Times New Roman"/>
          <w:b/>
          <w:bCs/>
          <w:kern w:val="0"/>
          <w:sz w:val="32"/>
          <w:szCs w:val="32"/>
        </w:rPr>
        <w:t>一是绩效自评结果。</w:t>
      </w:r>
      <w:r>
        <w:rPr>
          <w:rFonts w:ascii="Times New Roman" w:hAnsi="Times New Roman" w:eastAsia="仿宋_GB2312" w:cs="Times New Roman"/>
          <w:kern w:val="0"/>
          <w:sz w:val="32"/>
          <w:szCs w:val="32"/>
        </w:rPr>
        <w:t>2024年度本部门（单位）整体支出</w:t>
      </w:r>
      <w:r>
        <w:rPr>
          <w:rFonts w:ascii="Times New Roman" w:hAnsi="Times New Roman" w:eastAsia="仿宋_GB2312" w:cs="Times New Roman"/>
          <w:sz w:val="32"/>
          <w:szCs w:val="32"/>
        </w:rPr>
        <w:t>全年预算数</w:t>
      </w:r>
      <w:r>
        <w:rPr>
          <w:rFonts w:hint="eastAsia" w:ascii="Times New Roman" w:hAnsi="Times New Roman" w:eastAsia="仿宋_GB2312" w:cs="Times New Roman"/>
          <w:sz w:val="32"/>
          <w:szCs w:val="32"/>
          <w:lang w:val="en-US" w:eastAsia="zh-CN"/>
        </w:rPr>
        <w:t>215.708</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215.708</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，绩效自评得</w:t>
      </w:r>
      <w:r>
        <w:rPr>
          <w:rFonts w:ascii="Times New Roman" w:hAnsi="Times New Roman" w:eastAsia="仿宋_GB2312" w:cs="Times New Roman"/>
          <w:kern w:val="0"/>
          <w:sz w:val="32"/>
          <w:szCs w:val="32"/>
          <w:highlight w:val="none"/>
        </w:rPr>
        <w:t>分</w:t>
      </w:r>
      <w:r>
        <w:rPr>
          <w:rFonts w:hint="eastAsia" w:ascii="Times New Roman" w:hAnsi="Times New Roman" w:eastAsia="仿宋_GB2312" w:cs="Times New Roman"/>
          <w:sz w:val="32"/>
          <w:szCs w:val="32"/>
          <w:highlight w:val="none"/>
          <w:lang w:val="en-US" w:eastAsia="zh-CN"/>
        </w:rPr>
        <w:t>100</w:t>
      </w:r>
      <w:r>
        <w:rPr>
          <w:rFonts w:ascii="Times New Roman" w:hAnsi="Times New Roman" w:eastAsia="仿宋_GB2312" w:cs="Times New Roman"/>
          <w:sz w:val="32"/>
          <w:szCs w:val="32"/>
          <w:highlight w:val="none"/>
        </w:rPr>
        <w:t>分</w:t>
      </w:r>
      <w:r>
        <w:rPr>
          <w:rFonts w:ascii="Times New Roman" w:hAnsi="Times New Roman" w:eastAsia="仿宋_GB2312" w:cs="Times New Roman"/>
          <w:kern w:val="0"/>
          <w:sz w:val="32"/>
          <w:szCs w:val="32"/>
          <w:highlight w:val="none"/>
        </w:rPr>
        <w:t>，</w:t>
      </w:r>
      <w:r>
        <w:rPr>
          <w:rFonts w:ascii="Times New Roman" w:hAnsi="Times New Roman" w:eastAsia="仿宋_GB2312" w:cs="Times New Roman"/>
          <w:kern w:val="0"/>
          <w:sz w:val="32"/>
          <w:szCs w:val="32"/>
        </w:rPr>
        <w:t>评价等级为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优秀</w:t>
      </w:r>
      <w:r>
        <w:rPr>
          <w:rFonts w:ascii="Times New Roman" w:hAnsi="Times New Roman" w:eastAsia="仿宋_GB2312" w:cs="Times New Roman"/>
          <w:sz w:val="32"/>
          <w:szCs w:val="32"/>
        </w:rPr>
        <w:t>”。绩效目标完成情况：</w:t>
      </w:r>
      <w:r>
        <w:rPr>
          <w:rFonts w:hint="eastAsia" w:ascii="Times New Roman" w:hAnsi="Times New Roman" w:eastAsia="仿宋_GB2312" w:cs="Times New Roman"/>
          <w:sz w:val="32"/>
          <w:szCs w:val="32"/>
          <w:lang w:eastAsia="zh-CN"/>
        </w:rPr>
        <w:t>一是</w:t>
      </w:r>
      <w:r>
        <w:rPr>
          <w:rFonts w:hint="eastAsia" w:ascii="Times New Roman" w:hAnsi="Times New Roman" w:eastAsia="仿宋_GB2312" w:cs="Times New Roman"/>
          <w:sz w:val="32"/>
          <w:szCs w:val="32"/>
        </w:rPr>
        <w:t>完成农村土地承包确权颁证档案整理；</w:t>
      </w:r>
      <w:r>
        <w:rPr>
          <w:rFonts w:hint="eastAsia" w:ascii="Times New Roman" w:hAnsi="Times New Roman" w:eastAsia="仿宋_GB2312" w:cs="Times New Roman"/>
          <w:sz w:val="32"/>
          <w:szCs w:val="32"/>
          <w:lang w:eastAsia="zh-CN"/>
        </w:rPr>
        <w:t>二是</w:t>
      </w:r>
      <w:r>
        <w:rPr>
          <w:rFonts w:hint="eastAsia" w:ascii="Times New Roman" w:hAnsi="Times New Roman" w:eastAsia="仿宋_GB2312" w:cs="Times New Roman"/>
          <w:sz w:val="32"/>
          <w:szCs w:val="32"/>
        </w:rPr>
        <w:t>加快新型农村合作组织发展，提升质量；</w:t>
      </w:r>
      <w:r>
        <w:rPr>
          <w:rFonts w:hint="eastAsia" w:ascii="Times New Roman" w:hAnsi="Times New Roman" w:eastAsia="仿宋_GB2312" w:cs="Times New Roman"/>
          <w:sz w:val="32"/>
          <w:szCs w:val="32"/>
          <w:lang w:eastAsia="zh-CN"/>
        </w:rPr>
        <w:t>三是</w:t>
      </w:r>
      <w:r>
        <w:rPr>
          <w:rFonts w:hint="eastAsia" w:ascii="Times New Roman" w:hAnsi="Times New Roman" w:eastAsia="仿宋_GB2312" w:cs="Times New Roman"/>
          <w:sz w:val="32"/>
          <w:szCs w:val="32"/>
        </w:rPr>
        <w:t>提升村级财务管理水平；</w:t>
      </w:r>
      <w:r>
        <w:rPr>
          <w:rFonts w:hint="eastAsia" w:ascii="Times New Roman" w:hAnsi="Times New Roman" w:eastAsia="仿宋_GB2312" w:cs="Times New Roman"/>
          <w:sz w:val="32"/>
          <w:szCs w:val="32"/>
          <w:lang w:eastAsia="zh-CN"/>
        </w:rPr>
        <w:t>四是</w:t>
      </w:r>
      <w:r>
        <w:rPr>
          <w:rFonts w:hint="eastAsia" w:ascii="Times New Roman" w:hAnsi="Times New Roman" w:eastAsia="仿宋_GB2312" w:cs="Times New Roman"/>
          <w:sz w:val="32"/>
          <w:szCs w:val="32"/>
        </w:rPr>
        <w:t>发展壮大村集体经济</w:t>
      </w:r>
      <w:r>
        <w:rPr>
          <w:rFonts w:hint="eastAsia" w:ascii="Times New Roman" w:hAnsi="Times New Roman" w:eastAsia="仿宋_GB2312" w:cs="Times New Roman"/>
          <w:sz w:val="32"/>
          <w:szCs w:val="32"/>
          <w:lang w:eastAsia="zh-CN"/>
        </w:rPr>
        <w:t>；五是</w:t>
      </w:r>
      <w:r>
        <w:rPr>
          <w:rFonts w:hint="eastAsia" w:ascii="Times New Roman" w:hAnsi="Times New Roman" w:eastAsia="仿宋_GB2312" w:cs="Times New Roman"/>
          <w:sz w:val="32"/>
          <w:szCs w:val="32"/>
        </w:rPr>
        <w:t>提升全县农村宅基地管理和服务水平；</w:t>
      </w:r>
      <w:r>
        <w:rPr>
          <w:rFonts w:hint="eastAsia" w:ascii="Times New Roman" w:hAnsi="Times New Roman" w:eastAsia="仿宋_GB2312" w:cs="Times New Roman"/>
          <w:sz w:val="32"/>
          <w:szCs w:val="32"/>
          <w:lang w:eastAsia="zh-CN"/>
        </w:rPr>
        <w:t>六是</w:t>
      </w:r>
      <w:r>
        <w:rPr>
          <w:rFonts w:hint="eastAsia" w:ascii="Times New Roman" w:hAnsi="Times New Roman" w:eastAsia="仿宋_GB2312" w:cs="Times New Roman"/>
          <w:sz w:val="32"/>
          <w:szCs w:val="32"/>
        </w:rPr>
        <w:t>加强农业社会化服务水平建设。</w:t>
      </w:r>
      <w:r>
        <w:rPr>
          <w:rFonts w:ascii="Times New Roman" w:hAnsi="Times New Roman" w:eastAsia="仿宋_GB2312" w:cs="Times New Roman"/>
          <w:sz w:val="32"/>
          <w:szCs w:val="32"/>
        </w:rPr>
        <w:t>发现的主要问题及原因：一是</w:t>
      </w:r>
      <w:r>
        <w:rPr>
          <w:rFonts w:hint="eastAsia" w:ascii="仿宋" w:hAnsi="仿宋" w:eastAsia="仿宋" w:cs="仿宋"/>
          <w:i w:val="0"/>
          <w:iCs w:val="0"/>
          <w:caps w:val="0"/>
          <w:color w:val="1E1E1E"/>
          <w:spacing w:val="0"/>
          <w:kern w:val="0"/>
          <w:sz w:val="32"/>
          <w:szCs w:val="32"/>
          <w:shd w:val="clear" w:fill="FFFFFF"/>
          <w:lang w:val="en-US" w:eastAsia="zh-CN" w:bidi="ar"/>
        </w:rPr>
        <w:t>农经体系建设有待加强，特别是乡镇从事农经工作的部门五花八门，力量严重不足且不稳定，工作开展不顺畅</w:t>
      </w:r>
      <w:r>
        <w:rPr>
          <w:rFonts w:ascii="Times New Roman" w:hAnsi="Times New Roman" w:eastAsia="仿宋_GB2312" w:cs="Times New Roman"/>
          <w:sz w:val="32"/>
          <w:szCs w:val="32"/>
        </w:rPr>
        <w:t>；二是</w:t>
      </w:r>
      <w:r>
        <w:rPr>
          <w:rFonts w:hint="eastAsia" w:ascii="仿宋" w:hAnsi="仿宋" w:eastAsia="仿宋" w:cs="仿宋"/>
          <w:i w:val="0"/>
          <w:iCs w:val="0"/>
          <w:caps w:val="0"/>
          <w:color w:val="1E1E1E"/>
          <w:spacing w:val="0"/>
          <w:kern w:val="0"/>
          <w:sz w:val="32"/>
          <w:szCs w:val="32"/>
          <w:shd w:val="clear" w:fill="FFFFFF"/>
          <w:lang w:val="en-US" w:eastAsia="zh-CN" w:bidi="ar"/>
        </w:rPr>
        <w:t>村集体经济发展普遍不强，村级组织造血功能严重不足</w:t>
      </w:r>
      <w:r>
        <w:rPr>
          <w:rFonts w:ascii="Times New Roman" w:hAnsi="Times New Roman" w:eastAsia="仿宋_GB2312" w:cs="Times New Roman"/>
          <w:sz w:val="32"/>
          <w:szCs w:val="32"/>
        </w:rPr>
        <w:t>。下一步改进措施：一是</w:t>
      </w:r>
      <w:r>
        <w:rPr>
          <w:rFonts w:hint="eastAsia" w:ascii="仿宋" w:hAnsi="仿宋" w:eastAsia="仿宋" w:cs="仿宋"/>
          <w:i w:val="0"/>
          <w:iCs w:val="0"/>
          <w:caps w:val="0"/>
          <w:color w:val="1E1E1E"/>
          <w:spacing w:val="0"/>
          <w:kern w:val="0"/>
          <w:sz w:val="32"/>
          <w:szCs w:val="32"/>
          <w:shd w:val="clear" w:fill="FFFFFF"/>
          <w:lang w:val="en-US" w:eastAsia="zh-CN" w:bidi="ar"/>
        </w:rPr>
        <w:t>加强农经队伍建设</w:t>
      </w:r>
      <w:r>
        <w:rPr>
          <w:rFonts w:ascii="Times New Roman" w:hAnsi="Times New Roman" w:eastAsia="仿宋_GB2312" w:cs="Times New Roman"/>
          <w:sz w:val="32"/>
          <w:szCs w:val="32"/>
        </w:rPr>
        <w:t>；二是</w:t>
      </w:r>
      <w:r>
        <w:rPr>
          <w:rFonts w:hint="eastAsia" w:ascii="仿宋" w:hAnsi="仿宋" w:eastAsia="仿宋" w:cs="仿宋"/>
          <w:i w:val="0"/>
          <w:iCs w:val="0"/>
          <w:caps w:val="0"/>
          <w:color w:val="1E1E1E"/>
          <w:spacing w:val="0"/>
          <w:kern w:val="0"/>
          <w:sz w:val="32"/>
          <w:szCs w:val="32"/>
          <w:shd w:val="clear" w:fill="FFFFFF"/>
          <w:lang w:val="en-US" w:eastAsia="zh-CN" w:bidi="ar"/>
        </w:rPr>
        <w:t>加大农村政策宣传，提升乡镇部门业务素质，强化责任意识</w:t>
      </w:r>
      <w:r>
        <w:rPr>
          <w:rFonts w:ascii="Times New Roman" w:hAnsi="Times New Roman" w:eastAsia="仿宋_GB2312" w:cs="Times New Roman"/>
          <w:sz w:val="32"/>
          <w:szCs w:val="32"/>
        </w:rPr>
        <w:t>。</w:t>
      </w:r>
      <w:r>
        <w:rPr>
          <w:rFonts w:ascii="Times New Roman" w:hAnsi="Times New Roman" w:eastAsia="仿宋_GB2312" w:cs="Times New Roman"/>
          <w:b/>
          <w:bCs/>
          <w:kern w:val="0"/>
          <w:sz w:val="32"/>
          <w:szCs w:val="32"/>
        </w:rPr>
        <w:t>二是部门评价结果。</w:t>
      </w:r>
      <w:r>
        <w:rPr>
          <w:rFonts w:hint="default" w:ascii="仿宋_GB2312" w:eastAsia="仿宋_GB2312" w:cs="仿宋_GB2312"/>
          <w:b w:val="0"/>
          <w:bCs w:val="0"/>
          <w:i w:val="0"/>
          <w:iCs w:val="0"/>
          <w:caps w:val="0"/>
          <w:color w:val="333333"/>
          <w:spacing w:val="0"/>
          <w:sz w:val="32"/>
          <w:szCs w:val="32"/>
          <w:highlight w:val="none"/>
          <w:shd w:val="clear" w:fill="FFFFFF"/>
          <w:lang w:eastAsia="zh-CN"/>
        </w:rPr>
        <w:t>农业生产发展</w:t>
      </w:r>
      <w:r>
        <w:rPr>
          <w:rFonts w:hint="eastAsia" w:ascii="仿宋_GB2312" w:eastAsia="仿宋_GB2312" w:cs="仿宋_GB2312"/>
          <w:b w:val="0"/>
          <w:bCs w:val="0"/>
          <w:i w:val="0"/>
          <w:iCs w:val="0"/>
          <w:caps w:val="0"/>
          <w:color w:val="333333"/>
          <w:spacing w:val="0"/>
          <w:sz w:val="32"/>
          <w:szCs w:val="32"/>
          <w:highlight w:val="none"/>
          <w:shd w:val="clear" w:fill="FFFFFF"/>
          <w:lang w:eastAsia="zh-CN"/>
        </w:rPr>
        <w:t>项目</w:t>
      </w:r>
      <w:r>
        <w:rPr>
          <w:rFonts w:ascii="Times New Roman" w:hAnsi="Times New Roman" w:eastAsia="仿宋_GB2312" w:cs="Times New Roman"/>
          <w:sz w:val="32"/>
          <w:szCs w:val="32"/>
        </w:rPr>
        <w:t>项目全年预算数</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120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w:t>
      </w:r>
      <w:r>
        <w:rPr>
          <w:rFonts w:ascii="Times New Roman" w:hAnsi="Times New Roman" w:eastAsia="仿宋_GB2312" w:cs="Times New Roman"/>
          <w:sz w:val="32"/>
          <w:szCs w:val="32"/>
        </w:rPr>
        <w:t>部门评价得分</w:t>
      </w:r>
      <w:r>
        <w:rPr>
          <w:rFonts w:hint="eastAsia" w:ascii="Times New Roman" w:hAnsi="Times New Roman" w:eastAsia="仿宋_GB2312" w:cs="Times New Roman"/>
          <w:sz w:val="32"/>
          <w:szCs w:val="32"/>
          <w:lang w:val="en-US" w:eastAsia="zh-CN"/>
        </w:rPr>
        <w:t>90</w:t>
      </w:r>
      <w:r>
        <w:rPr>
          <w:rFonts w:ascii="Times New Roman" w:hAnsi="Times New Roman" w:eastAsia="仿宋_GB2312" w:cs="Times New Roman"/>
          <w:sz w:val="32"/>
          <w:szCs w:val="32"/>
        </w:rPr>
        <w:t>分，评价等级为“</w:t>
      </w:r>
      <w:r>
        <w:rPr>
          <w:rFonts w:hint="eastAsia" w:ascii="Times New Roman" w:hAnsi="Times New Roman" w:eastAsia="仿宋_GB2312" w:cs="Times New Roman"/>
          <w:sz w:val="32"/>
          <w:szCs w:val="32"/>
          <w:lang w:eastAsia="zh-CN"/>
        </w:rPr>
        <w:t>良好</w:t>
      </w:r>
      <w:r>
        <w:rPr>
          <w:rFonts w:ascii="Times New Roman" w:hAnsi="Times New Roman" w:eastAsia="仿宋_GB2312" w:cs="Times New Roman"/>
          <w:sz w:val="32"/>
          <w:szCs w:val="32"/>
        </w:rPr>
        <w:t>”。发现的主要问题及原因：</w:t>
      </w:r>
      <w:r>
        <w:rPr>
          <w:rFonts w:hint="eastAsia" w:ascii="Times New Roman" w:hAnsi="Times New Roman" w:eastAsia="仿宋_GB2312" w:cs="Times New Roman"/>
          <w:sz w:val="32"/>
          <w:szCs w:val="32"/>
          <w:lang w:eastAsia="zh-CN"/>
        </w:rPr>
        <w:t>该项目资金拨付不及时</w:t>
      </w:r>
      <w:r>
        <w:rPr>
          <w:rFonts w:ascii="Times New Roman" w:hAnsi="Times New Roman" w:eastAsia="仿宋_GB2312" w:cs="Times New Roman"/>
          <w:sz w:val="32"/>
          <w:szCs w:val="32"/>
        </w:rPr>
        <w:t>。下一步改进措施：</w:t>
      </w:r>
      <w:r>
        <w:rPr>
          <w:rFonts w:hint="eastAsia" w:ascii="Times New Roman" w:hAnsi="Times New Roman" w:eastAsia="仿宋_GB2312" w:cs="Times New Roman"/>
          <w:sz w:val="32"/>
          <w:szCs w:val="32"/>
          <w:lang w:eastAsia="zh-CN"/>
        </w:rPr>
        <w:t>争取财政资金拨付到位</w:t>
      </w:r>
      <w:r>
        <w:rPr>
          <w:rFonts w:ascii="Times New Roman" w:hAnsi="Times New Roman" w:eastAsia="仿宋_GB2312" w:cs="Times New Roman"/>
          <w:sz w:val="32"/>
          <w:szCs w:val="32"/>
        </w:rPr>
        <w:t>。</w:t>
      </w:r>
      <w:bookmarkStart w:id="3" w:name="OLE_LINK4"/>
      <w:r>
        <w:rPr>
          <w:rFonts w:hint="eastAsia" w:ascii="仿宋_GB2312" w:hAnsi="仿宋_GB2312" w:eastAsia="仿宋_GB2312" w:cs="仿宋_GB2312"/>
          <w:b w:val="0"/>
          <w:color w:val="000000" w:themeColor="text1"/>
          <w:sz w:val="32"/>
          <w:szCs w:val="32"/>
          <w:highlight w:val="none"/>
          <w:u w:val="none"/>
          <w:lang w:val="en-US" w:eastAsia="zh-CN"/>
          <w14:textFill>
            <w14:solidFill>
              <w14:schemeClr w14:val="tx1"/>
            </w14:solidFill>
          </w14:textFill>
        </w:rPr>
        <w:t>巩固脱贫攻坚成果衔接乡村振兴支出</w:t>
      </w:r>
      <w:r>
        <w:rPr>
          <w:rFonts w:ascii="Times New Roman" w:hAnsi="Times New Roman" w:eastAsia="仿宋_GB2312" w:cs="Times New Roman"/>
          <w:sz w:val="32"/>
          <w:szCs w:val="32"/>
        </w:rPr>
        <w:t>项目全年预算数</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800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w:t>
      </w:r>
      <w:r>
        <w:rPr>
          <w:rFonts w:ascii="Times New Roman" w:hAnsi="Times New Roman" w:eastAsia="仿宋_GB2312" w:cs="Times New Roman"/>
          <w:sz w:val="32"/>
          <w:szCs w:val="32"/>
        </w:rPr>
        <w:t>部门评价得分</w:t>
      </w:r>
      <w:r>
        <w:rPr>
          <w:rFonts w:hint="eastAsia" w:ascii="Times New Roman" w:hAnsi="Times New Roman" w:eastAsia="仿宋_GB2312" w:cs="Times New Roman"/>
          <w:sz w:val="32"/>
          <w:szCs w:val="32"/>
          <w:lang w:val="en-US" w:eastAsia="zh-CN"/>
        </w:rPr>
        <w:t>90</w:t>
      </w:r>
      <w:r>
        <w:rPr>
          <w:rFonts w:ascii="Times New Roman" w:hAnsi="Times New Roman" w:eastAsia="仿宋_GB2312" w:cs="Times New Roman"/>
          <w:sz w:val="32"/>
          <w:szCs w:val="32"/>
        </w:rPr>
        <w:t>分，评价等级为“</w:t>
      </w:r>
      <w:r>
        <w:rPr>
          <w:rFonts w:hint="eastAsia" w:ascii="Times New Roman" w:hAnsi="Times New Roman" w:eastAsia="仿宋_GB2312" w:cs="Times New Roman"/>
          <w:sz w:val="32"/>
          <w:szCs w:val="32"/>
          <w:lang w:eastAsia="zh-CN"/>
        </w:rPr>
        <w:t>良好</w:t>
      </w:r>
      <w:r>
        <w:rPr>
          <w:rFonts w:ascii="Times New Roman" w:hAnsi="Times New Roman" w:eastAsia="仿宋_GB2312" w:cs="Times New Roman"/>
          <w:sz w:val="32"/>
          <w:szCs w:val="32"/>
        </w:rPr>
        <w:t>”。发现的主要问题及原因：</w:t>
      </w:r>
      <w:r>
        <w:rPr>
          <w:rFonts w:hint="eastAsia" w:ascii="Times New Roman" w:hAnsi="Times New Roman" w:eastAsia="仿宋_GB2312" w:cs="Times New Roman"/>
          <w:sz w:val="32"/>
          <w:szCs w:val="32"/>
        </w:rPr>
        <w:t>受大环境影响，产业扶持项目收益不明显</w:t>
      </w:r>
      <w:r>
        <w:rPr>
          <w:rFonts w:ascii="Times New Roman" w:hAnsi="Times New Roman" w:eastAsia="仿宋_GB2312" w:cs="Times New Roman"/>
          <w:sz w:val="32"/>
          <w:szCs w:val="32"/>
        </w:rPr>
        <w:t>。下一步改进措施：</w:t>
      </w:r>
      <w:r>
        <w:rPr>
          <w:rFonts w:hint="eastAsia" w:ascii="Times New Roman" w:hAnsi="Times New Roman" w:eastAsia="仿宋_GB2312" w:cs="Times New Roman"/>
          <w:sz w:val="32"/>
          <w:szCs w:val="32"/>
        </w:rPr>
        <w:t>引进技术人才，摒弃传统模式，开拓创新，提高收益</w:t>
      </w:r>
      <w:r>
        <w:rPr>
          <w:rFonts w:ascii="Times New Roman" w:hAnsi="Times New Roman" w:eastAsia="仿宋_GB2312" w:cs="Times New Roman"/>
          <w:kern w:val="0"/>
          <w:sz w:val="32"/>
          <w:szCs w:val="32"/>
        </w:rPr>
        <w:t>。</w:t>
      </w:r>
      <w:bookmarkEnd w:id="3"/>
      <w:r>
        <w:rPr>
          <w:rFonts w:ascii="Times New Roman" w:hAnsi="Times New Roman" w:eastAsia="仿宋_GB2312" w:cs="Times New Roman"/>
          <w:b/>
          <w:bCs/>
          <w:kern w:val="0"/>
          <w:sz w:val="32"/>
          <w:szCs w:val="32"/>
        </w:rPr>
        <w:t>三是事前绩效评估结果。</w:t>
      </w:r>
      <w:r>
        <w:rPr>
          <w:rFonts w:ascii="Times New Roman" w:hAnsi="Times New Roman" w:eastAsia="仿宋_GB2312" w:cs="Times New Roman"/>
          <w:kern w:val="0"/>
          <w:sz w:val="32"/>
          <w:szCs w:val="32"/>
        </w:rPr>
        <w:t>2024年度</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kern w:val="0"/>
          <w:sz w:val="32"/>
          <w:szCs w:val="32"/>
        </w:rPr>
        <w:t>个重大项目事前绩效评估，其中，</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kern w:val="0"/>
          <w:sz w:val="32"/>
          <w:szCs w:val="32"/>
        </w:rPr>
        <w:t>个项目评估通过，涉及资金</w:t>
      </w:r>
      <w:r>
        <w:rPr>
          <w:rFonts w:hint="eastAsia" w:ascii="Times New Roman" w:hAnsi="Times New Roman" w:eastAsia="仿宋_GB2312" w:cs="Times New Roman"/>
          <w:sz w:val="32"/>
          <w:szCs w:val="32"/>
          <w:lang w:val="en-US" w:eastAsia="zh-CN"/>
        </w:rPr>
        <w:t>920</w:t>
      </w:r>
      <w:r>
        <w:rPr>
          <w:rFonts w:ascii="Times New Roman" w:hAnsi="Times New Roman" w:eastAsia="仿宋_GB2312" w:cs="Times New Roman"/>
          <w:kern w:val="0"/>
          <w:sz w:val="32"/>
          <w:szCs w:val="32"/>
        </w:rPr>
        <w:t>万元。</w:t>
      </w:r>
    </w:p>
    <w:p>
      <w:pPr>
        <w:pStyle w:val="15"/>
        <w:overflowPunct w:val="0"/>
        <w:autoSpaceDE/>
        <w:autoSpaceDN/>
        <w:spacing w:line="600" w:lineRule="exact"/>
        <w:ind w:firstLine="640" w:firstLineChars="200"/>
        <w:jc w:val="both"/>
        <w:rPr>
          <w:rFonts w:ascii="Times New Roman" w:hAnsi="Times New Roman" w:cs="Times New Roman"/>
          <w:sz w:val="72"/>
          <w:szCs w:val="72"/>
        </w:rPr>
      </w:pPr>
      <w:r>
        <w:rPr>
          <w:rFonts w:ascii="Times New Roman" w:hAnsi="Times New Roman" w:eastAsia="楷体_GB2312" w:cs="Times New Roman"/>
          <w:b/>
          <w:bCs/>
          <w:color w:val="auto"/>
          <w:kern w:val="2"/>
          <w:sz w:val="32"/>
          <w:szCs w:val="32"/>
        </w:rPr>
        <w:t>（三）评价结果应用情况。</w:t>
      </w:r>
      <w:r>
        <w:rPr>
          <w:rFonts w:hint="eastAsia" w:ascii="Times New Roman" w:hAnsi="Times New Roman" w:eastAsia="仿宋_GB2312" w:cs="Times New Roman"/>
          <w:color w:val="auto"/>
          <w:sz w:val="32"/>
          <w:szCs w:val="32"/>
          <w:lang w:eastAsia="zh-CN"/>
        </w:rPr>
        <w:t>本部门</w:t>
      </w:r>
      <w:r>
        <w:rPr>
          <w:rFonts w:hint="eastAsia" w:ascii="Times New Roman" w:hAnsi="Times New Roman" w:eastAsia="仿宋_GB2312" w:cs="Times New Roman"/>
          <w:color w:val="auto"/>
          <w:sz w:val="32"/>
          <w:szCs w:val="32"/>
        </w:rPr>
        <w:t>2025年增加预算用于开展专业培训、政策扶持，以进一步推动新型农业经营主体</w:t>
      </w:r>
      <w:r>
        <w:rPr>
          <w:rFonts w:hint="eastAsia" w:ascii="Times New Roman" w:hAnsi="Times New Roman" w:eastAsia="仿宋_GB2312" w:cs="Times New Roman"/>
          <w:color w:val="auto"/>
          <w:sz w:val="32"/>
          <w:szCs w:val="32"/>
          <w:lang w:eastAsia="zh-CN"/>
        </w:rPr>
        <w:t>和村集体经济</w:t>
      </w:r>
      <w:r>
        <w:rPr>
          <w:rFonts w:hint="eastAsia" w:ascii="Times New Roman" w:hAnsi="Times New Roman" w:eastAsia="仿宋_GB2312" w:cs="Times New Roman"/>
          <w:color w:val="auto"/>
          <w:sz w:val="32"/>
          <w:szCs w:val="32"/>
        </w:rPr>
        <w:t>发展壮大。强化资金监管，确保资金流向明确、使用合规。定期对资金使用情况进行内部审计和检查，发现问题及时整改。完善相关管理制度</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修订项目申报、审批、实施和验收制度，明确各环节责任和要求，提高项目管理的规范性和科学性。建立绩效评价结果反馈和整改制度，要求各项目实施部门根据评价结果制定整改方案，明确整改措施和期限，确保问题得到有效解决 。</w:t>
      </w:r>
    </w:p>
    <w:p>
      <w:pPr>
        <w:pStyle w:val="15"/>
        <w:jc w:val="both"/>
        <w:rPr>
          <w:rFonts w:ascii="Times New Roman" w:hAnsi="Times New Roman" w:cs="Times New Roman"/>
          <w:sz w:val="72"/>
          <w:szCs w:val="72"/>
        </w:rPr>
      </w:pPr>
      <w:bookmarkStart w:id="4" w:name="_GoBack"/>
      <w:bookmarkEnd w:id="4"/>
    </w:p>
    <w:p>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pPr>
        <w:widowControl/>
        <w:jc w:val="left"/>
        <w:rPr>
          <w:rFonts w:ascii="Times New Roman" w:hAnsi="Times New Roman" w:cs="Times New Roman"/>
          <w:color w:val="000000"/>
          <w:kern w:val="0"/>
          <w:sz w:val="32"/>
          <w:szCs w:val="32"/>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ascii="Calibri" w:hAnsi="Calibri" w:cs="Calibri"/>
          <w:i w:val="0"/>
          <w:iCs w:val="0"/>
          <w:caps w:val="0"/>
          <w:color w:val="666666"/>
          <w:spacing w:val="0"/>
          <w:sz w:val="21"/>
          <w:szCs w:val="21"/>
          <w:u w:val="none"/>
        </w:rPr>
      </w:pPr>
      <w:r>
        <w:rPr>
          <w:rFonts w:ascii="仿宋" w:hAnsi="仿宋" w:eastAsia="仿宋" w:cs="仿宋"/>
          <w:i w:val="0"/>
          <w:iCs w:val="0"/>
          <w:caps w:val="0"/>
          <w:color w:val="000000"/>
          <w:spacing w:val="0"/>
          <w:sz w:val="32"/>
          <w:szCs w:val="32"/>
          <w:u w:val="none"/>
          <w:shd w:val="clear" w:color="auto" w:fill="FFFFFF"/>
        </w:rPr>
        <w:t>一、收入科目</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1</w:t>
      </w:r>
      <w:r>
        <w:rPr>
          <w:rFonts w:hint="eastAsia" w:ascii="仿宋" w:hAnsi="仿宋" w:eastAsia="仿宋" w:cs="仿宋"/>
          <w:i w:val="0"/>
          <w:iCs w:val="0"/>
          <w:caps w:val="0"/>
          <w:color w:val="000000"/>
          <w:spacing w:val="0"/>
          <w:sz w:val="32"/>
          <w:szCs w:val="32"/>
          <w:u w:val="none"/>
          <w:shd w:val="clear" w:color="auto" w:fill="FFFFFF"/>
        </w:rPr>
        <w:t>、财政拨款收入：指财政当年拨付的资金。</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2</w:t>
      </w:r>
      <w:r>
        <w:rPr>
          <w:rFonts w:hint="eastAsia" w:ascii="仿宋" w:hAnsi="仿宋" w:eastAsia="仿宋" w:cs="仿宋"/>
          <w:i w:val="0"/>
          <w:iCs w:val="0"/>
          <w:caps w:val="0"/>
          <w:color w:val="000000"/>
          <w:spacing w:val="0"/>
          <w:sz w:val="32"/>
          <w:szCs w:val="32"/>
          <w:u w:val="none"/>
          <w:shd w:val="clear" w:color="auto" w:fill="FFFFFF"/>
        </w:rPr>
        <w:t>、事业收入：指事业单位开展专业业务活动及辅助活动取得的收入。</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3</w:t>
      </w:r>
      <w:r>
        <w:rPr>
          <w:rFonts w:hint="eastAsia" w:ascii="仿宋" w:hAnsi="仿宋" w:eastAsia="仿宋" w:cs="仿宋"/>
          <w:i w:val="0"/>
          <w:iCs w:val="0"/>
          <w:caps w:val="0"/>
          <w:color w:val="000000"/>
          <w:spacing w:val="0"/>
          <w:sz w:val="32"/>
          <w:szCs w:val="32"/>
          <w:u w:val="none"/>
          <w:shd w:val="clear" w:color="auto" w:fill="FFFFFF"/>
        </w:rPr>
        <w:t>、经营收入：指事业单位在专业业务活动及其辅助活动之外开展非独立核算经营活动取得的收入。</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4</w:t>
      </w:r>
      <w:r>
        <w:rPr>
          <w:rFonts w:hint="eastAsia" w:ascii="仿宋" w:hAnsi="仿宋" w:eastAsia="仿宋" w:cs="仿宋"/>
          <w:i w:val="0"/>
          <w:iCs w:val="0"/>
          <w:caps w:val="0"/>
          <w:color w:val="000000"/>
          <w:spacing w:val="0"/>
          <w:sz w:val="32"/>
          <w:szCs w:val="32"/>
          <w:u w:val="none"/>
          <w:shd w:val="clear" w:color="auto" w:fill="FFFFFF"/>
        </w:rPr>
        <w:t>、其他收入：指除上述“财政拨款收入”、“事业收入”、“经营收入”等以外的收入。</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5</w:t>
      </w:r>
      <w:r>
        <w:rPr>
          <w:rFonts w:hint="eastAsia" w:ascii="仿宋" w:hAnsi="仿宋" w:eastAsia="仿宋" w:cs="仿宋"/>
          <w:i w:val="0"/>
          <w:iCs w:val="0"/>
          <w:caps w:val="0"/>
          <w:color w:val="000000"/>
          <w:spacing w:val="0"/>
          <w:sz w:val="32"/>
          <w:szCs w:val="32"/>
          <w:u w:val="none"/>
          <w:shd w:val="clear" w:color="auto" w:fill="FFFFFF"/>
        </w:rPr>
        <w:t>、用事业基金弥补收支差额：指事业单位在当年的“财政拨款收入”、“事业收入”、“经营收入”、“其他收入”不足以安排当年支出的情况下，使用以前年积累的事业基金（事业单位当年收支相抵后按国家规定提取、用于弥补以后年收支差额的基金）弥补本年收支缺口的资金。</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6</w:t>
      </w:r>
      <w:r>
        <w:rPr>
          <w:rFonts w:hint="eastAsia" w:ascii="仿宋" w:hAnsi="仿宋" w:eastAsia="仿宋" w:cs="仿宋"/>
          <w:i w:val="0"/>
          <w:iCs w:val="0"/>
          <w:caps w:val="0"/>
          <w:color w:val="000000"/>
          <w:spacing w:val="0"/>
          <w:sz w:val="32"/>
          <w:szCs w:val="32"/>
          <w:u w:val="none"/>
          <w:shd w:val="clear" w:color="auto" w:fill="FFFFFF"/>
        </w:rPr>
        <w:t>、上年结转：指以前年尚未完成、结转到本年按有关规定继续使用的资金。</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eastAsia" w:ascii="仿宋" w:hAnsi="仿宋" w:eastAsia="仿宋" w:cs="仿宋"/>
          <w:i w:val="0"/>
          <w:iCs w:val="0"/>
          <w:caps w:val="0"/>
          <w:color w:val="000000"/>
          <w:spacing w:val="0"/>
          <w:sz w:val="32"/>
          <w:szCs w:val="32"/>
          <w:u w:val="none"/>
          <w:shd w:val="clear" w:color="auto" w:fill="FFFFFF"/>
        </w:rPr>
        <w:t>二、支出科目</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1</w:t>
      </w:r>
      <w:r>
        <w:rPr>
          <w:rFonts w:hint="eastAsia" w:ascii="仿宋" w:hAnsi="仿宋" w:eastAsia="仿宋" w:cs="仿宋"/>
          <w:i w:val="0"/>
          <w:iCs w:val="0"/>
          <w:caps w:val="0"/>
          <w:color w:val="000000"/>
          <w:spacing w:val="0"/>
          <w:sz w:val="32"/>
          <w:szCs w:val="32"/>
          <w:u w:val="none"/>
          <w:shd w:val="clear" w:color="auto" w:fill="FFFFFF"/>
        </w:rPr>
        <w:t>、基本支出：是为保障其机构正常运转、完成日常工作任务而发生的人员支出和公用支出。</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2</w:t>
      </w:r>
      <w:r>
        <w:rPr>
          <w:rFonts w:hint="eastAsia" w:ascii="仿宋" w:hAnsi="仿宋" w:eastAsia="仿宋" w:cs="仿宋"/>
          <w:i w:val="0"/>
          <w:iCs w:val="0"/>
          <w:caps w:val="0"/>
          <w:color w:val="000000"/>
          <w:spacing w:val="0"/>
          <w:sz w:val="32"/>
          <w:szCs w:val="32"/>
          <w:u w:val="none"/>
          <w:shd w:val="clear" w:color="auto" w:fill="FFFFFF"/>
        </w:rPr>
        <w:t>、项目支出：是指在基本支出之外完成特定行政任务和事业发展目标所发生的支出。</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3</w:t>
      </w:r>
      <w:r>
        <w:rPr>
          <w:rFonts w:hint="eastAsia" w:ascii="仿宋" w:hAnsi="仿宋" w:eastAsia="仿宋" w:cs="仿宋"/>
          <w:i w:val="0"/>
          <w:iCs w:val="0"/>
          <w:caps w:val="0"/>
          <w:color w:val="000000"/>
          <w:spacing w:val="0"/>
          <w:sz w:val="32"/>
          <w:szCs w:val="32"/>
          <w:u w:val="none"/>
          <w:shd w:val="clear" w:color="auto" w:fill="FFFFFF"/>
        </w:rPr>
        <w:t>、工资福利支出：反映单位开支的在职职工和编制外长期聘用人员的各类劳动报酬，以及为上述人员缴纳的各项社会保险费等。</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4</w:t>
      </w:r>
      <w:r>
        <w:rPr>
          <w:rFonts w:hint="eastAsia" w:ascii="仿宋" w:hAnsi="仿宋" w:eastAsia="仿宋" w:cs="仿宋"/>
          <w:i w:val="0"/>
          <w:iCs w:val="0"/>
          <w:caps w:val="0"/>
          <w:color w:val="000000"/>
          <w:spacing w:val="0"/>
          <w:sz w:val="32"/>
          <w:szCs w:val="32"/>
          <w:u w:val="none"/>
          <w:shd w:val="clear" w:color="auto" w:fill="FFFFFF"/>
        </w:rPr>
        <w:t>、商品和服务支出：反映单位购买商品和服务的支出。</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5</w:t>
      </w:r>
      <w:r>
        <w:rPr>
          <w:rFonts w:hint="eastAsia" w:ascii="仿宋" w:hAnsi="仿宋" w:eastAsia="仿宋" w:cs="仿宋"/>
          <w:i w:val="0"/>
          <w:iCs w:val="0"/>
          <w:caps w:val="0"/>
          <w:color w:val="000000"/>
          <w:spacing w:val="0"/>
          <w:sz w:val="32"/>
          <w:szCs w:val="32"/>
          <w:u w:val="none"/>
          <w:shd w:val="clear" w:color="auto" w:fill="FFFFFF"/>
        </w:rPr>
        <w:t>、对个人和家庭的补助：反映单位用于对个人和家庭的补助支出。</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default" w:ascii="Calibri" w:hAnsi="Calibri" w:cs="Calibri"/>
          <w:i w:val="0"/>
          <w:iCs w:val="0"/>
          <w:caps w:val="0"/>
          <w:color w:val="666666"/>
          <w:spacing w:val="0"/>
          <w:sz w:val="21"/>
          <w:szCs w:val="21"/>
          <w:u w:val="none"/>
        </w:rPr>
      </w:pPr>
      <w:r>
        <w:rPr>
          <w:rFonts w:hint="eastAsia" w:ascii="仿宋" w:hAnsi="仿宋" w:eastAsia="仿宋" w:cs="仿宋"/>
          <w:i w:val="0"/>
          <w:iCs w:val="0"/>
          <w:caps w:val="0"/>
          <w:color w:val="666666"/>
          <w:spacing w:val="0"/>
          <w:sz w:val="32"/>
          <w:szCs w:val="32"/>
          <w:u w:val="none"/>
          <w:shd w:val="clear" w:color="auto" w:fill="FFFFFF"/>
        </w:rPr>
        <w:t>三、机关运行经费：是指各部门的公用经费，包括办公费、印刷费、邮电费、差旅费、会议费、福利费、日常维修费、专用材料及一般设备购置费、办公用房水电费、办公用房取暖费、办公用房物业管理费、公务用车运行维护费以及其他费用。</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eastAsia" w:ascii="仿宋" w:hAnsi="仿宋" w:eastAsia="仿宋" w:cs="仿宋"/>
          <w:i w:val="0"/>
          <w:iCs w:val="0"/>
          <w:caps w:val="0"/>
          <w:color w:val="000000"/>
          <w:spacing w:val="0"/>
          <w:sz w:val="32"/>
          <w:szCs w:val="32"/>
          <w:u w:val="none"/>
          <w:shd w:val="clear" w:color="auto" w:fill="FFFFFF"/>
        </w:rPr>
        <w:t>四、“三公”经费科目</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1</w:t>
      </w:r>
      <w:r>
        <w:rPr>
          <w:rFonts w:hint="eastAsia" w:ascii="仿宋" w:hAnsi="仿宋" w:eastAsia="仿宋" w:cs="仿宋"/>
          <w:i w:val="0"/>
          <w:iCs w:val="0"/>
          <w:caps w:val="0"/>
          <w:color w:val="000000"/>
          <w:spacing w:val="0"/>
          <w:sz w:val="32"/>
          <w:szCs w:val="32"/>
          <w:u w:val="none"/>
          <w:shd w:val="clear" w:color="auto" w:fill="FFFFFF"/>
        </w:rPr>
        <w:t>、因公出国（境）费用：反映单位公务出国（境）的国际旅费、国内城市间交通费、住宿费、伙食费、培训费、公杂费等支出。</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333333"/>
          <w:spacing w:val="0"/>
          <w:sz w:val="32"/>
          <w:szCs w:val="32"/>
          <w:u w:val="none"/>
          <w:shd w:val="clear" w:color="auto" w:fill="FFFFFF"/>
        </w:rPr>
        <w:t>2</w:t>
      </w:r>
      <w:r>
        <w:rPr>
          <w:rFonts w:hint="eastAsia" w:ascii="仿宋" w:hAnsi="仿宋" w:eastAsia="仿宋" w:cs="仿宋"/>
          <w:i w:val="0"/>
          <w:iCs w:val="0"/>
          <w:caps w:val="0"/>
          <w:color w:val="000000"/>
          <w:spacing w:val="0"/>
          <w:sz w:val="32"/>
          <w:szCs w:val="32"/>
          <w:u w:val="none"/>
          <w:shd w:val="clear" w:color="auto" w:fill="FFFFFF"/>
        </w:rPr>
        <w:t>、公务接待费：反映单位按规定开支的各类公务接待（含外宾接待）费用。</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3</w:t>
      </w:r>
      <w:r>
        <w:rPr>
          <w:rFonts w:hint="eastAsia" w:ascii="仿宋" w:hAnsi="仿宋" w:eastAsia="仿宋" w:cs="仿宋"/>
          <w:i w:val="0"/>
          <w:iCs w:val="0"/>
          <w:caps w:val="0"/>
          <w:color w:val="000000"/>
          <w:spacing w:val="0"/>
          <w:sz w:val="32"/>
          <w:szCs w:val="32"/>
          <w:u w:val="none"/>
          <w:shd w:val="clear" w:color="auto" w:fill="FFFFFF"/>
        </w:rPr>
        <w:t>、</w:t>
      </w:r>
      <w:r>
        <w:rPr>
          <w:rFonts w:hint="eastAsia" w:ascii="仿宋" w:hAnsi="仿宋" w:eastAsia="仿宋" w:cs="仿宋"/>
          <w:i w:val="0"/>
          <w:iCs w:val="0"/>
          <w:caps w:val="0"/>
          <w:color w:val="666666"/>
          <w:spacing w:val="0"/>
          <w:sz w:val="32"/>
          <w:szCs w:val="32"/>
          <w:u w:val="none"/>
          <w:shd w:val="clear" w:color="auto" w:fill="FFFFFF"/>
        </w:rPr>
        <w:t>公务用车购置及</w:t>
      </w:r>
      <w:r>
        <w:rPr>
          <w:rFonts w:hint="eastAsia" w:ascii="仿宋" w:hAnsi="仿宋" w:eastAsia="仿宋" w:cs="仿宋"/>
          <w:i w:val="0"/>
          <w:iCs w:val="0"/>
          <w:caps w:val="0"/>
          <w:color w:val="000000"/>
          <w:spacing w:val="0"/>
          <w:sz w:val="32"/>
          <w:szCs w:val="32"/>
          <w:u w:val="none"/>
          <w:shd w:val="clear" w:color="auto" w:fill="FFFFFF"/>
        </w:rPr>
        <w:t>运行维护费：反映</w:t>
      </w:r>
      <w:r>
        <w:rPr>
          <w:rFonts w:hint="eastAsia" w:ascii="仿宋" w:hAnsi="仿宋" w:eastAsia="仿宋" w:cs="仿宋"/>
          <w:i w:val="0"/>
          <w:iCs w:val="0"/>
          <w:caps w:val="0"/>
          <w:color w:val="666666"/>
          <w:spacing w:val="0"/>
          <w:sz w:val="32"/>
          <w:szCs w:val="32"/>
          <w:u w:val="none"/>
          <w:shd w:val="clear" w:color="auto" w:fill="FFFFFF"/>
        </w:rPr>
        <w:t>单位公务用车车辆购置支出（含车辆购置税），以及燃料费、维修费、</w:t>
      </w:r>
      <w:r>
        <w:rPr>
          <w:rFonts w:hint="eastAsia" w:ascii="仿宋" w:hAnsi="仿宋" w:eastAsia="仿宋" w:cs="仿宋"/>
          <w:i w:val="0"/>
          <w:iCs w:val="0"/>
          <w:caps w:val="0"/>
          <w:color w:val="000000"/>
          <w:spacing w:val="0"/>
          <w:sz w:val="32"/>
          <w:szCs w:val="32"/>
          <w:u w:val="none"/>
          <w:shd w:val="clear" w:color="auto" w:fill="FFFFFF"/>
        </w:rPr>
        <w:t>过路过桥费、保险费等支出。</w:t>
      </w:r>
    </w:p>
    <w:p>
      <w:pPr>
        <w:pStyle w:val="15"/>
        <w:jc w:val="center"/>
        <w:rPr>
          <w:rFonts w:ascii="Times New Roman" w:hAnsi="Times New Roman" w:cs="Times New Roman"/>
          <w:sz w:val="72"/>
          <w:szCs w:val="72"/>
        </w:rPr>
      </w:pPr>
    </w:p>
    <w:p>
      <w:pPr>
        <w:pStyle w:val="15"/>
        <w:jc w:val="center"/>
        <w:rPr>
          <w:rFonts w:ascii="Times New Roman" w:hAnsi="Times New Roman" w:cs="Times New Roman"/>
          <w:sz w:val="72"/>
          <w:szCs w:val="72"/>
        </w:rPr>
      </w:pPr>
    </w:p>
    <w:p>
      <w:pPr>
        <w:pStyle w:val="15"/>
        <w:jc w:val="center"/>
        <w:rPr>
          <w:rFonts w:ascii="Times New Roman" w:hAnsi="Times New Roman" w:cs="Times New Roman"/>
          <w:sz w:val="72"/>
          <w:szCs w:val="72"/>
        </w:rPr>
      </w:pPr>
    </w:p>
    <w:p>
      <w:pPr>
        <w:pStyle w:val="15"/>
        <w:jc w:val="both"/>
        <w:rPr>
          <w:rFonts w:ascii="Times New Roman" w:hAnsi="Times New Roman" w:cs="Times New Roman"/>
          <w:sz w:val="72"/>
          <w:szCs w:val="72"/>
        </w:rPr>
      </w:pPr>
    </w:p>
    <w:p>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pPr>
        <w:rPr>
          <w:rFonts w:ascii="Times New Roman" w:hAnsi="Times New Roman" w:cs="Times New Roman"/>
          <w:sz w:val="72"/>
          <w:szCs w:val="72"/>
        </w:rPr>
      </w:pPr>
    </w:p>
    <w:p>
      <w:pPr>
        <w:pStyle w:val="15"/>
        <w:spacing w:line="600" w:lineRule="exact"/>
        <w:ind w:firstLine="640" w:firstLineChars="20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2024年度部门(单位)整体支出绩效自评报告。</w:t>
      </w:r>
    </w:p>
    <w:p>
      <w:pPr>
        <w:pStyle w:val="15"/>
        <w:spacing w:line="600" w:lineRule="exact"/>
        <w:ind w:firstLine="640" w:firstLineChars="200"/>
        <w:rPr>
          <w:rFonts w:ascii="Times New Roman" w:hAnsi="Times New Roman" w:eastAsia="仿宋_GB2312" w:cs="Times New Roman"/>
          <w:sz w:val="32"/>
          <w:szCs w:val="32"/>
        </w:rPr>
      </w:pPr>
    </w:p>
    <w:p>
      <w:pPr>
        <w:pStyle w:val="15"/>
        <w:jc w:val="center"/>
        <w:rPr>
          <w:rFonts w:hint="eastAsia" w:ascii="Times New Roman" w:hAnsi="Times New Roman" w:eastAsia="黑体" w:cs="Times New Roman"/>
          <w:sz w:val="32"/>
          <w:szCs w:val="32"/>
          <w:lang w:eastAsia="zh-CN"/>
        </w:rPr>
      </w:pPr>
      <w:r>
        <w:rPr>
          <w:rFonts w:hint="eastAsia" w:ascii="Times New Roman" w:hAnsi="Times New Roman" w:cs="Times New Roman"/>
          <w:sz w:val="32"/>
          <w:szCs w:val="32"/>
          <w:lang w:eastAsia="zh-CN"/>
        </w:rPr>
        <w:t>（见附件）</w:t>
      </w:r>
    </w:p>
    <w:p>
      <w:pPr>
        <w:pStyle w:val="15"/>
        <w:jc w:val="center"/>
        <w:rPr>
          <w:rFonts w:ascii="Times New Roman" w:hAnsi="Times New Roman" w:cs="Times New Roman"/>
          <w:sz w:val="72"/>
          <w:szCs w:val="72"/>
        </w:rPr>
      </w:pPr>
    </w:p>
    <w:p>
      <w:pPr>
        <w:jc w:val="left"/>
        <w:rPr>
          <w:rFonts w:ascii="Times New Roman" w:hAnsi="Times New Roman" w:cs="Times New Roman"/>
          <w:color w:val="000000"/>
          <w:kern w:val="0"/>
          <w:sz w:val="32"/>
          <w:szCs w:val="32"/>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0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3CD407"/>
    <w:multiLevelType w:val="singleLevel"/>
    <w:tmpl w:val="253CD407"/>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0MTZiZmFlMGY1ODVhOGNjMDAwOGM0ZmY0NGU4ZDgifQ=="/>
  </w:docVars>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0E1737"/>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D269B"/>
    <w:rsid w:val="002E0A30"/>
    <w:rsid w:val="0030077D"/>
    <w:rsid w:val="003130C4"/>
    <w:rsid w:val="00316C4B"/>
    <w:rsid w:val="0032192B"/>
    <w:rsid w:val="0033283E"/>
    <w:rsid w:val="003357D8"/>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037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756C4"/>
    <w:rsid w:val="00787B42"/>
    <w:rsid w:val="007C4539"/>
    <w:rsid w:val="007F3657"/>
    <w:rsid w:val="00810F0C"/>
    <w:rsid w:val="00811AA2"/>
    <w:rsid w:val="00812ED5"/>
    <w:rsid w:val="008277D9"/>
    <w:rsid w:val="0083050D"/>
    <w:rsid w:val="0084478C"/>
    <w:rsid w:val="0086638C"/>
    <w:rsid w:val="008764FA"/>
    <w:rsid w:val="008A1079"/>
    <w:rsid w:val="008A3E8D"/>
    <w:rsid w:val="008A5055"/>
    <w:rsid w:val="008D17F4"/>
    <w:rsid w:val="009237C4"/>
    <w:rsid w:val="00944C48"/>
    <w:rsid w:val="00950252"/>
    <w:rsid w:val="00967F5D"/>
    <w:rsid w:val="009A0F95"/>
    <w:rsid w:val="009B3ADF"/>
    <w:rsid w:val="009C31C5"/>
    <w:rsid w:val="009C3B52"/>
    <w:rsid w:val="009E6817"/>
    <w:rsid w:val="009E6E9A"/>
    <w:rsid w:val="00A01D2B"/>
    <w:rsid w:val="00A1392A"/>
    <w:rsid w:val="00A16BE5"/>
    <w:rsid w:val="00A42218"/>
    <w:rsid w:val="00A70249"/>
    <w:rsid w:val="00A70B02"/>
    <w:rsid w:val="00A71D9F"/>
    <w:rsid w:val="00A92E9F"/>
    <w:rsid w:val="00AB18FF"/>
    <w:rsid w:val="00B26269"/>
    <w:rsid w:val="00B33BEA"/>
    <w:rsid w:val="00B57C9F"/>
    <w:rsid w:val="00B63572"/>
    <w:rsid w:val="00B845B3"/>
    <w:rsid w:val="00B85D8B"/>
    <w:rsid w:val="00BA7CA7"/>
    <w:rsid w:val="00BB4A40"/>
    <w:rsid w:val="00BD6022"/>
    <w:rsid w:val="00BD6C3E"/>
    <w:rsid w:val="00BE3674"/>
    <w:rsid w:val="00C10681"/>
    <w:rsid w:val="00C10822"/>
    <w:rsid w:val="00C14B91"/>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0FAC"/>
    <w:rsid w:val="00E37D6C"/>
    <w:rsid w:val="00E55B68"/>
    <w:rsid w:val="00E561AE"/>
    <w:rsid w:val="00E67BE6"/>
    <w:rsid w:val="00E8683C"/>
    <w:rsid w:val="00EA2B72"/>
    <w:rsid w:val="00F74360"/>
    <w:rsid w:val="00FB462F"/>
    <w:rsid w:val="00FE16FA"/>
    <w:rsid w:val="00FE328A"/>
    <w:rsid w:val="00FE6269"/>
    <w:rsid w:val="00FF5CD6"/>
    <w:rsid w:val="0100390C"/>
    <w:rsid w:val="016814B1"/>
    <w:rsid w:val="019D73AC"/>
    <w:rsid w:val="01CC5EE4"/>
    <w:rsid w:val="020B6A0C"/>
    <w:rsid w:val="02151639"/>
    <w:rsid w:val="024C0D22"/>
    <w:rsid w:val="02535CBD"/>
    <w:rsid w:val="02893E77"/>
    <w:rsid w:val="02AD361F"/>
    <w:rsid w:val="0314369E"/>
    <w:rsid w:val="03864EFF"/>
    <w:rsid w:val="03A52548"/>
    <w:rsid w:val="03D8291E"/>
    <w:rsid w:val="03EF4048"/>
    <w:rsid w:val="04101DB7"/>
    <w:rsid w:val="04245B63"/>
    <w:rsid w:val="042E253E"/>
    <w:rsid w:val="046917C8"/>
    <w:rsid w:val="046C3066"/>
    <w:rsid w:val="04806B11"/>
    <w:rsid w:val="04844998"/>
    <w:rsid w:val="04A50D75"/>
    <w:rsid w:val="05693603"/>
    <w:rsid w:val="05883ED0"/>
    <w:rsid w:val="05937EC5"/>
    <w:rsid w:val="05D215EF"/>
    <w:rsid w:val="06257970"/>
    <w:rsid w:val="063F4ED6"/>
    <w:rsid w:val="065564A8"/>
    <w:rsid w:val="066466EB"/>
    <w:rsid w:val="0667442D"/>
    <w:rsid w:val="066E7569"/>
    <w:rsid w:val="069114AA"/>
    <w:rsid w:val="06CB0518"/>
    <w:rsid w:val="06EB6E0C"/>
    <w:rsid w:val="06F757B1"/>
    <w:rsid w:val="070D6D82"/>
    <w:rsid w:val="072D11D3"/>
    <w:rsid w:val="076170CE"/>
    <w:rsid w:val="078132CC"/>
    <w:rsid w:val="078A2181"/>
    <w:rsid w:val="07A62D33"/>
    <w:rsid w:val="07BE7577"/>
    <w:rsid w:val="07D4164E"/>
    <w:rsid w:val="07E77049"/>
    <w:rsid w:val="07F7358F"/>
    <w:rsid w:val="081E4FBF"/>
    <w:rsid w:val="0831084F"/>
    <w:rsid w:val="084E1401"/>
    <w:rsid w:val="085D1644"/>
    <w:rsid w:val="08713341"/>
    <w:rsid w:val="08E27D9B"/>
    <w:rsid w:val="09095327"/>
    <w:rsid w:val="093A42B4"/>
    <w:rsid w:val="094E5430"/>
    <w:rsid w:val="097A6225"/>
    <w:rsid w:val="098D41AA"/>
    <w:rsid w:val="09D45935"/>
    <w:rsid w:val="0A8E1F88"/>
    <w:rsid w:val="0AC51722"/>
    <w:rsid w:val="0AEE6ECB"/>
    <w:rsid w:val="0B1D330C"/>
    <w:rsid w:val="0B48482D"/>
    <w:rsid w:val="0B4B60CB"/>
    <w:rsid w:val="0B661E60"/>
    <w:rsid w:val="0B6C7DF0"/>
    <w:rsid w:val="0B9C06D5"/>
    <w:rsid w:val="0C2C7CAB"/>
    <w:rsid w:val="0C324B95"/>
    <w:rsid w:val="0C794854"/>
    <w:rsid w:val="0C9910B8"/>
    <w:rsid w:val="0CB907B7"/>
    <w:rsid w:val="0CF32576"/>
    <w:rsid w:val="0D020A0B"/>
    <w:rsid w:val="0D2E1801"/>
    <w:rsid w:val="0D703BC7"/>
    <w:rsid w:val="0D8B27AF"/>
    <w:rsid w:val="0D8C6527"/>
    <w:rsid w:val="0D9759E8"/>
    <w:rsid w:val="0DDA1988"/>
    <w:rsid w:val="0DDA7292"/>
    <w:rsid w:val="0DDF6F9F"/>
    <w:rsid w:val="0DFD372B"/>
    <w:rsid w:val="0E0D58BA"/>
    <w:rsid w:val="0E645822"/>
    <w:rsid w:val="0E651252"/>
    <w:rsid w:val="0E7E2314"/>
    <w:rsid w:val="0F096081"/>
    <w:rsid w:val="0F0E3698"/>
    <w:rsid w:val="0F256C33"/>
    <w:rsid w:val="0F607C6B"/>
    <w:rsid w:val="0F7F00F1"/>
    <w:rsid w:val="0FAE09D7"/>
    <w:rsid w:val="0FBA381F"/>
    <w:rsid w:val="0FCE2E27"/>
    <w:rsid w:val="0FE8038D"/>
    <w:rsid w:val="10172A20"/>
    <w:rsid w:val="10466E61"/>
    <w:rsid w:val="104B091B"/>
    <w:rsid w:val="106317C1"/>
    <w:rsid w:val="10675755"/>
    <w:rsid w:val="10D64689"/>
    <w:rsid w:val="10E01064"/>
    <w:rsid w:val="10F44B0F"/>
    <w:rsid w:val="110F7B9B"/>
    <w:rsid w:val="116003F7"/>
    <w:rsid w:val="116C0B49"/>
    <w:rsid w:val="117143B2"/>
    <w:rsid w:val="11A622AD"/>
    <w:rsid w:val="11AB1672"/>
    <w:rsid w:val="11D16BFE"/>
    <w:rsid w:val="11DA1F57"/>
    <w:rsid w:val="121D1E44"/>
    <w:rsid w:val="122D02D9"/>
    <w:rsid w:val="12492C39"/>
    <w:rsid w:val="12504347"/>
    <w:rsid w:val="12706417"/>
    <w:rsid w:val="129A3494"/>
    <w:rsid w:val="132F0080"/>
    <w:rsid w:val="139B0F39"/>
    <w:rsid w:val="13AF2F6F"/>
    <w:rsid w:val="13B10A95"/>
    <w:rsid w:val="13D20CF7"/>
    <w:rsid w:val="13E96481"/>
    <w:rsid w:val="13F84916"/>
    <w:rsid w:val="14180B15"/>
    <w:rsid w:val="141F00F5"/>
    <w:rsid w:val="14A95C11"/>
    <w:rsid w:val="14D0319D"/>
    <w:rsid w:val="14E135FC"/>
    <w:rsid w:val="152C0D1B"/>
    <w:rsid w:val="152D6842"/>
    <w:rsid w:val="15D867AD"/>
    <w:rsid w:val="16302145"/>
    <w:rsid w:val="16331C36"/>
    <w:rsid w:val="16677B31"/>
    <w:rsid w:val="168626AD"/>
    <w:rsid w:val="168B3820"/>
    <w:rsid w:val="168D3A3C"/>
    <w:rsid w:val="169A1CB5"/>
    <w:rsid w:val="171C091C"/>
    <w:rsid w:val="176A5B2B"/>
    <w:rsid w:val="17780248"/>
    <w:rsid w:val="17AF1790"/>
    <w:rsid w:val="17B15508"/>
    <w:rsid w:val="17BA0860"/>
    <w:rsid w:val="17EF6030"/>
    <w:rsid w:val="181B6E25"/>
    <w:rsid w:val="186E164B"/>
    <w:rsid w:val="18820C52"/>
    <w:rsid w:val="19762565"/>
    <w:rsid w:val="1A911621"/>
    <w:rsid w:val="1AB5530F"/>
    <w:rsid w:val="1ADC0AEE"/>
    <w:rsid w:val="1AFC6A9A"/>
    <w:rsid w:val="1B0D6EF9"/>
    <w:rsid w:val="1B1464DA"/>
    <w:rsid w:val="1B4E306E"/>
    <w:rsid w:val="1B8371BB"/>
    <w:rsid w:val="1BA3160C"/>
    <w:rsid w:val="1BC05D1A"/>
    <w:rsid w:val="1BCB40AF"/>
    <w:rsid w:val="1C275D99"/>
    <w:rsid w:val="1C4E1577"/>
    <w:rsid w:val="1C5D7A0C"/>
    <w:rsid w:val="1CF55E97"/>
    <w:rsid w:val="1CFD4D4B"/>
    <w:rsid w:val="1D28626C"/>
    <w:rsid w:val="1D44498D"/>
    <w:rsid w:val="1D6F5C49"/>
    <w:rsid w:val="1D9531D6"/>
    <w:rsid w:val="1D97DEFF"/>
    <w:rsid w:val="1DAF4298"/>
    <w:rsid w:val="1DB7139E"/>
    <w:rsid w:val="1DF60118"/>
    <w:rsid w:val="1DFF72E5"/>
    <w:rsid w:val="1E3D5D47"/>
    <w:rsid w:val="1E3D7AF5"/>
    <w:rsid w:val="1E42335E"/>
    <w:rsid w:val="1E51534F"/>
    <w:rsid w:val="1E544E3F"/>
    <w:rsid w:val="1E94348E"/>
    <w:rsid w:val="1EC45B21"/>
    <w:rsid w:val="1ECA3E11"/>
    <w:rsid w:val="1EF67CA4"/>
    <w:rsid w:val="1EFC6F07"/>
    <w:rsid w:val="1F040613"/>
    <w:rsid w:val="1F5A0233"/>
    <w:rsid w:val="1FB738D7"/>
    <w:rsid w:val="20087C8F"/>
    <w:rsid w:val="207215AC"/>
    <w:rsid w:val="2076109D"/>
    <w:rsid w:val="20FC3C98"/>
    <w:rsid w:val="21117017"/>
    <w:rsid w:val="217622CE"/>
    <w:rsid w:val="219C4B33"/>
    <w:rsid w:val="219E4D4F"/>
    <w:rsid w:val="21AA36F4"/>
    <w:rsid w:val="21D818E3"/>
    <w:rsid w:val="21DB0D15"/>
    <w:rsid w:val="21DC13D3"/>
    <w:rsid w:val="21DF2C72"/>
    <w:rsid w:val="223C6316"/>
    <w:rsid w:val="224D0523"/>
    <w:rsid w:val="227C4964"/>
    <w:rsid w:val="228F6446"/>
    <w:rsid w:val="229D5007"/>
    <w:rsid w:val="22BD2FB3"/>
    <w:rsid w:val="22CC58EC"/>
    <w:rsid w:val="22CD6F6E"/>
    <w:rsid w:val="22F95FB5"/>
    <w:rsid w:val="230230BC"/>
    <w:rsid w:val="23046E34"/>
    <w:rsid w:val="23166844"/>
    <w:rsid w:val="23614286"/>
    <w:rsid w:val="236773C3"/>
    <w:rsid w:val="2369313B"/>
    <w:rsid w:val="237F470C"/>
    <w:rsid w:val="23AB426C"/>
    <w:rsid w:val="23AE6D9F"/>
    <w:rsid w:val="23C40371"/>
    <w:rsid w:val="23E850A0"/>
    <w:rsid w:val="241A61E3"/>
    <w:rsid w:val="24253506"/>
    <w:rsid w:val="2426102C"/>
    <w:rsid w:val="244F40DF"/>
    <w:rsid w:val="24A361D8"/>
    <w:rsid w:val="24B77ED6"/>
    <w:rsid w:val="24BB5C18"/>
    <w:rsid w:val="24D97E4C"/>
    <w:rsid w:val="250749B9"/>
    <w:rsid w:val="250A44A9"/>
    <w:rsid w:val="252A1604"/>
    <w:rsid w:val="254E4396"/>
    <w:rsid w:val="257A518B"/>
    <w:rsid w:val="257F09F3"/>
    <w:rsid w:val="25895B7D"/>
    <w:rsid w:val="25E66CC5"/>
    <w:rsid w:val="261455E0"/>
    <w:rsid w:val="26355556"/>
    <w:rsid w:val="26395046"/>
    <w:rsid w:val="264439EB"/>
    <w:rsid w:val="26A61FB0"/>
    <w:rsid w:val="26BC17D3"/>
    <w:rsid w:val="26DB60FD"/>
    <w:rsid w:val="270F7B55"/>
    <w:rsid w:val="27187519"/>
    <w:rsid w:val="273E668C"/>
    <w:rsid w:val="27781B9E"/>
    <w:rsid w:val="27895B59"/>
    <w:rsid w:val="27B01338"/>
    <w:rsid w:val="27D25752"/>
    <w:rsid w:val="28153891"/>
    <w:rsid w:val="28480EDD"/>
    <w:rsid w:val="28C332ED"/>
    <w:rsid w:val="28EF5E90"/>
    <w:rsid w:val="29192F0D"/>
    <w:rsid w:val="298365D8"/>
    <w:rsid w:val="29BA649E"/>
    <w:rsid w:val="2A027E45"/>
    <w:rsid w:val="2A1A518F"/>
    <w:rsid w:val="2A426494"/>
    <w:rsid w:val="2A5341FD"/>
    <w:rsid w:val="2A5F7045"/>
    <w:rsid w:val="2A64640A"/>
    <w:rsid w:val="2A693A20"/>
    <w:rsid w:val="2A8F792B"/>
    <w:rsid w:val="2A944F41"/>
    <w:rsid w:val="2ACF4CD1"/>
    <w:rsid w:val="2AFB4FC0"/>
    <w:rsid w:val="2B253DEB"/>
    <w:rsid w:val="2B473D61"/>
    <w:rsid w:val="2B585F6F"/>
    <w:rsid w:val="2B6A7A50"/>
    <w:rsid w:val="2B801021"/>
    <w:rsid w:val="2BE07D12"/>
    <w:rsid w:val="2BEC66B7"/>
    <w:rsid w:val="2C3D6F12"/>
    <w:rsid w:val="2C414C55"/>
    <w:rsid w:val="2C4B7881"/>
    <w:rsid w:val="2C6438F8"/>
    <w:rsid w:val="2C866B0B"/>
    <w:rsid w:val="2C9A6113"/>
    <w:rsid w:val="2CAD4098"/>
    <w:rsid w:val="2CC413E2"/>
    <w:rsid w:val="2D1934DC"/>
    <w:rsid w:val="2D2325AC"/>
    <w:rsid w:val="2D300825"/>
    <w:rsid w:val="2D346567"/>
    <w:rsid w:val="2D3D2B16"/>
    <w:rsid w:val="2D7E5A35"/>
    <w:rsid w:val="2DC773DC"/>
    <w:rsid w:val="2E1343CF"/>
    <w:rsid w:val="2E5077D3"/>
    <w:rsid w:val="2EB01C1E"/>
    <w:rsid w:val="2EBF00B3"/>
    <w:rsid w:val="2EFA10EB"/>
    <w:rsid w:val="2F81180C"/>
    <w:rsid w:val="2F8F217B"/>
    <w:rsid w:val="2FA71273"/>
    <w:rsid w:val="2FAA0D63"/>
    <w:rsid w:val="2FAC4ADB"/>
    <w:rsid w:val="2FB026FE"/>
    <w:rsid w:val="2FB35E69"/>
    <w:rsid w:val="2FBB6ACC"/>
    <w:rsid w:val="2FD47B8E"/>
    <w:rsid w:val="2FDB2CCA"/>
    <w:rsid w:val="2FDF85B8"/>
    <w:rsid w:val="2FE44705"/>
    <w:rsid w:val="2FFFEE04"/>
    <w:rsid w:val="3011493E"/>
    <w:rsid w:val="30534F57"/>
    <w:rsid w:val="307B44AD"/>
    <w:rsid w:val="30801AC4"/>
    <w:rsid w:val="30847806"/>
    <w:rsid w:val="30D065A7"/>
    <w:rsid w:val="30D75B88"/>
    <w:rsid w:val="31230DCD"/>
    <w:rsid w:val="312608BD"/>
    <w:rsid w:val="313755DD"/>
    <w:rsid w:val="317A6513"/>
    <w:rsid w:val="318A2BFA"/>
    <w:rsid w:val="31B9703B"/>
    <w:rsid w:val="31CA56EC"/>
    <w:rsid w:val="31CD0D39"/>
    <w:rsid w:val="31DD452E"/>
    <w:rsid w:val="32290665"/>
    <w:rsid w:val="32427031"/>
    <w:rsid w:val="32513718"/>
    <w:rsid w:val="329655CE"/>
    <w:rsid w:val="32BD0DAD"/>
    <w:rsid w:val="32E75E2A"/>
    <w:rsid w:val="32FA790B"/>
    <w:rsid w:val="333B6761"/>
    <w:rsid w:val="333C6176"/>
    <w:rsid w:val="333D3C9C"/>
    <w:rsid w:val="33496E63"/>
    <w:rsid w:val="33896EE1"/>
    <w:rsid w:val="34441786"/>
    <w:rsid w:val="3474193F"/>
    <w:rsid w:val="347F27BE"/>
    <w:rsid w:val="349A13A6"/>
    <w:rsid w:val="34BA37F6"/>
    <w:rsid w:val="34DF85B0"/>
    <w:rsid w:val="34EF0FC6"/>
    <w:rsid w:val="34FC0DC9"/>
    <w:rsid w:val="35201A26"/>
    <w:rsid w:val="35675000"/>
    <w:rsid w:val="35814314"/>
    <w:rsid w:val="35BE10C4"/>
    <w:rsid w:val="35C506A4"/>
    <w:rsid w:val="36017203"/>
    <w:rsid w:val="361F07DD"/>
    <w:rsid w:val="36637EBD"/>
    <w:rsid w:val="366A124C"/>
    <w:rsid w:val="36826596"/>
    <w:rsid w:val="36981915"/>
    <w:rsid w:val="36C73FA8"/>
    <w:rsid w:val="370451FC"/>
    <w:rsid w:val="37321D6A"/>
    <w:rsid w:val="375A27EB"/>
    <w:rsid w:val="37645C9B"/>
    <w:rsid w:val="37A04B89"/>
    <w:rsid w:val="380F20AB"/>
    <w:rsid w:val="3837515E"/>
    <w:rsid w:val="38593326"/>
    <w:rsid w:val="389A045C"/>
    <w:rsid w:val="38BD1B07"/>
    <w:rsid w:val="38D86941"/>
    <w:rsid w:val="38FE7A29"/>
    <w:rsid w:val="394A0EC1"/>
    <w:rsid w:val="396C52DB"/>
    <w:rsid w:val="39761CB6"/>
    <w:rsid w:val="39812B34"/>
    <w:rsid w:val="39B06BEC"/>
    <w:rsid w:val="39DE1D35"/>
    <w:rsid w:val="3A2160C5"/>
    <w:rsid w:val="3A4D0C68"/>
    <w:rsid w:val="3A4D13ED"/>
    <w:rsid w:val="3A777A93"/>
    <w:rsid w:val="3A810D66"/>
    <w:rsid w:val="3A8D375B"/>
    <w:rsid w:val="3AC32CD9"/>
    <w:rsid w:val="3ACF167E"/>
    <w:rsid w:val="3ACF78CF"/>
    <w:rsid w:val="3AEE41FA"/>
    <w:rsid w:val="3AF630AE"/>
    <w:rsid w:val="3B3F4A55"/>
    <w:rsid w:val="3B8F36BC"/>
    <w:rsid w:val="3BAE5737"/>
    <w:rsid w:val="3BE253E0"/>
    <w:rsid w:val="3C221C81"/>
    <w:rsid w:val="3CA31014"/>
    <w:rsid w:val="3CA56B3A"/>
    <w:rsid w:val="3CBE19AA"/>
    <w:rsid w:val="3CEF24AB"/>
    <w:rsid w:val="3D6D517E"/>
    <w:rsid w:val="3E157CEF"/>
    <w:rsid w:val="3E284D79"/>
    <w:rsid w:val="3E350391"/>
    <w:rsid w:val="3E9C5D1B"/>
    <w:rsid w:val="3EA13331"/>
    <w:rsid w:val="3EEF0540"/>
    <w:rsid w:val="3F1C50AD"/>
    <w:rsid w:val="3F20694C"/>
    <w:rsid w:val="3F220916"/>
    <w:rsid w:val="3F6F1681"/>
    <w:rsid w:val="3F7E3672"/>
    <w:rsid w:val="3F964E60"/>
    <w:rsid w:val="3FB455DD"/>
    <w:rsid w:val="3FF04570"/>
    <w:rsid w:val="40167D4F"/>
    <w:rsid w:val="403501D5"/>
    <w:rsid w:val="40AD2461"/>
    <w:rsid w:val="40B82BB4"/>
    <w:rsid w:val="40D23C76"/>
    <w:rsid w:val="40EB11DB"/>
    <w:rsid w:val="410B7187"/>
    <w:rsid w:val="411E335F"/>
    <w:rsid w:val="41362456"/>
    <w:rsid w:val="414A7CB0"/>
    <w:rsid w:val="416F3BBA"/>
    <w:rsid w:val="419E7FFC"/>
    <w:rsid w:val="41C757A4"/>
    <w:rsid w:val="41E41EB2"/>
    <w:rsid w:val="424B1F31"/>
    <w:rsid w:val="425158A3"/>
    <w:rsid w:val="425A3F23"/>
    <w:rsid w:val="42621029"/>
    <w:rsid w:val="42864D18"/>
    <w:rsid w:val="429F402B"/>
    <w:rsid w:val="42BF46CD"/>
    <w:rsid w:val="42CB6BCE"/>
    <w:rsid w:val="42DC702D"/>
    <w:rsid w:val="431E7646"/>
    <w:rsid w:val="432509D4"/>
    <w:rsid w:val="43362BE2"/>
    <w:rsid w:val="433C7ACC"/>
    <w:rsid w:val="43525542"/>
    <w:rsid w:val="435968D0"/>
    <w:rsid w:val="436A4639"/>
    <w:rsid w:val="437E00E5"/>
    <w:rsid w:val="43D85A47"/>
    <w:rsid w:val="43EE7018"/>
    <w:rsid w:val="43F4544F"/>
    <w:rsid w:val="440C3942"/>
    <w:rsid w:val="446612A5"/>
    <w:rsid w:val="447119F7"/>
    <w:rsid w:val="4504286C"/>
    <w:rsid w:val="450D7972"/>
    <w:rsid w:val="45140D01"/>
    <w:rsid w:val="4528655A"/>
    <w:rsid w:val="45371A2D"/>
    <w:rsid w:val="458F0387"/>
    <w:rsid w:val="45943BEF"/>
    <w:rsid w:val="45BB6E09"/>
    <w:rsid w:val="45C24BC8"/>
    <w:rsid w:val="45F11042"/>
    <w:rsid w:val="45FC7254"/>
    <w:rsid w:val="460C5E7C"/>
    <w:rsid w:val="46115240"/>
    <w:rsid w:val="462211FB"/>
    <w:rsid w:val="46222FA9"/>
    <w:rsid w:val="462A6302"/>
    <w:rsid w:val="46382D9A"/>
    <w:rsid w:val="463D6035"/>
    <w:rsid w:val="467A1037"/>
    <w:rsid w:val="46933EA7"/>
    <w:rsid w:val="469445EB"/>
    <w:rsid w:val="46B02CAB"/>
    <w:rsid w:val="46BF6A4A"/>
    <w:rsid w:val="46E62229"/>
    <w:rsid w:val="46F506BE"/>
    <w:rsid w:val="47145DA1"/>
    <w:rsid w:val="47583206"/>
    <w:rsid w:val="4793296A"/>
    <w:rsid w:val="47E32C0C"/>
    <w:rsid w:val="48027536"/>
    <w:rsid w:val="48DA7B6B"/>
    <w:rsid w:val="491F5EC6"/>
    <w:rsid w:val="491FF225"/>
    <w:rsid w:val="49261002"/>
    <w:rsid w:val="49627B61"/>
    <w:rsid w:val="496E4757"/>
    <w:rsid w:val="49885819"/>
    <w:rsid w:val="49931424"/>
    <w:rsid w:val="49CF6907"/>
    <w:rsid w:val="49DE6203"/>
    <w:rsid w:val="49E14F29"/>
    <w:rsid w:val="4A0A0924"/>
    <w:rsid w:val="4A2918BA"/>
    <w:rsid w:val="4A6C6EE9"/>
    <w:rsid w:val="4A873D23"/>
    <w:rsid w:val="4AA04DE4"/>
    <w:rsid w:val="4AA15B5C"/>
    <w:rsid w:val="4AA448D5"/>
    <w:rsid w:val="4AAF6DD6"/>
    <w:rsid w:val="4AB16FF2"/>
    <w:rsid w:val="4B0215FB"/>
    <w:rsid w:val="4B481704"/>
    <w:rsid w:val="4B49722A"/>
    <w:rsid w:val="4B517E8D"/>
    <w:rsid w:val="4B5A31E5"/>
    <w:rsid w:val="4BAB3A41"/>
    <w:rsid w:val="4BAF1783"/>
    <w:rsid w:val="4BBC5C4E"/>
    <w:rsid w:val="4BF821A9"/>
    <w:rsid w:val="4C03387D"/>
    <w:rsid w:val="4C883D82"/>
    <w:rsid w:val="4CAA1F4A"/>
    <w:rsid w:val="4DB766CD"/>
    <w:rsid w:val="4DFA0CB0"/>
    <w:rsid w:val="4E257ADB"/>
    <w:rsid w:val="4E2A241D"/>
    <w:rsid w:val="4E3715BC"/>
    <w:rsid w:val="4E571C5E"/>
    <w:rsid w:val="4EB175C0"/>
    <w:rsid w:val="4F1813ED"/>
    <w:rsid w:val="4F334479"/>
    <w:rsid w:val="4F363F69"/>
    <w:rsid w:val="4F3855EC"/>
    <w:rsid w:val="4F5F0DCA"/>
    <w:rsid w:val="4F822D0B"/>
    <w:rsid w:val="4F895E47"/>
    <w:rsid w:val="4FA72771"/>
    <w:rsid w:val="4FB70C06"/>
    <w:rsid w:val="4FE17A31"/>
    <w:rsid w:val="4FF1410F"/>
    <w:rsid w:val="4FFD214C"/>
    <w:rsid w:val="50354221"/>
    <w:rsid w:val="50812FC2"/>
    <w:rsid w:val="50A13664"/>
    <w:rsid w:val="50A15412"/>
    <w:rsid w:val="50CD6207"/>
    <w:rsid w:val="51112598"/>
    <w:rsid w:val="517B2107"/>
    <w:rsid w:val="517F39A6"/>
    <w:rsid w:val="519F5DF6"/>
    <w:rsid w:val="51C70EA9"/>
    <w:rsid w:val="51D07D5D"/>
    <w:rsid w:val="51DC4954"/>
    <w:rsid w:val="51DF2696"/>
    <w:rsid w:val="520420FD"/>
    <w:rsid w:val="520619D1"/>
    <w:rsid w:val="52132340"/>
    <w:rsid w:val="523F1387"/>
    <w:rsid w:val="52D61B39"/>
    <w:rsid w:val="52F97788"/>
    <w:rsid w:val="536C61AC"/>
    <w:rsid w:val="53C41B44"/>
    <w:rsid w:val="53D95B62"/>
    <w:rsid w:val="53FC12DE"/>
    <w:rsid w:val="53FF2B7C"/>
    <w:rsid w:val="5422686A"/>
    <w:rsid w:val="54324CFF"/>
    <w:rsid w:val="54E029AD"/>
    <w:rsid w:val="54FC530D"/>
    <w:rsid w:val="550F5041"/>
    <w:rsid w:val="552D54C7"/>
    <w:rsid w:val="555163C8"/>
    <w:rsid w:val="559B68D4"/>
    <w:rsid w:val="55BF6A67"/>
    <w:rsid w:val="55C0458D"/>
    <w:rsid w:val="55C0633B"/>
    <w:rsid w:val="56091A90"/>
    <w:rsid w:val="56707D61"/>
    <w:rsid w:val="56815ACA"/>
    <w:rsid w:val="56A1616C"/>
    <w:rsid w:val="56BE6D1E"/>
    <w:rsid w:val="56C02A96"/>
    <w:rsid w:val="56F664B8"/>
    <w:rsid w:val="56FC33A3"/>
    <w:rsid w:val="57174680"/>
    <w:rsid w:val="574D00A2"/>
    <w:rsid w:val="57521214"/>
    <w:rsid w:val="576158FB"/>
    <w:rsid w:val="5777D4F5"/>
    <w:rsid w:val="57A9177C"/>
    <w:rsid w:val="57C33EC0"/>
    <w:rsid w:val="57E207EA"/>
    <w:rsid w:val="57FD5624"/>
    <w:rsid w:val="58070251"/>
    <w:rsid w:val="582E3A30"/>
    <w:rsid w:val="583B7EFB"/>
    <w:rsid w:val="58725581"/>
    <w:rsid w:val="5875340D"/>
    <w:rsid w:val="58831FCD"/>
    <w:rsid w:val="58AC4E81"/>
    <w:rsid w:val="58CD3249"/>
    <w:rsid w:val="59101387"/>
    <w:rsid w:val="591C7D2C"/>
    <w:rsid w:val="592F7A5F"/>
    <w:rsid w:val="59633BAD"/>
    <w:rsid w:val="59AC10B0"/>
    <w:rsid w:val="59B44408"/>
    <w:rsid w:val="59DD8326"/>
    <w:rsid w:val="59FB2037"/>
    <w:rsid w:val="5A1804F3"/>
    <w:rsid w:val="5A47527D"/>
    <w:rsid w:val="5A511C57"/>
    <w:rsid w:val="5A9A35FE"/>
    <w:rsid w:val="5A9B1124"/>
    <w:rsid w:val="5A9B4883"/>
    <w:rsid w:val="5AC8787B"/>
    <w:rsid w:val="5ADF7263"/>
    <w:rsid w:val="5B022F52"/>
    <w:rsid w:val="5B0E18F6"/>
    <w:rsid w:val="5B1A473F"/>
    <w:rsid w:val="5B8322E4"/>
    <w:rsid w:val="5B9444F1"/>
    <w:rsid w:val="5BC30933"/>
    <w:rsid w:val="5BDB5C7C"/>
    <w:rsid w:val="5BDC37A3"/>
    <w:rsid w:val="5BEF1728"/>
    <w:rsid w:val="5BFE5E0F"/>
    <w:rsid w:val="5C2A0EF0"/>
    <w:rsid w:val="5C3F445D"/>
    <w:rsid w:val="5C606182"/>
    <w:rsid w:val="5C657C3C"/>
    <w:rsid w:val="5C7560D1"/>
    <w:rsid w:val="5C877BB2"/>
    <w:rsid w:val="5C904CB9"/>
    <w:rsid w:val="5CBD35D4"/>
    <w:rsid w:val="5CE13C75"/>
    <w:rsid w:val="5CE62B2B"/>
    <w:rsid w:val="5CFF3BED"/>
    <w:rsid w:val="5D0905C7"/>
    <w:rsid w:val="5D0E3E30"/>
    <w:rsid w:val="5D1A6C78"/>
    <w:rsid w:val="5D3F223B"/>
    <w:rsid w:val="5D8A2AA4"/>
    <w:rsid w:val="5D924A61"/>
    <w:rsid w:val="5DA64068"/>
    <w:rsid w:val="5DEF592A"/>
    <w:rsid w:val="5E1C257C"/>
    <w:rsid w:val="5E2E29DB"/>
    <w:rsid w:val="5E394EDC"/>
    <w:rsid w:val="5E5D4F0E"/>
    <w:rsid w:val="5E622685"/>
    <w:rsid w:val="5EA75A17"/>
    <w:rsid w:val="5EAC1B52"/>
    <w:rsid w:val="5EE25574"/>
    <w:rsid w:val="5EE276D6"/>
    <w:rsid w:val="5F1A4D0E"/>
    <w:rsid w:val="5F2E2567"/>
    <w:rsid w:val="5F37766E"/>
    <w:rsid w:val="5F4973A1"/>
    <w:rsid w:val="5F530220"/>
    <w:rsid w:val="5F64242D"/>
    <w:rsid w:val="5F750196"/>
    <w:rsid w:val="5FA36AB1"/>
    <w:rsid w:val="5FC6BB1E"/>
    <w:rsid w:val="5FD64639"/>
    <w:rsid w:val="5FD90725"/>
    <w:rsid w:val="5FE315A4"/>
    <w:rsid w:val="5FF720F1"/>
    <w:rsid w:val="5FFE462F"/>
    <w:rsid w:val="601B2AEB"/>
    <w:rsid w:val="6031230F"/>
    <w:rsid w:val="603D74E8"/>
    <w:rsid w:val="603E2C7E"/>
    <w:rsid w:val="604007A4"/>
    <w:rsid w:val="60964868"/>
    <w:rsid w:val="616404C2"/>
    <w:rsid w:val="61B96A60"/>
    <w:rsid w:val="61BE4076"/>
    <w:rsid w:val="61DF3FED"/>
    <w:rsid w:val="61E0223F"/>
    <w:rsid w:val="61EB2991"/>
    <w:rsid w:val="61F07FA8"/>
    <w:rsid w:val="621719D8"/>
    <w:rsid w:val="621A6DD3"/>
    <w:rsid w:val="6223212B"/>
    <w:rsid w:val="62287742"/>
    <w:rsid w:val="626910AD"/>
    <w:rsid w:val="629E0610"/>
    <w:rsid w:val="62DE37BD"/>
    <w:rsid w:val="630261E5"/>
    <w:rsid w:val="63065CD5"/>
    <w:rsid w:val="63640C4D"/>
    <w:rsid w:val="638135AD"/>
    <w:rsid w:val="6384309D"/>
    <w:rsid w:val="63BA6ABF"/>
    <w:rsid w:val="63BF5E84"/>
    <w:rsid w:val="63FF2724"/>
    <w:rsid w:val="64090E7F"/>
    <w:rsid w:val="64607667"/>
    <w:rsid w:val="647629E6"/>
    <w:rsid w:val="648570CD"/>
    <w:rsid w:val="648A6492"/>
    <w:rsid w:val="64A55079"/>
    <w:rsid w:val="64E9765C"/>
    <w:rsid w:val="6502427A"/>
    <w:rsid w:val="650C6EA7"/>
    <w:rsid w:val="651D10B4"/>
    <w:rsid w:val="65206DF6"/>
    <w:rsid w:val="652A557F"/>
    <w:rsid w:val="65566374"/>
    <w:rsid w:val="656071F2"/>
    <w:rsid w:val="657131AE"/>
    <w:rsid w:val="65962C14"/>
    <w:rsid w:val="659809DE"/>
    <w:rsid w:val="65E21C31"/>
    <w:rsid w:val="667E2026"/>
    <w:rsid w:val="66882EA5"/>
    <w:rsid w:val="66AB0941"/>
    <w:rsid w:val="66AD290B"/>
    <w:rsid w:val="66CA0DC7"/>
    <w:rsid w:val="66E55C01"/>
    <w:rsid w:val="66EA1469"/>
    <w:rsid w:val="66F347C2"/>
    <w:rsid w:val="67386679"/>
    <w:rsid w:val="674B65C1"/>
    <w:rsid w:val="679F6B73"/>
    <w:rsid w:val="67C47F0C"/>
    <w:rsid w:val="67FF5C0B"/>
    <w:rsid w:val="680B5B3B"/>
    <w:rsid w:val="68282249"/>
    <w:rsid w:val="683C7AA3"/>
    <w:rsid w:val="685E210F"/>
    <w:rsid w:val="68725BBA"/>
    <w:rsid w:val="68833924"/>
    <w:rsid w:val="68AB2E7A"/>
    <w:rsid w:val="68D4417F"/>
    <w:rsid w:val="694766FF"/>
    <w:rsid w:val="694C01BA"/>
    <w:rsid w:val="6953779A"/>
    <w:rsid w:val="69643755"/>
    <w:rsid w:val="69DC4A06"/>
    <w:rsid w:val="6A2B7DCF"/>
    <w:rsid w:val="6A3F7D1E"/>
    <w:rsid w:val="6A883473"/>
    <w:rsid w:val="6ACE089B"/>
    <w:rsid w:val="6B0625EA"/>
    <w:rsid w:val="6B1747F7"/>
    <w:rsid w:val="6B317667"/>
    <w:rsid w:val="6B347157"/>
    <w:rsid w:val="6B460C38"/>
    <w:rsid w:val="6B60619E"/>
    <w:rsid w:val="6B9B71D6"/>
    <w:rsid w:val="6BA240C1"/>
    <w:rsid w:val="6BB12556"/>
    <w:rsid w:val="6C042FCD"/>
    <w:rsid w:val="6C1F1BB5"/>
    <w:rsid w:val="6C47110C"/>
    <w:rsid w:val="6C621AA2"/>
    <w:rsid w:val="6C711CE5"/>
    <w:rsid w:val="6C81461E"/>
    <w:rsid w:val="6C8B0FF9"/>
    <w:rsid w:val="6CB542C8"/>
    <w:rsid w:val="6CC74DEF"/>
    <w:rsid w:val="6CCA7D73"/>
    <w:rsid w:val="6CFC5A53"/>
    <w:rsid w:val="6D286848"/>
    <w:rsid w:val="6D374CDD"/>
    <w:rsid w:val="6D3C0545"/>
    <w:rsid w:val="6D747CDF"/>
    <w:rsid w:val="6E0F5142"/>
    <w:rsid w:val="6E14501E"/>
    <w:rsid w:val="6E5813AF"/>
    <w:rsid w:val="6E702FEA"/>
    <w:rsid w:val="6E82467D"/>
    <w:rsid w:val="6E906D9A"/>
    <w:rsid w:val="6EC407F2"/>
    <w:rsid w:val="6ED053E9"/>
    <w:rsid w:val="6EFC0924"/>
    <w:rsid w:val="6EFC61DE"/>
    <w:rsid w:val="6FA348AB"/>
    <w:rsid w:val="6FB74722"/>
    <w:rsid w:val="6FBD596D"/>
    <w:rsid w:val="6FEF8B7E"/>
    <w:rsid w:val="70052E70"/>
    <w:rsid w:val="70147557"/>
    <w:rsid w:val="701B08E6"/>
    <w:rsid w:val="70231548"/>
    <w:rsid w:val="70A11939"/>
    <w:rsid w:val="70AD3C34"/>
    <w:rsid w:val="70B76860"/>
    <w:rsid w:val="70CB23F9"/>
    <w:rsid w:val="70CC1BE0"/>
    <w:rsid w:val="70D72A5F"/>
    <w:rsid w:val="71105F71"/>
    <w:rsid w:val="71453E6C"/>
    <w:rsid w:val="717C53B4"/>
    <w:rsid w:val="718D5813"/>
    <w:rsid w:val="71A6591B"/>
    <w:rsid w:val="71AB6909"/>
    <w:rsid w:val="71CA611F"/>
    <w:rsid w:val="71D074AE"/>
    <w:rsid w:val="72331F17"/>
    <w:rsid w:val="728704B4"/>
    <w:rsid w:val="72CC236B"/>
    <w:rsid w:val="73027B3B"/>
    <w:rsid w:val="730613D9"/>
    <w:rsid w:val="733B20A7"/>
    <w:rsid w:val="7363682B"/>
    <w:rsid w:val="737D59BA"/>
    <w:rsid w:val="73A40BF2"/>
    <w:rsid w:val="73B452D9"/>
    <w:rsid w:val="73F2195D"/>
    <w:rsid w:val="73F456D6"/>
    <w:rsid w:val="73FC27DC"/>
    <w:rsid w:val="740924A3"/>
    <w:rsid w:val="740F42BD"/>
    <w:rsid w:val="7451034F"/>
    <w:rsid w:val="74C01A5C"/>
    <w:rsid w:val="74E03EAC"/>
    <w:rsid w:val="7513602F"/>
    <w:rsid w:val="75422471"/>
    <w:rsid w:val="75790588"/>
    <w:rsid w:val="759C4277"/>
    <w:rsid w:val="75B01AD0"/>
    <w:rsid w:val="75B96BD7"/>
    <w:rsid w:val="75E17EDC"/>
    <w:rsid w:val="76370A2E"/>
    <w:rsid w:val="76452218"/>
    <w:rsid w:val="764566BC"/>
    <w:rsid w:val="76796366"/>
    <w:rsid w:val="76D33CC8"/>
    <w:rsid w:val="76E76FC4"/>
    <w:rsid w:val="771C566F"/>
    <w:rsid w:val="773D3837"/>
    <w:rsid w:val="77422BFC"/>
    <w:rsid w:val="77845167"/>
    <w:rsid w:val="77B8724A"/>
    <w:rsid w:val="77C17FC5"/>
    <w:rsid w:val="77C37683"/>
    <w:rsid w:val="77F263D0"/>
    <w:rsid w:val="78056103"/>
    <w:rsid w:val="78202F3D"/>
    <w:rsid w:val="782D11B6"/>
    <w:rsid w:val="783D4D3B"/>
    <w:rsid w:val="78450BF6"/>
    <w:rsid w:val="786A41B8"/>
    <w:rsid w:val="78760DAF"/>
    <w:rsid w:val="78874D6A"/>
    <w:rsid w:val="78BE62B2"/>
    <w:rsid w:val="78C25DA2"/>
    <w:rsid w:val="78CF04BF"/>
    <w:rsid w:val="78D65BEF"/>
    <w:rsid w:val="78DE215F"/>
    <w:rsid w:val="78E75809"/>
    <w:rsid w:val="78FB12B4"/>
    <w:rsid w:val="790C1713"/>
    <w:rsid w:val="790E0FE8"/>
    <w:rsid w:val="79450781"/>
    <w:rsid w:val="79C45B4A"/>
    <w:rsid w:val="79D19834"/>
    <w:rsid w:val="79FF515B"/>
    <w:rsid w:val="7A401675"/>
    <w:rsid w:val="7A454EDD"/>
    <w:rsid w:val="7A6730A5"/>
    <w:rsid w:val="7A97325F"/>
    <w:rsid w:val="7B354F51"/>
    <w:rsid w:val="7B7535A0"/>
    <w:rsid w:val="7B89704B"/>
    <w:rsid w:val="7BA94FF8"/>
    <w:rsid w:val="7C126167"/>
    <w:rsid w:val="7C350F81"/>
    <w:rsid w:val="7C642670"/>
    <w:rsid w:val="7C745605"/>
    <w:rsid w:val="7CAC1243"/>
    <w:rsid w:val="7CD267D0"/>
    <w:rsid w:val="7CD460A4"/>
    <w:rsid w:val="7CDE33C7"/>
    <w:rsid w:val="7D133F8B"/>
    <w:rsid w:val="7D4D5E56"/>
    <w:rsid w:val="7D781125"/>
    <w:rsid w:val="7DC12ACC"/>
    <w:rsid w:val="7DD71AD1"/>
    <w:rsid w:val="7DDD71DA"/>
    <w:rsid w:val="7DE22A43"/>
    <w:rsid w:val="7E0B3D48"/>
    <w:rsid w:val="7E171106"/>
    <w:rsid w:val="7E617E0B"/>
    <w:rsid w:val="7E861620"/>
    <w:rsid w:val="7E9E1962"/>
    <w:rsid w:val="7E9F11B4"/>
    <w:rsid w:val="7EB75C7D"/>
    <w:rsid w:val="7ED21C60"/>
    <w:rsid w:val="7EFE38AC"/>
    <w:rsid w:val="7F0215EE"/>
    <w:rsid w:val="7F10538E"/>
    <w:rsid w:val="7F37EC1E"/>
    <w:rsid w:val="7F4C4618"/>
    <w:rsid w:val="7F7DCD9D"/>
    <w:rsid w:val="7F970A6F"/>
    <w:rsid w:val="7FBD72C3"/>
    <w:rsid w:val="7FC1FFF3"/>
    <w:rsid w:val="7FC69637"/>
    <w:rsid w:val="7FCC39AA"/>
    <w:rsid w:val="7FCD2062"/>
    <w:rsid w:val="7FDF8620"/>
    <w:rsid w:val="7FE8C8F7"/>
    <w:rsid w:val="7FFB242F"/>
    <w:rsid w:val="7FFB38F4"/>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Body Text First Indent"/>
    <w:basedOn w:val="2"/>
    <w:qFormat/>
    <w:uiPriority w:val="0"/>
    <w:pPr>
      <w:ind w:firstLine="420" w:firstLineChars="100"/>
    </w:pPr>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unhideWhenUsed/>
    <w:qFormat/>
    <w:uiPriority w:val="99"/>
    <w:pPr>
      <w:ind w:firstLine="420" w:firstLineChars="200"/>
    </w:pPr>
  </w:style>
  <w:style w:type="paragraph" w:styleId="6">
    <w:name w:val="Balloon Text"/>
    <w:basedOn w:val="1"/>
    <w:link w:val="17"/>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5"/>
    <w:semiHidden/>
    <w:qFormat/>
    <w:uiPriority w:val="0"/>
    <w:pPr>
      <w:snapToGrid w:val="0"/>
      <w:jc w:val="left"/>
    </w:pPr>
    <w:rPr>
      <w:sz w:val="18"/>
      <w:szCs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13">
    <w:name w:val="页眉 Char"/>
    <w:basedOn w:val="12"/>
    <w:link w:val="8"/>
    <w:qFormat/>
    <w:uiPriority w:val="99"/>
    <w:rPr>
      <w:sz w:val="18"/>
      <w:szCs w:val="18"/>
    </w:rPr>
  </w:style>
  <w:style w:type="character" w:customStyle="1" w:styleId="14">
    <w:name w:val="页脚 Char"/>
    <w:basedOn w:val="12"/>
    <w:link w:val="7"/>
    <w:qFormat/>
    <w:uiPriority w:val="99"/>
    <w:rPr>
      <w:sz w:val="18"/>
      <w:szCs w:val="18"/>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Char"/>
    <w:basedOn w:val="12"/>
    <w:link w:val="6"/>
    <w:semiHidden/>
    <w:qFormat/>
    <w:uiPriority w:val="99"/>
    <w:rPr>
      <w:sz w:val="18"/>
      <w:szCs w:val="18"/>
    </w:rPr>
  </w:style>
  <w:style w:type="character" w:customStyle="1" w:styleId="18">
    <w:name w:val="font01"/>
    <w:basedOn w:val="12"/>
    <w:qFormat/>
    <w:uiPriority w:val="0"/>
    <w:rPr>
      <w:rFonts w:hint="eastAsia" w:ascii="宋体" w:hAnsi="宋体" w:eastAsia="宋体" w:cs="宋体"/>
      <w:color w:val="000000"/>
      <w:sz w:val="22"/>
      <w:szCs w:val="22"/>
      <w:u w:val="none"/>
    </w:rPr>
  </w:style>
  <w:style w:type="character" w:customStyle="1" w:styleId="19">
    <w:name w:val="font21"/>
    <w:basedOn w:val="12"/>
    <w:qFormat/>
    <w:uiPriority w:val="0"/>
    <w:rPr>
      <w:rFonts w:hint="eastAsia" w:ascii="宋体" w:hAnsi="宋体" w:eastAsia="宋体" w:cs="宋体"/>
      <w:color w:val="000000"/>
      <w:sz w:val="24"/>
      <w:szCs w:val="24"/>
      <w:u w:val="none"/>
    </w:rPr>
  </w:style>
  <w:style w:type="character" w:customStyle="1" w:styleId="20">
    <w:name w:val="font11"/>
    <w:basedOn w:val="1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6674</Words>
  <Characters>7135</Characters>
  <Lines>69</Lines>
  <Paragraphs>19</Paragraphs>
  <TotalTime>49</TotalTime>
  <ScaleCrop>false</ScaleCrop>
  <LinksUpToDate>false</LinksUpToDate>
  <CharactersWithSpaces>7166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2025-08-18T10:17:00Z</dcterms:created>
  <dc:creator>李航 null</dc:creator>
  <cp:lastModifiedBy>Administrator</cp:lastModifiedBy>
  <cp:lastPrinted>2024-08-08T18:20:00Z</cp:lastPrinted>
  <dcterms:modified xsi:type="dcterms:W3CDTF">2025-09-23T03:36:15Z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BB7B6AA21D207914D6FDA268992A22D6</vt:lpwstr>
  </property>
</Properties>
</file>