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65E" w:rsidRDefault="00E0465E">
      <w:pPr>
        <w:pStyle w:val="Default"/>
        <w:jc w:val="both"/>
        <w:rPr>
          <w:rFonts w:hAnsi="黑体" w:hint="eastAsia"/>
          <w:sz w:val="36"/>
          <w:szCs w:val="36"/>
        </w:rPr>
      </w:pPr>
    </w:p>
    <w:p w:rsidR="00E0465E" w:rsidRDefault="00E0465E">
      <w:pPr>
        <w:pStyle w:val="Default"/>
        <w:jc w:val="center"/>
        <w:rPr>
          <w:rFonts w:ascii="Times New Roman" w:hAnsi="Times New Roman" w:cs="Times New Roman"/>
          <w:sz w:val="56"/>
          <w:szCs w:val="56"/>
        </w:rPr>
      </w:pPr>
    </w:p>
    <w:p w:rsidR="00E0465E" w:rsidRDefault="00E0465E">
      <w:pPr>
        <w:pStyle w:val="Default"/>
        <w:jc w:val="center"/>
        <w:rPr>
          <w:rFonts w:ascii="Times New Roman" w:hAnsi="Times New Roman" w:cs="Times New Roman"/>
          <w:sz w:val="84"/>
          <w:szCs w:val="84"/>
        </w:rPr>
      </w:pPr>
    </w:p>
    <w:p w:rsidR="00E0465E" w:rsidRDefault="00E0465E">
      <w:pPr>
        <w:pStyle w:val="Default"/>
        <w:jc w:val="center"/>
        <w:rPr>
          <w:rFonts w:ascii="Times New Roman" w:hAnsi="Times New Roman" w:cs="Times New Roman"/>
          <w:sz w:val="84"/>
          <w:szCs w:val="84"/>
        </w:rPr>
      </w:pPr>
    </w:p>
    <w:p w:rsidR="00E0465E"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E0465E"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祁阳市机关事务服务中心</w:t>
      </w:r>
    </w:p>
    <w:p w:rsidR="00E0465E"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E0465E" w:rsidRDefault="00E0465E">
      <w:pPr>
        <w:pStyle w:val="Default"/>
        <w:jc w:val="center"/>
        <w:rPr>
          <w:rFonts w:ascii="Times New Roman" w:eastAsia="方正小标宋_GBK" w:hAnsi="Times New Roman" w:cs="Times New Roman"/>
          <w:sz w:val="56"/>
          <w:szCs w:val="56"/>
        </w:rPr>
      </w:pPr>
    </w:p>
    <w:p w:rsidR="00E0465E" w:rsidRDefault="00E0465E">
      <w:pPr>
        <w:pStyle w:val="Default"/>
        <w:jc w:val="center"/>
        <w:rPr>
          <w:rFonts w:ascii="Times New Roman" w:hAnsi="Times New Roman" w:cs="Times New Roman"/>
          <w:sz w:val="56"/>
          <w:szCs w:val="56"/>
        </w:rPr>
      </w:pPr>
    </w:p>
    <w:p w:rsidR="00E0465E" w:rsidRDefault="00E0465E">
      <w:pPr>
        <w:pStyle w:val="Default"/>
        <w:rPr>
          <w:rFonts w:ascii="Times New Roman" w:hAnsi="Times New Roman" w:cs="Times New Roman"/>
          <w:sz w:val="56"/>
          <w:szCs w:val="56"/>
        </w:rPr>
      </w:pPr>
    </w:p>
    <w:p w:rsidR="00E0465E" w:rsidRDefault="00E0465E">
      <w:pPr>
        <w:pStyle w:val="Default"/>
        <w:jc w:val="center"/>
        <w:rPr>
          <w:rFonts w:ascii="Times New Roman" w:hAnsi="Times New Roman" w:cs="Times New Roman"/>
          <w:sz w:val="32"/>
          <w:szCs w:val="32"/>
        </w:rPr>
      </w:pPr>
    </w:p>
    <w:p w:rsidR="00E0465E" w:rsidRDefault="00E0465E">
      <w:pPr>
        <w:pStyle w:val="Default"/>
        <w:jc w:val="center"/>
        <w:rPr>
          <w:rFonts w:ascii="Times New Roman" w:hAnsi="Times New Roman" w:cs="Times New Roman"/>
          <w:sz w:val="32"/>
          <w:szCs w:val="32"/>
        </w:rPr>
      </w:pPr>
    </w:p>
    <w:p w:rsidR="00E0465E" w:rsidRDefault="00E0465E">
      <w:pPr>
        <w:pStyle w:val="Default"/>
        <w:jc w:val="center"/>
        <w:rPr>
          <w:rFonts w:ascii="Times New Roman" w:hAnsi="Times New Roman" w:cs="Times New Roman"/>
          <w:sz w:val="32"/>
          <w:szCs w:val="32"/>
        </w:rPr>
      </w:pPr>
    </w:p>
    <w:p w:rsidR="00E0465E" w:rsidRDefault="00E0465E">
      <w:pPr>
        <w:pStyle w:val="Default"/>
        <w:jc w:val="center"/>
        <w:rPr>
          <w:rFonts w:ascii="Times New Roman" w:hAnsi="Times New Roman" w:cs="Times New Roman"/>
          <w:sz w:val="32"/>
          <w:szCs w:val="32"/>
        </w:rPr>
      </w:pPr>
    </w:p>
    <w:p w:rsidR="00E0465E" w:rsidRDefault="00E0465E">
      <w:pPr>
        <w:rPr>
          <w:rFonts w:ascii="Times New Roman" w:hAnsi="Times New Roman" w:cs="Times New Roman"/>
          <w:b/>
          <w:sz w:val="36"/>
          <w:szCs w:val="28"/>
        </w:rPr>
        <w:sectPr w:rsidR="00E0465E">
          <w:pgSz w:w="11906" w:h="16838"/>
          <w:pgMar w:top="1417" w:right="1588" w:bottom="1417" w:left="1588" w:header="851" w:footer="992" w:gutter="0"/>
          <w:cols w:space="425"/>
          <w:docGrid w:type="lines" w:linePitch="312"/>
        </w:sectPr>
      </w:pPr>
    </w:p>
    <w:p w:rsidR="00E0465E" w:rsidRDefault="00E0465E">
      <w:pPr>
        <w:pStyle w:val="Default"/>
        <w:spacing w:line="600" w:lineRule="exact"/>
        <w:jc w:val="both"/>
        <w:rPr>
          <w:rFonts w:ascii="Times New Roman" w:hAnsi="Times New Roman" w:cs="Times New Roman"/>
          <w:b/>
          <w:sz w:val="36"/>
          <w:szCs w:val="28"/>
        </w:rPr>
      </w:pPr>
    </w:p>
    <w:p w:rsidR="00E0465E"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E0465E" w:rsidRDefault="00E0465E">
      <w:pPr>
        <w:pStyle w:val="Default"/>
        <w:spacing w:line="600" w:lineRule="exact"/>
        <w:jc w:val="center"/>
        <w:rPr>
          <w:rFonts w:ascii="Times New Roman" w:hAnsi="Times New Roman" w:cs="Times New Roman"/>
          <w:b/>
          <w:sz w:val="36"/>
          <w:szCs w:val="28"/>
        </w:rPr>
      </w:pPr>
    </w:p>
    <w:p w:rsidR="00E0465E"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祁阳市机关事务服务中心</w:t>
      </w:r>
      <w:r>
        <w:rPr>
          <w:rFonts w:ascii="Times New Roman" w:hAnsi="Times New Roman" w:cs="Times New Roman"/>
          <w:bCs/>
          <w:sz w:val="32"/>
          <w:szCs w:val="32"/>
        </w:rPr>
        <w:t>概况</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E0465E"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E0465E"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E0465E"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E0465E" w:rsidRDefault="00E0465E">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E0465E">
          <w:footerReference w:type="default" r:id="rId8"/>
          <w:pgSz w:w="11906" w:h="16838"/>
          <w:pgMar w:top="1417" w:right="1588" w:bottom="1417" w:left="1588" w:header="851" w:footer="992" w:gutter="0"/>
          <w:pgNumType w:start="1"/>
          <w:cols w:space="425"/>
          <w:docGrid w:type="lines" w:linePitch="312"/>
        </w:sectPr>
      </w:pP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E0465E"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E0465E"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E0465E"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E0465E"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E0465E" w:rsidRDefault="00E0465E">
      <w:pPr>
        <w:pStyle w:val="Default"/>
        <w:spacing w:line="600" w:lineRule="exact"/>
        <w:rPr>
          <w:rFonts w:ascii="Times New Roman" w:hAnsi="Times New Roman" w:cs="Times New Roman"/>
          <w:bCs/>
          <w:sz w:val="28"/>
          <w:szCs w:val="28"/>
        </w:rPr>
      </w:pPr>
    </w:p>
    <w:p w:rsidR="00E0465E" w:rsidRDefault="00E0465E">
      <w:pPr>
        <w:jc w:val="center"/>
        <w:rPr>
          <w:rFonts w:ascii="Times New Roman" w:hAnsi="Times New Roman" w:cs="Times New Roman"/>
          <w:sz w:val="72"/>
          <w:szCs w:val="72"/>
        </w:rPr>
      </w:pPr>
    </w:p>
    <w:p w:rsidR="00E0465E" w:rsidRDefault="00E0465E">
      <w:pPr>
        <w:jc w:val="center"/>
        <w:rPr>
          <w:rFonts w:ascii="Times New Roman" w:hAnsi="Times New Roman" w:cs="Times New Roman"/>
          <w:sz w:val="72"/>
          <w:szCs w:val="72"/>
        </w:rPr>
      </w:pPr>
    </w:p>
    <w:p w:rsidR="00E0465E" w:rsidRDefault="00E0465E">
      <w:pPr>
        <w:jc w:val="center"/>
        <w:rPr>
          <w:rFonts w:ascii="Times New Roman" w:hAnsi="Times New Roman" w:cs="Times New Roman"/>
          <w:sz w:val="72"/>
          <w:szCs w:val="72"/>
        </w:rPr>
      </w:pPr>
    </w:p>
    <w:p w:rsidR="00E0465E" w:rsidRDefault="00E0465E">
      <w:pPr>
        <w:pStyle w:val="ab"/>
        <w:rPr>
          <w:rFonts w:ascii="Times New Roman" w:hAnsi="Times New Roman" w:cs="Times New Roman"/>
        </w:rPr>
        <w:sectPr w:rsidR="00E0465E">
          <w:footerReference w:type="default" r:id="rId9"/>
          <w:pgSz w:w="11906" w:h="16838"/>
          <w:pgMar w:top="1417" w:right="1588" w:bottom="1417" w:left="1588" w:header="851" w:footer="992" w:gutter="0"/>
          <w:pgNumType w:start="1"/>
          <w:cols w:space="425"/>
          <w:docGrid w:type="lines" w:linePitch="312"/>
        </w:sectPr>
      </w:pPr>
    </w:p>
    <w:p w:rsidR="00E0465E" w:rsidRDefault="00E0465E">
      <w:pPr>
        <w:pStyle w:val="ab"/>
        <w:rPr>
          <w:rFonts w:ascii="Times New Roman" w:eastAsia="方正小标宋_GBK" w:hAnsi="Times New Roman" w:cs="Times New Roman"/>
          <w:sz w:val="72"/>
          <w:szCs w:val="72"/>
        </w:rPr>
      </w:pPr>
    </w:p>
    <w:p w:rsidR="00E0465E" w:rsidRDefault="00E0465E">
      <w:pPr>
        <w:pStyle w:val="2"/>
        <w:ind w:firstLine="1440"/>
        <w:rPr>
          <w:rFonts w:ascii="Times New Roman" w:eastAsia="方正小标宋_GBK" w:hAnsi="Times New Roman" w:cs="Times New Roman"/>
          <w:sz w:val="72"/>
          <w:szCs w:val="72"/>
        </w:rPr>
      </w:pPr>
    </w:p>
    <w:p w:rsidR="00E0465E" w:rsidRDefault="00E0465E"/>
    <w:p w:rsidR="00E0465E"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第一部分</w:t>
      </w:r>
    </w:p>
    <w:p w:rsidR="00E0465E" w:rsidRDefault="00E0465E">
      <w:pPr>
        <w:pStyle w:val="Default"/>
        <w:jc w:val="center"/>
        <w:rPr>
          <w:rFonts w:ascii="方正小标宋_GBK" w:eastAsia="方正小标宋_GBK" w:hAnsi="方正小标宋_GBK" w:cs="方正小标宋_GBK" w:hint="eastAsia"/>
          <w:sz w:val="72"/>
          <w:szCs w:val="72"/>
        </w:rPr>
      </w:pPr>
    </w:p>
    <w:p w:rsidR="00E0465E"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祁阳市机关事务服务中心</w:t>
      </w:r>
    </w:p>
    <w:p w:rsidR="00E0465E"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概况</w:t>
      </w:r>
    </w:p>
    <w:p w:rsidR="00E0465E" w:rsidRDefault="00E0465E">
      <w:pPr>
        <w:pStyle w:val="2"/>
        <w:ind w:leftChars="0" w:left="0" w:firstLineChars="0" w:firstLine="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Pr>
        <w:pStyle w:val="ab"/>
        <w:rPr>
          <w:rFonts w:ascii="Times New Roman" w:hAnsi="Times New Roman" w:cs="Times New Roman"/>
        </w:rPr>
      </w:pPr>
    </w:p>
    <w:p w:rsidR="00E0465E" w:rsidRDefault="00E0465E">
      <w:pPr>
        <w:pStyle w:val="2"/>
        <w:ind w:firstLine="480"/>
        <w:rPr>
          <w:rFonts w:ascii="Times New Roman" w:hAnsi="Times New Roman" w:cs="Times New Roman"/>
        </w:rPr>
      </w:pPr>
    </w:p>
    <w:p w:rsidR="00E0465E" w:rsidRDefault="00E0465E">
      <w:pPr>
        <w:rPr>
          <w:rFonts w:ascii="Times New Roman" w:hAnsi="Times New Roman" w:cs="Times New Roman"/>
        </w:rPr>
      </w:pPr>
    </w:p>
    <w:p w:rsidR="00E0465E" w:rsidRDefault="00E0465E"/>
    <w:p w:rsidR="00E0465E"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sz w:val="32"/>
          <w:szCs w:val="32"/>
        </w:rPr>
        <w:t>部门职责</w:t>
      </w:r>
    </w:p>
    <w:p w:rsidR="00E0465E" w:rsidRDefault="00000000">
      <w:pPr>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w:t>
      </w:r>
      <w:r>
        <w:rPr>
          <w:rFonts w:ascii="仿宋_GB2312" w:eastAsia="仿宋_GB2312" w:hAnsi="仿宋" w:hint="eastAsia"/>
          <w:sz w:val="32"/>
          <w:szCs w:val="32"/>
        </w:rPr>
        <w:t>指导全市机关事务工作。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Times New Roman" w:eastAsia="仿宋_GB2312" w:hAnsi="Times New Roman" w:cs="仿宋_GB2312" w:hint="eastAsia"/>
          <w:sz w:val="32"/>
          <w:szCs w:val="32"/>
        </w:rPr>
        <w:t>（二）</w:t>
      </w:r>
      <w:r>
        <w:rPr>
          <w:rFonts w:ascii="仿宋_GB2312" w:eastAsia="仿宋_GB2312" w:hAnsi="仿宋" w:hint="eastAsia"/>
          <w:sz w:val="32"/>
          <w:szCs w:val="32"/>
        </w:rPr>
        <w:t>负责市直党政机关单位办公用房清理整改、调剂使用工作。指导全市党政机关办公用房管理工作。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Times New Roman" w:eastAsia="仿宋_GB2312" w:hAnsi="Times New Roman" w:cs="仿宋_GB2312" w:hint="eastAsia"/>
          <w:sz w:val="32"/>
          <w:szCs w:val="32"/>
        </w:rPr>
        <w:t>（三）</w:t>
      </w:r>
      <w:r>
        <w:rPr>
          <w:rFonts w:ascii="仿宋_GB2312" w:eastAsia="仿宋_GB2312" w:hAnsi="仿宋" w:hint="eastAsia"/>
          <w:sz w:val="32"/>
          <w:szCs w:val="32"/>
        </w:rPr>
        <w:t>负责统筹协调全市公共机构节能工作，会同有关部门制定推动全市公共机构节能规划、制度并组织实施，负责公共机构节约能源管理工作，组织开展能耗统计、监测和评价、节能技术改造等工作。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（四）负责全市公务用车的监督管理及公务用车服务平台车辆的调度、维护等工作。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（五）负责行政中心国有资产的统一管理工作。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（六）负责行政中心的安全保卫、秩序管理、卫生保洁、房屋修缮、水电供应、会务保障及职工食堂管理等后勤服务保障工作。</w:t>
      </w:r>
    </w:p>
    <w:p w:rsidR="00E0465E" w:rsidRDefault="00000000">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（七）负责市级领导的有关办公生活等保障服务。</w:t>
      </w:r>
    </w:p>
    <w:p w:rsidR="00E0465E" w:rsidRDefault="00000000">
      <w:pPr>
        <w:ind w:firstLineChars="200" w:firstLine="640"/>
        <w:jc w:val="left"/>
        <w:rPr>
          <w:rFonts w:ascii="Times New Roman" w:eastAsia="仿宋_GB2312" w:hAnsi="Times New Roman" w:cs="仿宋_GB2312"/>
          <w:sz w:val="32"/>
          <w:szCs w:val="32"/>
        </w:rPr>
      </w:pPr>
      <w:r>
        <w:rPr>
          <w:rFonts w:ascii="仿宋_GB2312" w:eastAsia="仿宋_GB2312" w:hAnsi="仿宋" w:hint="eastAsia"/>
          <w:sz w:val="32"/>
          <w:szCs w:val="32"/>
        </w:rPr>
        <w:t>（八）承办市委、市政府交办的其它工作事项。</w:t>
      </w:r>
    </w:p>
    <w:p w:rsidR="00E0465E"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E0465E"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（一）内设机构设置。祁阳市机关事务服务中心内设机构包括：</w:t>
      </w:r>
      <w:r>
        <w:rPr>
          <w:rFonts w:ascii="仿宋_GB2312" w:eastAsia="仿宋_GB2312" w:hAnsi="仿宋" w:hint="eastAsia"/>
          <w:sz w:val="32"/>
          <w:szCs w:val="32"/>
        </w:rPr>
        <w:t>办公室、办公用房管理股、公共机构节能管理股、保卫股、人事股、资产财务股、物业管理股、公务用车管理服务中心八个内设机构。</w:t>
      </w:r>
    </w:p>
    <w:p w:rsidR="00E0465E"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（二）决算单位构成。祁阳市机关事务服务中心</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年部门决算汇总公开单位构成包括：祁阳市机关事务服务中心本级。</w:t>
      </w:r>
    </w:p>
    <w:p w:rsidR="00E0465E" w:rsidRDefault="00E0465E">
      <w:pPr>
        <w:jc w:val="left"/>
        <w:rPr>
          <w:rFonts w:asciiTheme="minorEastAsia" w:hAnsiTheme="minorEastAsia" w:hint="eastAsia"/>
          <w:sz w:val="28"/>
          <w:szCs w:val="32"/>
        </w:rPr>
      </w:pPr>
    </w:p>
    <w:p w:rsidR="00E0465E" w:rsidRDefault="00E0465E">
      <w:pPr>
        <w:jc w:val="left"/>
        <w:rPr>
          <w:rFonts w:ascii="Times New Roman" w:eastAsia="仿宋_GB2312" w:hAnsi="Times New Roman" w:cs="Times New Roman"/>
          <w:sz w:val="28"/>
          <w:szCs w:val="32"/>
        </w:rPr>
      </w:pPr>
    </w:p>
    <w:p w:rsidR="00E0465E" w:rsidRDefault="00E0465E">
      <w:pPr>
        <w:jc w:val="center"/>
        <w:rPr>
          <w:rFonts w:ascii="Times New Roman" w:eastAsia="黑体" w:hAnsi="Times New Roman" w:cs="Times New Roman"/>
          <w:sz w:val="28"/>
          <w:szCs w:val="28"/>
        </w:rPr>
      </w:pPr>
    </w:p>
    <w:p w:rsidR="00E0465E" w:rsidRDefault="00E0465E">
      <w:pPr>
        <w:pStyle w:val="ab"/>
        <w:rPr>
          <w:rFonts w:ascii="Times New Roman" w:eastAsia="黑体" w:hAnsi="Times New Roman" w:cs="Times New Roman"/>
          <w:sz w:val="28"/>
          <w:szCs w:val="28"/>
        </w:rPr>
      </w:pPr>
    </w:p>
    <w:p w:rsidR="00E0465E" w:rsidRDefault="00E0465E">
      <w:pPr>
        <w:pStyle w:val="2"/>
        <w:ind w:firstLine="560"/>
        <w:rPr>
          <w:rFonts w:ascii="Times New Roman" w:eastAsia="黑体" w:hAnsi="Times New Roman" w:cs="Times New Roman"/>
          <w:sz w:val="28"/>
          <w:szCs w:val="28"/>
        </w:rPr>
      </w:pPr>
    </w:p>
    <w:p w:rsidR="00E0465E" w:rsidRDefault="00E0465E">
      <w:pPr>
        <w:rPr>
          <w:rFonts w:ascii="Times New Roman" w:eastAsia="黑体" w:hAnsi="Times New Roman" w:cs="Times New Roman"/>
          <w:sz w:val="28"/>
          <w:szCs w:val="28"/>
        </w:rPr>
      </w:pPr>
    </w:p>
    <w:p w:rsidR="00E0465E" w:rsidRDefault="00E0465E">
      <w:pPr>
        <w:pStyle w:val="ab"/>
        <w:rPr>
          <w:rFonts w:ascii="Times New Roman" w:eastAsia="黑体" w:hAnsi="Times New Roman" w:cs="Times New Roman"/>
          <w:sz w:val="28"/>
          <w:szCs w:val="28"/>
        </w:rPr>
      </w:pPr>
    </w:p>
    <w:p w:rsidR="00E0465E" w:rsidRDefault="00E0465E">
      <w:pPr>
        <w:pStyle w:val="2"/>
        <w:ind w:firstLine="560"/>
        <w:rPr>
          <w:rFonts w:ascii="Times New Roman" w:eastAsia="黑体" w:hAnsi="Times New Roman" w:cs="Times New Roman"/>
          <w:sz w:val="28"/>
          <w:szCs w:val="28"/>
        </w:rPr>
      </w:pPr>
    </w:p>
    <w:p w:rsidR="00E0465E" w:rsidRDefault="00E0465E"/>
    <w:p w:rsidR="00E0465E"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第二部分</w:t>
      </w:r>
    </w:p>
    <w:p w:rsidR="00E0465E" w:rsidRDefault="00E0465E">
      <w:pPr>
        <w:pStyle w:val="Default"/>
        <w:jc w:val="center"/>
        <w:rPr>
          <w:rFonts w:ascii="方正小标宋_GBK" w:eastAsia="方正小标宋_GBK" w:hAnsi="方正小标宋_GBK" w:cs="方正小标宋_GBK" w:hint="eastAsia"/>
          <w:sz w:val="72"/>
          <w:szCs w:val="72"/>
        </w:rPr>
      </w:pPr>
    </w:p>
    <w:p w:rsidR="00E0465E" w:rsidRDefault="00000000">
      <w:pPr>
        <w:jc w:val="center"/>
        <w:rPr>
          <w:rFonts w:asciiTheme="minorEastAsia" w:hAnsiTheme="minorEastAsia" w:hint="eastAsia"/>
          <w:sz w:val="72"/>
          <w:szCs w:val="72"/>
        </w:rPr>
      </w:pPr>
      <w:r>
        <w:rPr>
          <w:rFonts w:ascii="方正小标宋_GBK" w:eastAsia="方正小标宋_GBK" w:hAnsi="方正小标宋_GBK" w:cs="方正小标宋_GBK" w:hint="eastAsia"/>
          <w:sz w:val="84"/>
          <w:szCs w:val="84"/>
        </w:rPr>
        <w:t>2024年度部门决算表</w:t>
      </w:r>
    </w:p>
    <w:p w:rsidR="00E0465E" w:rsidRDefault="00E0465E">
      <w:pPr>
        <w:jc w:val="center"/>
        <w:rPr>
          <w:rFonts w:ascii="Times New Roman" w:eastAsia="黑体" w:hAnsi="Times New Roman" w:cs="Times New Roman"/>
          <w:sz w:val="28"/>
          <w:szCs w:val="28"/>
        </w:rPr>
      </w:pPr>
    </w:p>
    <w:p w:rsidR="00E0465E" w:rsidRDefault="00E0465E">
      <w:pPr>
        <w:pStyle w:val="ab"/>
        <w:rPr>
          <w:rFonts w:ascii="Times New Roman" w:hAnsi="Times New Roman" w:cs="Times New Roman"/>
        </w:rPr>
        <w:sectPr w:rsidR="00E0465E">
          <w:footerReference w:type="default" r:id="rId10"/>
          <w:pgSz w:w="11906" w:h="16838"/>
          <w:pgMar w:top="1417" w:right="1588" w:bottom="1417" w:left="1588" w:header="851" w:footer="992" w:gutter="0"/>
          <w:pgNumType w:start="1"/>
          <w:cols w:space="425"/>
          <w:docGrid w:type="lines" w:linePitch="312"/>
        </w:sectPr>
      </w:pPr>
    </w:p>
    <w:tbl>
      <w:tblPr>
        <w:tblW w:w="4911" w:type="pct"/>
        <w:tblInd w:w="119" w:type="dxa"/>
        <w:tblLook w:val="04A0" w:firstRow="1" w:lastRow="0" w:firstColumn="1" w:lastColumn="0" w:noHBand="0" w:noVBand="1"/>
      </w:tblPr>
      <w:tblGrid>
        <w:gridCol w:w="4516"/>
        <w:gridCol w:w="736"/>
        <w:gridCol w:w="2537"/>
        <w:gridCol w:w="4174"/>
        <w:gridCol w:w="886"/>
        <w:gridCol w:w="2487"/>
      </w:tblGrid>
      <w:tr w:rsidR="00E0465E">
        <w:trPr>
          <w:trHeight w:val="360"/>
        </w:trPr>
        <w:tc>
          <w:tcPr>
            <w:tcW w:w="5000" w:type="pct"/>
            <w:gridSpan w:val="6"/>
            <w:tcBorders>
              <w:top w:val="nil"/>
              <w:left w:val="nil"/>
              <w:bottom w:val="nil"/>
              <w:right w:val="nil"/>
            </w:tcBorders>
            <w:shd w:val="clear" w:color="auto" w:fill="auto"/>
            <w:noWrap/>
            <w:vAlign w:val="center"/>
          </w:tcPr>
          <w:p w:rsidR="00E0465E"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E0465E">
        <w:trPr>
          <w:trHeight w:val="340"/>
        </w:trPr>
        <w:tc>
          <w:tcPr>
            <w:tcW w:w="1472"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01</w:t>
            </w:r>
            <w:r>
              <w:rPr>
                <w:rFonts w:ascii="Times New Roman" w:hAnsi="Times New Roman" w:cs="Times New Roman"/>
                <w:color w:val="000000"/>
                <w:kern w:val="0"/>
                <w:szCs w:val="21"/>
              </w:rPr>
              <w:t>表</w:t>
            </w:r>
          </w:p>
        </w:tc>
      </w:tr>
      <w:tr w:rsidR="00E0465E">
        <w:trPr>
          <w:trHeight w:val="340"/>
        </w:trPr>
        <w:tc>
          <w:tcPr>
            <w:tcW w:w="1472" w:type="pct"/>
            <w:tcBorders>
              <w:top w:val="nil"/>
              <w:left w:val="nil"/>
              <w:bottom w:val="nil"/>
              <w:right w:val="nil"/>
            </w:tcBorders>
            <w:shd w:val="clear" w:color="000000" w:fill="FFFFFF"/>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祁阳市机关事务服务中心</w:t>
            </w:r>
            <w:r>
              <w:rPr>
                <w:rFonts w:ascii="Times New Roman" w:hAnsi="Times New Roman" w:cs="Times New Roman"/>
                <w:color w:val="000000"/>
                <w:kern w:val="0"/>
                <w:szCs w:val="21"/>
              </w:rPr>
              <w:t xml:space="preserve"> </w:t>
            </w:r>
          </w:p>
        </w:tc>
        <w:tc>
          <w:tcPr>
            <w:tcW w:w="240"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E0465E">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0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1166.75</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25.31</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b/>
                <w:bCs/>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10.34</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18.59</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E0465E">
            <w:pPr>
              <w:widowControl/>
              <w:jc w:val="center"/>
              <w:rPr>
                <w:rFonts w:ascii="Times New Roman" w:hAnsi="Times New Roman" w:cs="Times New Roman"/>
                <w:b/>
                <w:bCs/>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E0465E">
            <w:pPr>
              <w:widowControl/>
              <w:jc w:val="center"/>
              <w:rPr>
                <w:rFonts w:ascii="Times New Roman" w:hAnsi="Times New Roman" w:cs="Times New Roman"/>
                <w:b/>
                <w:bCs/>
                <w:kern w:val="0"/>
                <w:szCs w:val="21"/>
              </w:rPr>
            </w:pP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09"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b/>
                <w:bCs/>
                <w:kern w:val="0"/>
                <w:szCs w:val="21"/>
              </w:rPr>
            </w:pPr>
          </w:p>
        </w:tc>
      </w:tr>
      <w:tr w:rsidR="00E0465E">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40"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b/>
                <w:bCs/>
                <w:kern w:val="0"/>
                <w:szCs w:val="21"/>
              </w:rPr>
            </w:pPr>
            <w:r>
              <w:rPr>
                <w:rFonts w:ascii="Times New Roman" w:hAnsi="Times New Roman" w:cs="Times New Roman" w:hint="eastAsia"/>
                <w:kern w:val="0"/>
                <w:szCs w:val="21"/>
              </w:rPr>
              <w:t>1220.99</w:t>
            </w:r>
          </w:p>
        </w:tc>
      </w:tr>
      <w:tr w:rsidR="00E0465E">
        <w:trPr>
          <w:trHeight w:val="1020"/>
        </w:trPr>
        <w:tc>
          <w:tcPr>
            <w:tcW w:w="5000" w:type="pct"/>
            <w:gridSpan w:val="6"/>
            <w:tcBorders>
              <w:top w:val="nil"/>
              <w:left w:val="nil"/>
              <w:bottom w:val="nil"/>
              <w:right w:val="nil"/>
            </w:tcBorders>
            <w:shd w:val="clear" w:color="auto" w:fill="auto"/>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本表反映部门本年度的总收支和年末结转结余情况。</w:t>
            </w:r>
            <w:r>
              <w:rPr>
                <w:rFonts w:ascii="Times New Roman" w:hAnsi="Times New Roman" w:cs="Times New Roman"/>
                <w:kern w:val="0"/>
                <w:szCs w:val="21"/>
              </w:rPr>
              <w:b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2.</w:t>
            </w:r>
            <w:r>
              <w:rPr>
                <w:rFonts w:ascii="Times New Roman" w:hAnsi="Times New Roman" w:cs="Times New Roman"/>
                <w:kern w:val="0"/>
                <w:szCs w:val="21"/>
              </w:rPr>
              <w:t>本套报表金额单位转换时可能存在尾数误差。</w:t>
            </w:r>
          </w:p>
        </w:tc>
      </w:tr>
    </w:tbl>
    <w:p w:rsidR="00E0465E" w:rsidRDefault="00000000">
      <w:pPr>
        <w:rPr>
          <w:rFonts w:asciiTheme="minorEastAsia" w:hAnsiTheme="minorEastAsia" w:hint="eastAsia"/>
          <w:color w:val="000000"/>
          <w:sz w:val="32"/>
          <w:szCs w:val="32"/>
        </w:rPr>
      </w:pPr>
      <w:r>
        <w:rPr>
          <w:rFonts w:asciiTheme="minorEastAsia" w:hAnsiTheme="minorEastAsia" w:hint="eastAsia"/>
          <w:color w:val="000000"/>
          <w:sz w:val="32"/>
          <w:szCs w:val="32"/>
        </w:rPr>
        <w:br w:type="page"/>
      </w:r>
    </w:p>
    <w:tbl>
      <w:tblPr>
        <w:tblW w:w="5000" w:type="pct"/>
        <w:tblLayout w:type="fixed"/>
        <w:tblCellMar>
          <w:left w:w="0" w:type="dxa"/>
          <w:right w:w="0" w:type="dxa"/>
        </w:tblCellMar>
        <w:tblLook w:val="04A0" w:firstRow="1" w:lastRow="0" w:firstColumn="1" w:lastColumn="0" w:noHBand="0" w:noVBand="1"/>
      </w:tblPr>
      <w:tblGrid>
        <w:gridCol w:w="1269"/>
        <w:gridCol w:w="4366"/>
        <w:gridCol w:w="1561"/>
        <w:gridCol w:w="1629"/>
        <w:gridCol w:w="1151"/>
        <w:gridCol w:w="1342"/>
        <w:gridCol w:w="1342"/>
        <w:gridCol w:w="1355"/>
        <w:gridCol w:w="1413"/>
      </w:tblGrid>
      <w:tr w:rsidR="00E0465E">
        <w:trPr>
          <w:trHeight w:val="435"/>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rsidR="00E0465E" w:rsidRDefault="00000000">
            <w:pPr>
              <w:spacing w:line="120" w:lineRule="auto"/>
              <w:jc w:val="center"/>
              <w:rPr>
                <w:rFonts w:asciiTheme="minorEastAsia" w:hAnsiTheme="minorEastAsia" w:cs="宋体" w:hint="eastAsia"/>
                <w:color w:val="000000"/>
                <w:sz w:val="32"/>
                <w:szCs w:val="32"/>
              </w:rPr>
            </w:pPr>
            <w:r>
              <w:rPr>
                <w:rFonts w:ascii="华文中宋" w:eastAsia="华文中宋" w:hAnsi="华文中宋" w:hint="eastAsia"/>
                <w:color w:val="000000"/>
                <w:sz w:val="32"/>
                <w:szCs w:val="32"/>
              </w:rPr>
              <w:lastRenderedPageBreak/>
              <w:t>收入决算表</w:t>
            </w:r>
          </w:p>
        </w:tc>
      </w:tr>
      <w:tr w:rsidR="00E0465E">
        <w:trPr>
          <w:trHeight w:val="90"/>
        </w:trPr>
        <w:tc>
          <w:tcPr>
            <w:tcW w:w="182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506"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528"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373"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color w:val="000000"/>
                <w:szCs w:val="21"/>
              </w:rPr>
            </w:pPr>
            <w:r>
              <w:rPr>
                <w:rFonts w:ascii="Times New Roman" w:hAnsi="Times New Roman" w:cs="Times New Roman"/>
                <w:color w:val="000000"/>
                <w:szCs w:val="21"/>
              </w:rPr>
              <w:t>公开</w:t>
            </w:r>
            <w:r>
              <w:rPr>
                <w:rFonts w:ascii="Times New Roman" w:hAnsi="Times New Roman" w:cs="Times New Roman"/>
                <w:color w:val="000000"/>
                <w:szCs w:val="21"/>
              </w:rPr>
              <w:t>02</w:t>
            </w:r>
            <w:r>
              <w:rPr>
                <w:rFonts w:ascii="Times New Roman" w:hAnsi="Times New Roman" w:cs="Times New Roman"/>
                <w:color w:val="000000"/>
                <w:szCs w:val="21"/>
              </w:rPr>
              <w:t>表</w:t>
            </w:r>
          </w:p>
        </w:tc>
      </w:tr>
      <w:tr w:rsidR="00E0465E">
        <w:trPr>
          <w:trHeight w:val="285"/>
        </w:trPr>
        <w:tc>
          <w:tcPr>
            <w:tcW w:w="182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rPr>
                <w:rFonts w:ascii="Times New Roman" w:hAnsi="Times New Roman" w:cs="Times New Roman"/>
                <w:szCs w:val="21"/>
              </w:rPr>
            </w:pPr>
            <w:r>
              <w:rPr>
                <w:rFonts w:ascii="Times New Roman" w:hAnsi="Times New Roman" w:cs="Times New Roman"/>
                <w:color w:val="000000"/>
                <w:szCs w:val="21"/>
              </w:rPr>
              <w:t>部门：</w:t>
            </w:r>
            <w:r>
              <w:rPr>
                <w:rFonts w:ascii="Times New Roman" w:hAnsi="Times New Roman" w:cs="Times New Roman" w:hint="eastAsia"/>
                <w:color w:val="000000"/>
                <w:kern w:val="0"/>
                <w:szCs w:val="21"/>
              </w:rPr>
              <w:t>祁阳市机关事务服务中心</w:t>
            </w:r>
            <w:r>
              <w:rPr>
                <w:rFonts w:ascii="Times New Roman" w:hAnsi="Times New Roman" w:cs="Times New Roman"/>
                <w:szCs w:val="21"/>
              </w:rPr>
              <w:t xml:space="preserve">　</w:t>
            </w:r>
          </w:p>
        </w:tc>
        <w:tc>
          <w:tcPr>
            <w:tcW w:w="506"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528"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373"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color w:val="000000"/>
                <w:szCs w:val="21"/>
              </w:rPr>
            </w:pPr>
            <w:r>
              <w:rPr>
                <w:rFonts w:ascii="Times New Roman" w:hAnsi="Times New Roman" w:cs="Times New Roman"/>
                <w:color w:val="000000"/>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rsidR="00E0465E" w:rsidRDefault="00000000">
            <w:pPr>
              <w:spacing w:line="120" w:lineRule="auto"/>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rsidR="00E0465E">
        <w:trPr>
          <w:trHeight w:val="340"/>
        </w:trPr>
        <w:tc>
          <w:tcPr>
            <w:tcW w:w="1826"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项</w:t>
            </w:r>
            <w:r>
              <w:rPr>
                <w:rFonts w:ascii="Times New Roman" w:hAnsi="Times New Roman" w:cs="Times New Roman"/>
                <w:szCs w:val="21"/>
              </w:rPr>
              <w:t xml:space="preserve">    </w:t>
            </w:r>
            <w:r>
              <w:rPr>
                <w:rFonts w:ascii="Times New Roman" w:hAnsi="Times New Roman" w:cs="Times New Roman"/>
                <w:szCs w:val="21"/>
              </w:rPr>
              <w:t>目</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本年收入合计</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财政拨款收入</w:t>
            </w:r>
          </w:p>
        </w:tc>
        <w:tc>
          <w:tcPr>
            <w:tcW w:w="37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其他收入</w:t>
            </w:r>
          </w:p>
        </w:tc>
      </w:tr>
      <w:tr w:rsidR="00E0465E">
        <w:trPr>
          <w:trHeight w:val="34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功能分类</w:t>
            </w:r>
          </w:p>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科目编码</w:t>
            </w:r>
          </w:p>
        </w:tc>
        <w:tc>
          <w:tcPr>
            <w:tcW w:w="141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科目名称</w:t>
            </w:r>
          </w:p>
        </w:tc>
        <w:tc>
          <w:tcPr>
            <w:tcW w:w="506"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r>
      <w:tr w:rsidR="00E0465E">
        <w:trPr>
          <w:trHeight w:val="340"/>
        </w:trPr>
        <w:tc>
          <w:tcPr>
            <w:tcW w:w="411"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1414" w:type="pct"/>
            <w:vMerge/>
            <w:tcBorders>
              <w:top w:val="nil"/>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E0465E" w:rsidRDefault="00E0465E">
            <w:pPr>
              <w:spacing w:line="120" w:lineRule="auto"/>
              <w:rPr>
                <w:rFonts w:ascii="Times New Roman" w:hAnsi="Times New Roman" w:cs="Times New Roman"/>
                <w:szCs w:val="21"/>
              </w:rPr>
            </w:pPr>
          </w:p>
        </w:tc>
      </w:tr>
      <w:tr w:rsidR="00E0465E">
        <w:trPr>
          <w:trHeight w:val="340"/>
        </w:trPr>
        <w:tc>
          <w:tcPr>
            <w:tcW w:w="1826"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栏次</w:t>
            </w:r>
          </w:p>
        </w:tc>
        <w:tc>
          <w:tcPr>
            <w:tcW w:w="50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1</w:t>
            </w:r>
          </w:p>
        </w:tc>
        <w:tc>
          <w:tcPr>
            <w:tcW w:w="52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2</w:t>
            </w:r>
          </w:p>
        </w:tc>
        <w:tc>
          <w:tcPr>
            <w:tcW w:w="37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7</w:t>
            </w:r>
          </w:p>
        </w:tc>
      </w:tr>
      <w:tr w:rsidR="00E0465E">
        <w:trPr>
          <w:trHeight w:val="340"/>
        </w:trPr>
        <w:tc>
          <w:tcPr>
            <w:tcW w:w="1826"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spacing w:line="120" w:lineRule="auto"/>
              <w:jc w:val="center"/>
              <w:rPr>
                <w:rFonts w:ascii="Times New Roman" w:hAnsi="Times New Roman" w:cs="Times New Roman"/>
                <w:szCs w:val="21"/>
              </w:rPr>
            </w:pPr>
            <w:r>
              <w:rPr>
                <w:rFonts w:ascii="Times New Roman" w:hAnsi="Times New Roman" w:cs="Times New Roman"/>
                <w:szCs w:val="21"/>
              </w:rPr>
              <w:t>合计</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Times New Roman" w:hAnsi="Times New Roman" w:cs="Times New Roman" w:hint="eastAsia"/>
                <w:b/>
                <w:bCs/>
                <w:szCs w:val="21"/>
              </w:rPr>
              <w:t>1220.99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Times New Roman" w:hAnsi="Times New Roman" w:cs="Times New Roman" w:hint="eastAsia"/>
                <w:b/>
                <w:bCs/>
                <w:szCs w:val="21"/>
              </w:rPr>
              <w:t>1220.99</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spacing w:line="120" w:lineRule="auto"/>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一般公共服务支出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1166.75</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1166.75</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20103</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政府办公厅（室）及相关机构事务</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1166.75</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1166.75</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2010301</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行政运行</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3.78</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3.78</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2010303</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机关服务</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1153.79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1153.79</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9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2010305</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专项业务及机关事务管理</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2010399</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其他政府办公厅（室）及相关机构事务支出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7.18</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7.18</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208</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社会保障和就业支出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25.31</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25.31</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20805</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行政事业单位养老支出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24.79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24.79</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2080505</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机关事业单位基本养老保险缴费支出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24.79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24.79</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20899</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其他社会保障和就业支出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0.52</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0.52</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2089999</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其他社会保障和就业支出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0.52</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0.52</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210</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卫生健康支出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21011</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行政事业单位医疗</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2101102</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 w:val="22"/>
                <w:lang w:bidi="ar"/>
              </w:rPr>
              <w:t>事业单位医疗</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10.34</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Times New Roman" w:hAnsi="Times New Roman" w:cs="Times New Roman"/>
                <w:szCs w:val="21"/>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住房保障支出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1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住房改革支出</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1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r>
      <w:tr w:rsidR="00E0465E">
        <w:trPr>
          <w:trHeight w:val="34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2210201</w:t>
            </w:r>
          </w:p>
        </w:tc>
        <w:tc>
          <w:tcPr>
            <w:tcW w:w="141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住房公积金</w:t>
            </w:r>
          </w:p>
        </w:tc>
        <w:tc>
          <w:tcPr>
            <w:tcW w:w="5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6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11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c>
          <w:tcPr>
            <w:tcW w:w="13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0.00</w:t>
            </w:r>
          </w:p>
        </w:tc>
      </w:tr>
      <w:tr w:rsidR="00E0465E">
        <w:trPr>
          <w:trHeight w:val="615"/>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rsidR="00E0465E" w:rsidRDefault="00000000">
            <w:pPr>
              <w:spacing w:line="120" w:lineRule="auto"/>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rsidR="00E0465E" w:rsidRDefault="00000000">
      <w:pPr>
        <w:widowControl/>
        <w:jc w:val="center"/>
        <w:rPr>
          <w:rFonts w:asciiTheme="minorEastAsia" w:hAnsiTheme="minorEastAsia" w:cs="宋体" w:hint="eastAsia"/>
          <w:color w:val="000000"/>
          <w:kern w:val="0"/>
          <w:sz w:val="32"/>
          <w:szCs w:val="32"/>
        </w:rPr>
      </w:pPr>
      <w:r>
        <w:rPr>
          <w:rFonts w:asciiTheme="minorEastAsia" w:hAnsiTheme="minorEastAsia" w:cs="宋体" w:hint="eastAsia"/>
          <w:color w:val="000000"/>
          <w:kern w:val="0"/>
          <w:sz w:val="32"/>
          <w:szCs w:val="32"/>
        </w:rPr>
        <w:lastRenderedPageBreak/>
        <w:br w:type="page"/>
      </w:r>
    </w:p>
    <w:tbl>
      <w:tblPr>
        <w:tblW w:w="4937" w:type="pct"/>
        <w:tblInd w:w="91" w:type="dxa"/>
        <w:tblLayout w:type="fixed"/>
        <w:tblLook w:val="04A0" w:firstRow="1" w:lastRow="0" w:firstColumn="1" w:lastColumn="0" w:noHBand="0" w:noVBand="1"/>
      </w:tblPr>
      <w:tblGrid>
        <w:gridCol w:w="1270"/>
        <w:gridCol w:w="4477"/>
        <w:gridCol w:w="1693"/>
        <w:gridCol w:w="1662"/>
        <w:gridCol w:w="1557"/>
        <w:gridCol w:w="1579"/>
        <w:gridCol w:w="1579"/>
        <w:gridCol w:w="1600"/>
      </w:tblGrid>
      <w:tr w:rsidR="00E0465E">
        <w:trPr>
          <w:trHeight w:val="435"/>
        </w:trPr>
        <w:tc>
          <w:tcPr>
            <w:tcW w:w="5000" w:type="pct"/>
            <w:gridSpan w:val="8"/>
            <w:tcBorders>
              <w:top w:val="nil"/>
              <w:left w:val="nil"/>
              <w:bottom w:val="nil"/>
              <w:right w:val="nil"/>
            </w:tcBorders>
            <w:shd w:val="clear" w:color="auto" w:fill="auto"/>
            <w:noWrap/>
            <w:vAlign w:val="center"/>
          </w:tcPr>
          <w:p w:rsidR="00E0465E"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E0465E">
        <w:trPr>
          <w:trHeight w:val="285"/>
        </w:trPr>
        <w:tc>
          <w:tcPr>
            <w:tcW w:w="1864" w:type="pct"/>
            <w:gridSpan w:val="2"/>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公开03表</w:t>
            </w:r>
          </w:p>
        </w:tc>
      </w:tr>
      <w:tr w:rsidR="00E0465E">
        <w:trPr>
          <w:trHeight w:val="285"/>
        </w:trPr>
        <w:tc>
          <w:tcPr>
            <w:tcW w:w="1864" w:type="pct"/>
            <w:gridSpan w:val="2"/>
            <w:tcBorders>
              <w:top w:val="nil"/>
              <w:left w:val="nil"/>
              <w:bottom w:val="nil"/>
              <w:right w:val="nil"/>
            </w:tcBorders>
            <w:shd w:val="clear" w:color="000000" w:fill="FFFFFF"/>
            <w:noWrap/>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color w:val="000000"/>
                <w:kern w:val="0"/>
                <w:sz w:val="20"/>
                <w:szCs w:val="20"/>
              </w:rPr>
              <w:t>部门：</w:t>
            </w:r>
            <w:r>
              <w:rPr>
                <w:rFonts w:ascii="Times New Roman" w:hAnsi="Times New Roman" w:cs="Times New Roman" w:hint="eastAsia"/>
                <w:color w:val="000000"/>
                <w:kern w:val="0"/>
                <w:szCs w:val="21"/>
              </w:rPr>
              <w:t>祁阳市机关事务服务中心</w:t>
            </w: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E0465E" w:rsidRDefault="00000000">
            <w:pPr>
              <w:widowControl/>
              <w:jc w:val="center"/>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 xml:space="preserve">　</w:t>
            </w:r>
          </w:p>
        </w:tc>
        <w:tc>
          <w:tcPr>
            <w:tcW w:w="512"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E0465E">
        <w:trPr>
          <w:trHeight w:val="34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    目</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本年支出合计</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基本支出</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上缴上级支出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经营支出</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对附属单位补助支出</w:t>
            </w:r>
          </w:p>
        </w:tc>
      </w:tr>
      <w:tr w:rsidR="00E0465E">
        <w:trPr>
          <w:trHeight w:val="34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功能分类科目编码</w:t>
            </w:r>
          </w:p>
        </w:tc>
        <w:tc>
          <w:tcPr>
            <w:tcW w:w="1451" w:type="pct"/>
            <w:vMerge w:val="restart"/>
            <w:tcBorders>
              <w:top w:val="nil"/>
              <w:left w:val="single" w:sz="4" w:space="0" w:color="auto"/>
              <w:bottom w:val="single" w:sz="4" w:space="0" w:color="auto"/>
              <w:right w:val="single" w:sz="4" w:space="0" w:color="auto"/>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科目名称</w:t>
            </w:r>
          </w:p>
        </w:tc>
        <w:tc>
          <w:tcPr>
            <w:tcW w:w="54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r>
      <w:tr w:rsidR="00E0465E">
        <w:trPr>
          <w:trHeight w:val="340"/>
        </w:trPr>
        <w:tc>
          <w:tcPr>
            <w:tcW w:w="412"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1451" w:type="pct"/>
            <w:vMerge/>
            <w:tcBorders>
              <w:top w:val="nil"/>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Cs w:val="21"/>
              </w:rPr>
            </w:pPr>
          </w:p>
        </w:tc>
      </w:tr>
      <w:tr w:rsidR="00E0465E">
        <w:trPr>
          <w:trHeight w:val="34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54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53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505"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512"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512"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w:t>
            </w:r>
          </w:p>
        </w:tc>
        <w:tc>
          <w:tcPr>
            <w:tcW w:w="517"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w:t>
            </w:r>
          </w:p>
        </w:tc>
      </w:tr>
      <w:tr w:rsidR="00E0465E">
        <w:trPr>
          <w:trHeight w:val="34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合计</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spacing w:line="120" w:lineRule="auto"/>
              <w:jc w:val="right"/>
              <w:textAlignment w:val="center"/>
              <w:rPr>
                <w:rFonts w:asciiTheme="minorEastAsia" w:hAnsiTheme="minorEastAsia" w:cs="宋体" w:hint="eastAsia"/>
                <w:kern w:val="0"/>
                <w:szCs w:val="21"/>
              </w:rPr>
            </w:pPr>
            <w:r>
              <w:rPr>
                <w:rFonts w:ascii="Times New Roman" w:hAnsi="Times New Roman" w:cs="Times New Roman" w:hint="eastAsia"/>
                <w:b/>
                <w:bCs/>
                <w:szCs w:val="21"/>
              </w:rPr>
              <w:t>1220.99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spacing w:line="120" w:lineRule="auto"/>
              <w:jc w:val="right"/>
              <w:textAlignment w:val="center"/>
              <w:rPr>
                <w:rFonts w:asciiTheme="minorEastAsia" w:hAnsiTheme="minorEastAsia" w:cs="宋体" w:hint="eastAsia"/>
                <w:kern w:val="0"/>
                <w:szCs w:val="21"/>
              </w:rPr>
            </w:pPr>
            <w:r>
              <w:rPr>
                <w:rFonts w:ascii="Times New Roman" w:hAnsi="Times New Roman" w:cs="Times New Roman" w:hint="eastAsia"/>
                <w:b/>
                <w:bCs/>
                <w:szCs w:val="21"/>
              </w:rPr>
              <w:t>1220.99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b/>
                <w:bCs/>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b/>
                <w:bCs/>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b/>
                <w:bCs/>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b/>
                <w:bCs/>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一般公共服务支出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1166.75</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1166.75</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20103</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政府办公厅（室）及相关机构事务</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1166.75</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1166.75</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2010301</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行政运行</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3.78</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3.78</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2010303</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机关服务</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1153.79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1153.79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2010305</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专项业务及机关事务管理</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2010399</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其他政府办公厅（室）及相关机构事务支出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7.18</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7.18</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208</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25.31</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25.31</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20805</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行政事业单位养老支出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24.79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24.79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2080505</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机关事业单位基本养老保险缴费支出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24.79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24.79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20899</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0.52</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0.52</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2089999</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0.52</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0.52</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210</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卫生健康支出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21011</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行政事业单位医疗</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2101102</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事业单位医疗</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10.34</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221</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住房保障支出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18.59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18.59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22102</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住房改革支出</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18.59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18.59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34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2210201</w:t>
            </w:r>
          </w:p>
        </w:tc>
        <w:tc>
          <w:tcPr>
            <w:tcW w:w="145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住房公积金</w:t>
            </w:r>
          </w:p>
        </w:tc>
        <w:tc>
          <w:tcPr>
            <w:tcW w:w="54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53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18.59</w:t>
            </w:r>
          </w:p>
        </w:tc>
        <w:tc>
          <w:tcPr>
            <w:tcW w:w="50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c>
          <w:tcPr>
            <w:tcW w:w="517"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heme="minorEastAsia" w:hAnsiTheme="minorEastAsia" w:cs="宋体" w:hint="eastAsia"/>
                <w:kern w:val="0"/>
                <w:szCs w:val="21"/>
              </w:rPr>
            </w:pPr>
            <w:r>
              <w:rPr>
                <w:rFonts w:ascii="宋体" w:eastAsia="宋体" w:hAnsi="宋体" w:cs="宋体" w:hint="eastAsia"/>
                <w:color w:val="000000"/>
                <w:kern w:val="0"/>
                <w:sz w:val="22"/>
                <w:lang w:bidi="ar"/>
              </w:rPr>
              <w:t>0.00</w:t>
            </w:r>
          </w:p>
        </w:tc>
      </w:tr>
      <w:tr w:rsidR="00E0465E">
        <w:trPr>
          <w:trHeight w:val="630"/>
        </w:trPr>
        <w:tc>
          <w:tcPr>
            <w:tcW w:w="5000" w:type="pct"/>
            <w:gridSpan w:val="8"/>
            <w:tcBorders>
              <w:top w:val="nil"/>
              <w:left w:val="nil"/>
              <w:bottom w:val="nil"/>
              <w:right w:val="nil"/>
            </w:tcBorders>
            <w:shd w:val="clear" w:color="auto" w:fill="auto"/>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 w:val="24"/>
                <w:szCs w:val="24"/>
              </w:rPr>
              <w:t>注：本表反映部门本年度各项支出情况。</w:t>
            </w:r>
          </w:p>
        </w:tc>
      </w:tr>
    </w:tbl>
    <w:p w:rsidR="00E0465E" w:rsidRDefault="00000000">
      <w:pPr>
        <w:widowControl/>
        <w:jc w:val="center"/>
        <w:rPr>
          <w:rFonts w:asciiTheme="minorEastAsia" w:hAnsiTheme="minorEastAsia" w:cs="宋体" w:hint="eastAsia"/>
          <w:color w:val="000000"/>
          <w:kern w:val="0"/>
          <w:sz w:val="32"/>
          <w:szCs w:val="32"/>
        </w:rPr>
      </w:pPr>
      <w:bookmarkStart w:id="0" w:name="RANGE!A1:I22"/>
      <w:bookmarkStart w:id="1" w:name="RANGE!A1:F16"/>
      <w:bookmarkEnd w:id="0"/>
      <w:r>
        <w:rPr>
          <w:rFonts w:asciiTheme="minorEastAsia" w:hAnsiTheme="minorEastAsia" w:cs="宋体" w:hint="eastAsia"/>
          <w:color w:val="000000"/>
          <w:kern w:val="0"/>
          <w:sz w:val="32"/>
          <w:szCs w:val="32"/>
        </w:rPr>
        <w:lastRenderedPageBreak/>
        <w:br w:type="page"/>
      </w:r>
    </w:p>
    <w:tbl>
      <w:tblPr>
        <w:tblW w:w="4959" w:type="pct"/>
        <w:tblInd w:w="126" w:type="dxa"/>
        <w:tblLayout w:type="fixed"/>
        <w:tblLook w:val="04A0" w:firstRow="1" w:lastRow="0" w:firstColumn="1" w:lastColumn="0" w:noHBand="0" w:noVBand="1"/>
      </w:tblPr>
      <w:tblGrid>
        <w:gridCol w:w="3361"/>
        <w:gridCol w:w="623"/>
        <w:gridCol w:w="1152"/>
        <w:gridCol w:w="3599"/>
        <w:gridCol w:w="647"/>
        <w:gridCol w:w="1174"/>
        <w:gridCol w:w="1511"/>
        <w:gridCol w:w="1722"/>
        <w:gridCol w:w="1697"/>
      </w:tblGrid>
      <w:tr w:rsidR="00E0465E">
        <w:trPr>
          <w:trHeight w:val="360"/>
        </w:trPr>
        <w:tc>
          <w:tcPr>
            <w:tcW w:w="5000" w:type="pct"/>
            <w:gridSpan w:val="9"/>
            <w:tcBorders>
              <w:top w:val="nil"/>
              <w:left w:val="nil"/>
              <w:bottom w:val="nil"/>
              <w:right w:val="nil"/>
            </w:tcBorders>
            <w:shd w:val="clear" w:color="auto" w:fill="auto"/>
            <w:noWrap/>
            <w:vAlign w:val="center"/>
          </w:tcPr>
          <w:p w:rsidR="00E0465E"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E0465E">
        <w:trPr>
          <w:trHeight w:val="90"/>
        </w:trPr>
        <w:tc>
          <w:tcPr>
            <w:tcW w:w="1085"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04</w:t>
            </w:r>
            <w:r>
              <w:rPr>
                <w:rFonts w:ascii="Times New Roman" w:hAnsi="Times New Roman" w:cs="Times New Roman"/>
                <w:color w:val="000000"/>
                <w:kern w:val="0"/>
                <w:szCs w:val="21"/>
              </w:rPr>
              <w:t>表</w:t>
            </w:r>
          </w:p>
        </w:tc>
      </w:tr>
      <w:tr w:rsidR="00E0465E">
        <w:trPr>
          <w:trHeight w:val="300"/>
        </w:trPr>
        <w:tc>
          <w:tcPr>
            <w:tcW w:w="1658" w:type="pct"/>
            <w:gridSpan w:val="3"/>
            <w:tcBorders>
              <w:top w:val="nil"/>
              <w:left w:val="nil"/>
              <w:bottom w:val="nil"/>
              <w:right w:val="nil"/>
            </w:tcBorders>
            <w:shd w:val="clear" w:color="000000" w:fill="FFFFFF"/>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祁阳市机关事务服务中心</w:t>
            </w: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E0465E">
        <w:trPr>
          <w:trHeight w:val="402"/>
        </w:trPr>
        <w:tc>
          <w:tcPr>
            <w:tcW w:w="165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1" w:type="pct"/>
            <w:gridSpan w:val="6"/>
            <w:tcBorders>
              <w:top w:val="single" w:sz="4" w:space="0" w:color="auto"/>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E0465E">
        <w:trPr>
          <w:trHeight w:val="630"/>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4"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1166.75</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1166.75</w:t>
            </w: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90"/>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25.31</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25.31</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10.34</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10.34</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18.59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18.59</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E0465E">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371" w:type="pct"/>
            <w:tcBorders>
              <w:top w:val="nil"/>
              <w:left w:val="nil"/>
              <w:bottom w:val="single" w:sz="4" w:space="0" w:color="auto"/>
              <w:right w:val="single" w:sz="4" w:space="0" w:color="auto"/>
            </w:tcBorders>
            <w:shd w:val="clear" w:color="auto" w:fill="auto"/>
            <w:noWrap/>
            <w:vAlign w:val="center"/>
          </w:tcPr>
          <w:p w:rsidR="00E0465E" w:rsidRDefault="00E0465E">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b/>
                <w:bCs/>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1725"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686"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379"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E0465E">
        <w:trPr>
          <w:trHeight w:val="402"/>
        </w:trPr>
        <w:tc>
          <w:tcPr>
            <w:tcW w:w="1085" w:type="pct"/>
            <w:tcBorders>
              <w:top w:val="nil"/>
              <w:left w:val="single" w:sz="4" w:space="0" w:color="auto"/>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37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sz="4" w:space="0" w:color="auto"/>
              <w:right w:val="single" w:sz="4" w:space="0" w:color="auto"/>
            </w:tcBorders>
            <w:shd w:val="clear" w:color="000000" w:fill="FFFFFF"/>
            <w:noWrap/>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1175" w:type="dxa"/>
            <w:tcBorders>
              <w:top w:val="nil"/>
              <w:left w:val="nil"/>
              <w:bottom w:val="single" w:sz="4" w:space="0" w:color="auto"/>
              <w:right w:val="single" w:sz="4" w:space="0" w:color="auto"/>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1513" w:type="dxa"/>
            <w:tcBorders>
              <w:top w:val="nil"/>
              <w:left w:val="nil"/>
              <w:bottom w:val="single" w:sz="4" w:space="0" w:color="auto"/>
              <w:right w:val="single" w:sz="4" w:space="0" w:color="auto"/>
            </w:tcBorders>
            <w:shd w:val="clear" w:color="000000" w:fill="FFFFFF"/>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1220.99</w:t>
            </w: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544"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r>
      <w:tr w:rsidR="00E0465E">
        <w:trPr>
          <w:trHeight w:val="585"/>
        </w:trPr>
        <w:tc>
          <w:tcPr>
            <w:tcW w:w="5000" w:type="pct"/>
            <w:gridSpan w:val="9"/>
            <w:tcBorders>
              <w:top w:val="nil"/>
              <w:left w:val="nil"/>
              <w:bottom w:val="nil"/>
              <w:right w:val="nil"/>
            </w:tcBorders>
            <w:shd w:val="clear" w:color="auto" w:fill="auto"/>
            <w:vAlign w:val="center"/>
          </w:tcPr>
          <w:p w:rsidR="00E0465E" w:rsidRDefault="00000000">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rsidR="00E0465E" w:rsidRDefault="00000000">
      <w:pPr>
        <w:rPr>
          <w:rFonts w:asciiTheme="minorEastAsia" w:hAnsiTheme="minorEastAsia" w:cs="Times New Roman" w:hint="eastAsia"/>
          <w:kern w:val="0"/>
          <w:sz w:val="36"/>
          <w:szCs w:val="36"/>
        </w:rPr>
      </w:pPr>
      <w:r>
        <w:rPr>
          <w:rFonts w:asciiTheme="minorEastAsia" w:hAnsiTheme="minorEastAsia" w:cs="Times New Roman"/>
          <w:kern w:val="0"/>
          <w:sz w:val="36"/>
          <w:szCs w:val="36"/>
        </w:rPr>
        <w:br w:type="page"/>
      </w:r>
    </w:p>
    <w:p w:rsidR="00E0465E" w:rsidRDefault="00000000">
      <w:pPr>
        <w:widowControl/>
        <w:jc w:val="center"/>
        <w:rPr>
          <w:rFonts w:asciiTheme="minorEastAsia" w:hAnsiTheme="minorEastAsia" w:cs="Times New Roman" w:hint="eastAsia"/>
          <w:color w:val="000000"/>
          <w:kern w:val="0"/>
          <w:sz w:val="20"/>
          <w:szCs w:val="20"/>
        </w:rPr>
      </w:pPr>
      <w:r>
        <w:rPr>
          <w:rFonts w:ascii="华文中宋" w:eastAsia="华文中宋" w:hAnsi="华文中宋" w:cs="宋体" w:hint="eastAsia"/>
          <w:color w:val="000000"/>
          <w:kern w:val="0"/>
          <w:sz w:val="32"/>
          <w:szCs w:val="32"/>
        </w:rPr>
        <w:lastRenderedPageBreak/>
        <w:t>一般公共预算财政拨款支出决算表</w:t>
      </w:r>
      <w:bookmarkEnd w:id="1"/>
      <w:r>
        <w:rPr>
          <w:rFonts w:ascii="华文中宋" w:eastAsia="华文中宋" w:hAnsi="华文中宋" w:cs="宋体" w:hint="eastAsia"/>
          <w:color w:val="000000"/>
          <w:kern w:val="0"/>
          <w:sz w:val="32"/>
          <w:szCs w:val="32"/>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p>
    <w:tbl>
      <w:tblPr>
        <w:tblW w:w="4938" w:type="pct"/>
        <w:jc w:val="center"/>
        <w:tblLook w:val="04A0" w:firstRow="1" w:lastRow="0" w:firstColumn="1" w:lastColumn="0" w:noHBand="0" w:noVBand="1"/>
      </w:tblPr>
      <w:tblGrid>
        <w:gridCol w:w="1067"/>
        <w:gridCol w:w="4472"/>
        <w:gridCol w:w="3254"/>
        <w:gridCol w:w="3269"/>
        <w:gridCol w:w="3358"/>
      </w:tblGrid>
      <w:tr w:rsidR="00E0465E">
        <w:trPr>
          <w:trHeight w:val="405"/>
          <w:jc w:val="center"/>
        </w:trPr>
        <w:tc>
          <w:tcPr>
            <w:tcW w:w="1796" w:type="pct"/>
            <w:gridSpan w:val="2"/>
            <w:tcBorders>
              <w:top w:val="nil"/>
              <w:left w:val="nil"/>
              <w:bottom w:val="nil"/>
              <w:right w:val="nil"/>
            </w:tcBorders>
            <w:shd w:val="clear" w:color="auto" w:fill="auto"/>
            <w:vAlign w:val="center"/>
          </w:tcPr>
          <w:p w:rsidR="00E0465E" w:rsidRDefault="00E0465E">
            <w:pPr>
              <w:widowControl/>
              <w:jc w:val="left"/>
              <w:rPr>
                <w:rFonts w:ascii="Times New Roman" w:hAnsi="Times New Roman" w:cs="Times New Roman"/>
                <w:color w:val="000000"/>
                <w:kern w:val="0"/>
                <w:szCs w:val="21"/>
              </w:rPr>
            </w:pPr>
          </w:p>
        </w:tc>
        <w:tc>
          <w:tcPr>
            <w:tcW w:w="3203" w:type="pct"/>
            <w:gridSpan w:val="3"/>
            <w:tcBorders>
              <w:top w:val="nil"/>
              <w:left w:val="nil"/>
              <w:bottom w:val="nil"/>
              <w:right w:val="nil"/>
            </w:tcBorders>
            <w:shd w:val="clear" w:color="auto" w:fill="auto"/>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05</w:t>
            </w:r>
            <w:r>
              <w:rPr>
                <w:rFonts w:ascii="Times New Roman" w:hAnsi="Times New Roman" w:cs="Times New Roman"/>
                <w:color w:val="000000"/>
                <w:kern w:val="0"/>
                <w:szCs w:val="21"/>
              </w:rPr>
              <w:t>表</w:t>
            </w:r>
          </w:p>
        </w:tc>
      </w:tr>
      <w:tr w:rsidR="00E0465E">
        <w:trPr>
          <w:trHeight w:val="405"/>
          <w:jc w:val="center"/>
        </w:trPr>
        <w:tc>
          <w:tcPr>
            <w:tcW w:w="1796" w:type="pct"/>
            <w:gridSpan w:val="2"/>
            <w:tcBorders>
              <w:top w:val="nil"/>
              <w:left w:val="nil"/>
              <w:bottom w:val="single" w:sz="4" w:space="0" w:color="auto"/>
              <w:right w:val="nil"/>
            </w:tcBorders>
            <w:shd w:val="clear" w:color="auto" w:fill="auto"/>
            <w:vAlign w:val="center"/>
          </w:tcPr>
          <w:p w:rsidR="00E0465E" w:rsidRDefault="00000000">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祁阳市机关事务服务中心</w:t>
            </w:r>
          </w:p>
        </w:tc>
        <w:tc>
          <w:tcPr>
            <w:tcW w:w="3203" w:type="pct"/>
            <w:gridSpan w:val="3"/>
            <w:tcBorders>
              <w:top w:val="nil"/>
              <w:left w:val="nil"/>
              <w:bottom w:val="single" w:sz="4" w:space="0" w:color="auto"/>
              <w:right w:val="nil"/>
            </w:tcBorders>
            <w:shd w:val="clear" w:color="auto" w:fill="auto"/>
            <w:vAlign w:val="center"/>
          </w:tcPr>
          <w:p w:rsidR="00E0465E" w:rsidRDefault="00000000">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rsidR="00E0465E">
        <w:trPr>
          <w:trHeight w:val="340"/>
          <w:jc w:val="center"/>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项</w:t>
            </w:r>
            <w:r>
              <w:rPr>
                <w:rFonts w:ascii="Times New Roman" w:hAnsi="Times New Roman" w:cs="Times New Roman"/>
                <w:bCs/>
                <w:kern w:val="0"/>
                <w:szCs w:val="21"/>
              </w:rPr>
              <w:t xml:space="preserve">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rsidR="00E0465E">
        <w:trPr>
          <w:trHeight w:val="340"/>
          <w:jc w:val="center"/>
        </w:trPr>
        <w:tc>
          <w:tcPr>
            <w:tcW w:w="346" w:type="pct"/>
            <w:vMerge w:val="restart"/>
            <w:tcBorders>
              <w:top w:val="single" w:sz="4" w:space="0" w:color="auto"/>
              <w:left w:val="single" w:sz="8" w:space="0" w:color="auto"/>
              <w:right w:val="single" w:sz="4" w:space="0" w:color="auto"/>
            </w:tcBorders>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49" w:type="pct"/>
            <w:vMerge w:val="restart"/>
            <w:tcBorders>
              <w:top w:val="single" w:sz="4" w:space="0" w:color="auto"/>
              <w:left w:val="single" w:sz="4" w:space="0" w:color="auto"/>
              <w:right w:val="single" w:sz="4" w:space="0" w:color="auto"/>
            </w:tcBorders>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5" w:type="pct"/>
            <w:vMerge w:val="restart"/>
            <w:tcBorders>
              <w:top w:val="single" w:sz="4" w:space="0" w:color="auto"/>
              <w:left w:val="single" w:sz="4" w:space="0" w:color="auto"/>
              <w:right w:val="single" w:sz="4" w:space="0" w:color="auto"/>
            </w:tcBorders>
            <w:vAlign w:val="center"/>
          </w:tcPr>
          <w:p w:rsidR="00E0465E"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60" w:type="pct"/>
            <w:vMerge w:val="restart"/>
            <w:tcBorders>
              <w:top w:val="single" w:sz="4" w:space="0" w:color="auto"/>
              <w:left w:val="single" w:sz="4" w:space="0" w:color="auto"/>
              <w:right w:val="single" w:sz="4" w:space="0" w:color="auto"/>
            </w:tcBorders>
            <w:vAlign w:val="center"/>
          </w:tcPr>
          <w:p w:rsidR="00E0465E"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088" w:type="pct"/>
            <w:vMerge w:val="restart"/>
            <w:tcBorders>
              <w:top w:val="single" w:sz="4" w:space="0" w:color="auto"/>
              <w:left w:val="single" w:sz="4" w:space="0" w:color="auto"/>
              <w:right w:val="single" w:sz="8" w:space="0" w:color="auto"/>
            </w:tcBorders>
            <w:vAlign w:val="center"/>
          </w:tcPr>
          <w:p w:rsidR="00E0465E"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rsidR="00E0465E">
        <w:trPr>
          <w:trHeight w:val="340"/>
          <w:jc w:val="center"/>
        </w:trPr>
        <w:tc>
          <w:tcPr>
            <w:tcW w:w="346" w:type="pct"/>
            <w:vMerge/>
            <w:tcBorders>
              <w:top w:val="single" w:sz="4" w:space="0" w:color="auto"/>
              <w:left w:val="single" w:sz="8" w:space="0" w:color="auto"/>
              <w:bottom w:val="single" w:sz="4" w:space="0" w:color="auto"/>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144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1055"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1060"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1088" w:type="pct"/>
            <w:vMerge/>
            <w:tcBorders>
              <w:top w:val="single" w:sz="4" w:space="0" w:color="auto"/>
              <w:left w:val="single" w:sz="4" w:space="0" w:color="auto"/>
              <w:bottom w:val="single" w:sz="4" w:space="0" w:color="auto"/>
              <w:right w:val="single" w:sz="8" w:space="0" w:color="auto"/>
            </w:tcBorders>
            <w:vAlign w:val="center"/>
          </w:tcPr>
          <w:p w:rsidR="00E0465E" w:rsidRDefault="00E0465E">
            <w:pPr>
              <w:widowControl/>
              <w:jc w:val="left"/>
              <w:rPr>
                <w:rFonts w:ascii="Times New Roman" w:hAnsi="Times New Roman" w:cs="Times New Roman"/>
                <w:kern w:val="0"/>
                <w:szCs w:val="21"/>
              </w:rPr>
            </w:pPr>
          </w:p>
        </w:tc>
      </w:tr>
      <w:tr w:rsidR="00E0465E">
        <w:trPr>
          <w:trHeight w:val="340"/>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5"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60"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8" w:type="pct"/>
            <w:tcBorders>
              <w:top w:val="single" w:sz="4" w:space="0" w:color="auto"/>
              <w:left w:val="nil"/>
              <w:bottom w:val="single" w:sz="4" w:space="0" w:color="auto"/>
              <w:right w:val="single" w:sz="8"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rsidR="00E0465E">
        <w:trPr>
          <w:trHeight w:val="340"/>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b/>
                <w:bCs/>
                <w:szCs w:val="21"/>
              </w:rPr>
              <w:t>1220.99</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b/>
                <w:bCs/>
                <w:color w:val="000000"/>
                <w:kern w:val="0"/>
                <w:sz w:val="22"/>
                <w:lang w:bidi="ar"/>
              </w:rPr>
              <w:t>1220.99</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b/>
                <w:bCs/>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w:t>
            </w:r>
          </w:p>
        </w:tc>
        <w:tc>
          <w:tcPr>
            <w:tcW w:w="4472" w:type="dxa"/>
            <w:tcBorders>
              <w:top w:val="nil"/>
              <w:left w:val="nil"/>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一般公共服务支出</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1166.75</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1166.75</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20103</w:t>
            </w:r>
          </w:p>
        </w:tc>
        <w:tc>
          <w:tcPr>
            <w:tcW w:w="4472" w:type="dxa"/>
            <w:tcBorders>
              <w:top w:val="nil"/>
              <w:left w:val="nil"/>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政府办公厅（室）及相关机构事务</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1166.75</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1166.75</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2010301</w:t>
            </w:r>
          </w:p>
        </w:tc>
        <w:tc>
          <w:tcPr>
            <w:tcW w:w="4472" w:type="dxa"/>
            <w:tcBorders>
              <w:top w:val="nil"/>
              <w:left w:val="nil"/>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行政运行</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3.78</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3.78</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2010303</w:t>
            </w:r>
          </w:p>
        </w:tc>
        <w:tc>
          <w:tcPr>
            <w:tcW w:w="4472" w:type="dxa"/>
            <w:tcBorders>
              <w:top w:val="nil"/>
              <w:left w:val="nil"/>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机关服务</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1153.79</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1153.79</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2010305</w:t>
            </w:r>
          </w:p>
        </w:tc>
        <w:tc>
          <w:tcPr>
            <w:tcW w:w="4472" w:type="dxa"/>
            <w:tcBorders>
              <w:top w:val="nil"/>
              <w:left w:val="nil"/>
              <w:bottom w:val="single" w:sz="4"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专项业务及机关事务管理</w:t>
            </w:r>
          </w:p>
        </w:tc>
        <w:tc>
          <w:tcPr>
            <w:tcW w:w="3254"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w:t>
            </w:r>
          </w:p>
        </w:tc>
        <w:tc>
          <w:tcPr>
            <w:tcW w:w="3269" w:type="dxa"/>
            <w:tcBorders>
              <w:top w:val="nil"/>
              <w:left w:val="nil"/>
              <w:bottom w:val="single" w:sz="4"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w:t>
            </w:r>
          </w:p>
        </w:tc>
        <w:tc>
          <w:tcPr>
            <w:tcW w:w="3358" w:type="dxa"/>
            <w:tcBorders>
              <w:top w:val="nil"/>
              <w:left w:val="nil"/>
              <w:bottom w:val="single" w:sz="4"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2010399</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其他政府办公厅（室）及相关机构事务支出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7.18</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7.18</w:t>
            </w:r>
          </w:p>
        </w:tc>
        <w:tc>
          <w:tcPr>
            <w:tcW w:w="3358" w:type="dxa"/>
            <w:tcBorders>
              <w:top w:val="nil"/>
              <w:left w:val="nil"/>
              <w:bottom w:val="single" w:sz="8"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社会保障和就业支出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25.31</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25.31</w:t>
            </w:r>
          </w:p>
        </w:tc>
        <w:tc>
          <w:tcPr>
            <w:tcW w:w="3358" w:type="dxa"/>
            <w:tcBorders>
              <w:top w:val="nil"/>
              <w:left w:val="nil"/>
              <w:bottom w:val="single" w:sz="8"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20805</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行政事业单位养老支出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24.79</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24.79</w:t>
            </w:r>
          </w:p>
        </w:tc>
        <w:tc>
          <w:tcPr>
            <w:tcW w:w="3358" w:type="dxa"/>
            <w:tcBorders>
              <w:top w:val="nil"/>
              <w:left w:val="nil"/>
              <w:bottom w:val="single" w:sz="8" w:space="0" w:color="auto"/>
              <w:right w:val="single" w:sz="8"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2080505</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机关事业单位基本养老保险缴费支出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24.79</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24.79</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20899</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其他社会保障和就业支出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0.52</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0.52</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2089999</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其他社会保障和就业支出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0.52</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0.52</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卫生健康支出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21011</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行政事业单位医疗</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2101102</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事业单位医疗</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10.34</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221</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住房保障支出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22102</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住房改革支出</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340"/>
          <w:jc w:val="center"/>
        </w:trPr>
        <w:tc>
          <w:tcPr>
            <w:tcW w:w="1067" w:type="dxa"/>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2210201</w:t>
            </w:r>
          </w:p>
        </w:tc>
        <w:tc>
          <w:tcPr>
            <w:tcW w:w="4472" w:type="dxa"/>
            <w:tcBorders>
              <w:top w:val="nil"/>
              <w:left w:val="nil"/>
              <w:bottom w:val="single" w:sz="8" w:space="0" w:color="auto"/>
              <w:right w:val="single" w:sz="4" w:space="0" w:color="auto"/>
            </w:tcBorders>
            <w:shd w:val="clear" w:color="auto" w:fill="auto"/>
            <w:vAlign w:val="center"/>
          </w:tcPr>
          <w:p w:rsidR="00E0465E"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住房公积金</w:t>
            </w:r>
          </w:p>
        </w:tc>
        <w:tc>
          <w:tcPr>
            <w:tcW w:w="3254"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3269" w:type="dxa"/>
            <w:tcBorders>
              <w:top w:val="nil"/>
              <w:left w:val="nil"/>
              <w:bottom w:val="single" w:sz="8" w:space="0" w:color="auto"/>
              <w:right w:val="single" w:sz="4" w:space="0" w:color="auto"/>
            </w:tcBorders>
            <w:shd w:val="clear" w:color="auto" w:fill="auto"/>
            <w:vAlign w:val="center"/>
          </w:tcPr>
          <w:p w:rsidR="00E0465E"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18.59</w:t>
            </w:r>
          </w:p>
        </w:tc>
        <w:tc>
          <w:tcPr>
            <w:tcW w:w="1088" w:type="pct"/>
            <w:tcBorders>
              <w:top w:val="nil"/>
              <w:left w:val="nil"/>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宋体" w:eastAsia="宋体" w:hAnsi="宋体" w:cs="宋体" w:hint="eastAsia"/>
                <w:color w:val="000000"/>
                <w:kern w:val="0"/>
                <w:sz w:val="22"/>
                <w:lang w:bidi="ar"/>
              </w:rPr>
              <w:t>0.00</w:t>
            </w:r>
          </w:p>
        </w:tc>
      </w:tr>
      <w:tr w:rsidR="00E0465E">
        <w:trPr>
          <w:trHeight w:val="645"/>
          <w:jc w:val="center"/>
        </w:trPr>
        <w:tc>
          <w:tcPr>
            <w:tcW w:w="5000" w:type="pct"/>
            <w:gridSpan w:val="5"/>
            <w:tcBorders>
              <w:top w:val="nil"/>
              <w:left w:val="nil"/>
              <w:bottom w:val="nil"/>
              <w:right w:val="nil"/>
            </w:tcBorders>
            <w:shd w:val="clear" w:color="auto" w:fill="auto"/>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rsidR="00E0465E"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lastRenderedPageBreak/>
        <w:br w:type="page"/>
      </w:r>
    </w:p>
    <w:tbl>
      <w:tblPr>
        <w:tblW w:w="5045" w:type="pct"/>
        <w:jc w:val="center"/>
        <w:tblLayout w:type="fixed"/>
        <w:tblLook w:val="04A0" w:firstRow="1" w:lastRow="0" w:firstColumn="1" w:lastColumn="0" w:noHBand="0" w:noVBand="1"/>
      </w:tblPr>
      <w:tblGrid>
        <w:gridCol w:w="1064"/>
        <w:gridCol w:w="3290"/>
        <w:gridCol w:w="939"/>
        <w:gridCol w:w="1109"/>
        <w:gridCol w:w="2319"/>
        <w:gridCol w:w="898"/>
        <w:gridCol w:w="1078"/>
        <w:gridCol w:w="4169"/>
        <w:gridCol w:w="889"/>
      </w:tblGrid>
      <w:tr w:rsidR="00E0465E">
        <w:trPr>
          <w:trHeight w:val="113"/>
          <w:jc w:val="center"/>
        </w:trPr>
        <w:tc>
          <w:tcPr>
            <w:tcW w:w="5000" w:type="pct"/>
            <w:gridSpan w:val="9"/>
            <w:tcBorders>
              <w:top w:val="nil"/>
              <w:left w:val="nil"/>
              <w:bottom w:val="nil"/>
              <w:right w:val="nil"/>
            </w:tcBorders>
            <w:shd w:val="clear" w:color="auto" w:fill="auto"/>
            <w:noWrap/>
            <w:vAlign w:val="center"/>
          </w:tcPr>
          <w:p w:rsidR="00E0465E" w:rsidRDefault="00000000">
            <w:pPr>
              <w:widowControl/>
              <w:jc w:val="center"/>
              <w:rPr>
                <w:rFonts w:asciiTheme="minorEastAsia" w:hAnsiTheme="minorEastAsia" w:cs="宋体" w:hint="eastAsia"/>
                <w:color w:val="000000"/>
                <w:kern w:val="0"/>
                <w:szCs w:val="32"/>
              </w:rPr>
            </w:pPr>
            <w:r>
              <w:rPr>
                <w:rFonts w:ascii="华文中宋" w:eastAsia="华文中宋" w:hAnsi="华文中宋" w:cs="宋体" w:hint="eastAsia"/>
                <w:color w:val="000000"/>
                <w:kern w:val="0"/>
                <w:sz w:val="32"/>
                <w:szCs w:val="32"/>
              </w:rPr>
              <w:lastRenderedPageBreak/>
              <w:br w:type="page"/>
            </w:r>
            <w:bookmarkStart w:id="2" w:name="RANGE!A1:I34"/>
            <w:r>
              <w:rPr>
                <w:rFonts w:ascii="华文中宋" w:eastAsia="华文中宋" w:hAnsi="华文中宋" w:cs="宋体" w:hint="eastAsia"/>
                <w:color w:val="000000"/>
                <w:kern w:val="0"/>
                <w:sz w:val="32"/>
                <w:szCs w:val="32"/>
              </w:rPr>
              <w:t>一般公共预算财政拨款基本支出决算明细表</w:t>
            </w:r>
            <w:bookmarkEnd w:id="2"/>
          </w:p>
        </w:tc>
      </w:tr>
      <w:tr w:rsidR="00E0465E">
        <w:trPr>
          <w:trHeight w:val="113"/>
          <w:jc w:val="center"/>
        </w:trPr>
        <w:tc>
          <w:tcPr>
            <w:tcW w:w="5000" w:type="pct"/>
            <w:gridSpan w:val="9"/>
            <w:tcBorders>
              <w:top w:val="nil"/>
              <w:left w:val="nil"/>
              <w:bottom w:val="nil"/>
              <w:right w:val="nil"/>
            </w:tcBorders>
            <w:shd w:val="clear" w:color="auto" w:fill="auto"/>
            <w:noWrap/>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E0465E">
        <w:trPr>
          <w:trHeight w:val="113"/>
          <w:jc w:val="center"/>
        </w:trPr>
        <w:tc>
          <w:tcPr>
            <w:tcW w:w="1680" w:type="pct"/>
            <w:gridSpan w:val="3"/>
            <w:tcBorders>
              <w:top w:val="nil"/>
              <w:left w:val="nil"/>
              <w:bottom w:val="single" w:sz="4" w:space="0" w:color="auto"/>
              <w:right w:val="nil"/>
            </w:tcBorders>
            <w:shd w:val="clear" w:color="auto" w:fill="auto"/>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祁阳市机关事务服务中心</w:t>
            </w:r>
          </w:p>
        </w:tc>
        <w:tc>
          <w:tcPr>
            <w:tcW w:w="352" w:type="pct"/>
            <w:tcBorders>
              <w:top w:val="nil"/>
              <w:left w:val="nil"/>
              <w:bottom w:val="single" w:sz="4" w:space="0" w:color="auto"/>
              <w:right w:val="nil"/>
            </w:tcBorders>
            <w:shd w:val="clear" w:color="auto" w:fill="auto"/>
            <w:vAlign w:val="center"/>
          </w:tcPr>
          <w:p w:rsidR="00E0465E" w:rsidRDefault="00E0465E">
            <w:pPr>
              <w:widowControl/>
              <w:jc w:val="center"/>
              <w:rPr>
                <w:rFonts w:ascii="Times New Roman" w:hAnsi="Times New Roman" w:cs="Times New Roman"/>
                <w:color w:val="000000"/>
                <w:kern w:val="0"/>
                <w:szCs w:val="21"/>
              </w:rPr>
            </w:pPr>
          </w:p>
        </w:tc>
        <w:tc>
          <w:tcPr>
            <w:tcW w:w="736" w:type="pct"/>
            <w:tcBorders>
              <w:top w:val="nil"/>
              <w:left w:val="nil"/>
              <w:bottom w:val="single" w:sz="4" w:space="0" w:color="auto"/>
              <w:right w:val="nil"/>
            </w:tcBorders>
            <w:shd w:val="clear" w:color="auto" w:fill="auto"/>
            <w:vAlign w:val="center"/>
          </w:tcPr>
          <w:p w:rsidR="00E0465E" w:rsidRDefault="00E0465E">
            <w:pPr>
              <w:widowControl/>
              <w:jc w:val="center"/>
              <w:rPr>
                <w:rFonts w:ascii="Times New Roman" w:hAnsi="Times New Roman" w:cs="Times New Roman"/>
                <w:color w:val="000000"/>
                <w:kern w:val="0"/>
                <w:szCs w:val="21"/>
              </w:rPr>
            </w:pPr>
          </w:p>
        </w:tc>
        <w:tc>
          <w:tcPr>
            <w:tcW w:w="285" w:type="pct"/>
            <w:tcBorders>
              <w:top w:val="nil"/>
              <w:left w:val="nil"/>
              <w:bottom w:val="single" w:sz="4" w:space="0" w:color="auto"/>
              <w:right w:val="nil"/>
            </w:tcBorders>
            <w:shd w:val="clear" w:color="auto" w:fill="auto"/>
            <w:vAlign w:val="center"/>
          </w:tcPr>
          <w:p w:rsidR="00E0465E" w:rsidRDefault="00E0465E">
            <w:pPr>
              <w:widowControl/>
              <w:jc w:val="center"/>
              <w:rPr>
                <w:rFonts w:ascii="Times New Roman" w:hAnsi="Times New Roman" w:cs="Times New Roman"/>
                <w:color w:val="000000"/>
                <w:kern w:val="0"/>
                <w:szCs w:val="21"/>
              </w:rPr>
            </w:pPr>
          </w:p>
        </w:tc>
        <w:tc>
          <w:tcPr>
            <w:tcW w:w="342" w:type="pct"/>
            <w:tcBorders>
              <w:top w:val="nil"/>
              <w:left w:val="nil"/>
              <w:bottom w:val="single" w:sz="4" w:space="0" w:color="auto"/>
              <w:right w:val="nil"/>
            </w:tcBorders>
            <w:shd w:val="clear" w:color="auto" w:fill="auto"/>
            <w:vAlign w:val="center"/>
          </w:tcPr>
          <w:p w:rsidR="00E0465E" w:rsidRDefault="00E0465E">
            <w:pPr>
              <w:widowControl/>
              <w:jc w:val="center"/>
              <w:rPr>
                <w:rFonts w:ascii="Times New Roman" w:hAnsi="Times New Roman" w:cs="Times New Roman"/>
                <w:color w:val="000000"/>
                <w:kern w:val="0"/>
                <w:szCs w:val="21"/>
              </w:rPr>
            </w:pPr>
          </w:p>
        </w:tc>
        <w:tc>
          <w:tcPr>
            <w:tcW w:w="1602" w:type="pct"/>
            <w:gridSpan w:val="2"/>
            <w:tcBorders>
              <w:top w:val="nil"/>
              <w:left w:val="nil"/>
              <w:bottom w:val="single" w:sz="4" w:space="0" w:color="auto"/>
              <w:right w:val="nil"/>
            </w:tcBorders>
            <w:shd w:val="clear" w:color="auto" w:fill="auto"/>
            <w:vAlign w:val="center"/>
          </w:tcPr>
          <w:p w:rsidR="00E0465E"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E0465E">
        <w:trPr>
          <w:trHeight w:val="510"/>
          <w:jc w:val="cent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rsidR="00E0465E">
        <w:trPr>
          <w:trHeight w:hRule="exact" w:val="266"/>
          <w:jc w:val="center"/>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43"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473.53</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36"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85"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Cs w:val="21"/>
                <w:lang w:bidi="ar"/>
              </w:rPr>
              <w:t>747.46</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21"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基本工资</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81.62</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3.69</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国内债务付息</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津贴补贴</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60.84</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印刷费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1.93</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国外债务付息</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奖金</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38.65</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咨询费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伙食补助费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153.97</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手续费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房屋建筑物购建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绩效工资</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水费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17.1</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办公设备购置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机关事业单位基本养老保险缴费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24.79</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电费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173.88</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专用设备购置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职业年金缴费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邮电费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12</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基础设施建设</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职工基本医疗保险缴费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10.34</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取暖费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大型修缮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公务员医疗补助缴费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物业管理费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信息网络及软件购置更新</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其他社会保障缴费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0.52</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差旅费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2.68</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物资储备</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住房公积金</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18.59</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因公出国（境）费用</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土地补偿</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维修（护）费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75.57</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安置补助</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其他工资福利支出</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84.2</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租赁费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5.56</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地上附着物和青苗补偿</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会议费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1.22</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拆迁补偿</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离休费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培训费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0.09</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退休费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公务接待费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4.56</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其他交通工具购置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退职（役）费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专用材料费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3.12</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文物和陈列品购置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抚恤金</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被装购置费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无形资产购置</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生活补助</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专用燃料费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其他资本性支出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救济费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劳务费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12.46</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医疗费补助</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委托业务费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赠与</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助学金</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工会经费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11.76</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国家赔偿费用支出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奖励金</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福利费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1.76</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对民间非营利组织和群众性自治组织补</w:t>
            </w:r>
            <w:r>
              <w:rPr>
                <w:rFonts w:ascii="Times New Roman" w:hAnsi="Times New Roman" w:cs="Times New Roman"/>
                <w:color w:val="000000"/>
                <w:kern w:val="0"/>
                <w:szCs w:val="21"/>
              </w:rPr>
              <w:t>贴</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个人农业生产补贴</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公务用车运行维护费</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210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其他支出</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代缴社会保险费</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其他交通费用</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7.75</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其他对个人和家庭的补助</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税金及附加费用</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0.00</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80" w:type="pct"/>
            <w:tcBorders>
              <w:top w:val="nil"/>
              <w:left w:val="nil"/>
              <w:bottom w:val="single" w:sz="4" w:space="0" w:color="auto"/>
              <w:right w:val="single" w:sz="4" w:space="0" w:color="auto"/>
            </w:tcBorders>
            <w:shd w:val="clear" w:color="auto" w:fill="auto"/>
            <w:noWrap/>
            <w:vAlign w:val="center"/>
          </w:tcPr>
          <w:p w:rsidR="00E0465E" w:rsidRDefault="00E0465E">
            <w:pPr>
              <w:jc w:val="right"/>
              <w:rPr>
                <w:rFonts w:ascii="Times New Roman" w:hAnsi="Times New Roman" w:cs="Times New Roman"/>
                <w:color w:val="000000"/>
                <w:kern w:val="0"/>
                <w:szCs w:val="21"/>
              </w:rPr>
            </w:pPr>
          </w:p>
        </w:tc>
      </w:tr>
      <w:tr w:rsidR="00E0465E">
        <w:trPr>
          <w:trHeight w:hRule="exact" w:val="266"/>
          <w:jc w:val="center"/>
        </w:trPr>
        <w:tc>
          <w:tcPr>
            <w:tcW w:w="338" w:type="pct"/>
            <w:tcBorders>
              <w:top w:val="nil"/>
              <w:left w:val="single" w:sz="4" w:space="0" w:color="auto"/>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043"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98" w:type="pct"/>
            <w:tcBorders>
              <w:top w:val="nil"/>
              <w:left w:val="nil"/>
              <w:bottom w:val="single" w:sz="4" w:space="0" w:color="auto"/>
              <w:right w:val="single" w:sz="4" w:space="0" w:color="auto"/>
            </w:tcBorders>
            <w:shd w:val="clear" w:color="auto" w:fill="auto"/>
            <w:noWrap/>
            <w:vAlign w:val="center"/>
          </w:tcPr>
          <w:p w:rsidR="00E0465E" w:rsidRDefault="00E0465E">
            <w:pPr>
              <w:jc w:val="right"/>
              <w:rPr>
                <w:rFonts w:ascii="Times New Roman" w:hAnsi="Times New Roman" w:cs="Times New Roman"/>
                <w:color w:val="000000"/>
                <w:kern w:val="0"/>
                <w:szCs w:val="21"/>
              </w:rPr>
            </w:pPr>
          </w:p>
        </w:tc>
        <w:tc>
          <w:tcPr>
            <w:tcW w:w="35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36"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其他商品和服务支出</w:t>
            </w:r>
          </w:p>
        </w:tc>
        <w:tc>
          <w:tcPr>
            <w:tcW w:w="285"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202.31</w:t>
            </w:r>
          </w:p>
        </w:tc>
        <w:tc>
          <w:tcPr>
            <w:tcW w:w="342"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21"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80" w:type="pct"/>
            <w:tcBorders>
              <w:top w:val="nil"/>
              <w:left w:val="nil"/>
              <w:bottom w:val="single" w:sz="4" w:space="0" w:color="auto"/>
              <w:right w:val="single" w:sz="4" w:space="0" w:color="auto"/>
            </w:tcBorders>
            <w:shd w:val="clear" w:color="auto" w:fill="auto"/>
            <w:noWrap/>
            <w:vAlign w:val="center"/>
          </w:tcPr>
          <w:p w:rsidR="00E0465E" w:rsidRDefault="00E0465E">
            <w:pPr>
              <w:jc w:val="right"/>
              <w:rPr>
                <w:rFonts w:ascii="Times New Roman" w:hAnsi="Times New Roman" w:cs="Times New Roman"/>
                <w:color w:val="000000"/>
                <w:kern w:val="0"/>
                <w:szCs w:val="21"/>
              </w:rPr>
            </w:pPr>
          </w:p>
        </w:tc>
      </w:tr>
      <w:tr w:rsidR="00E0465E">
        <w:trPr>
          <w:trHeight w:hRule="exact" w:val="266"/>
          <w:jc w:val="center"/>
        </w:trPr>
        <w:tc>
          <w:tcPr>
            <w:tcW w:w="1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298"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473.53</w:t>
            </w:r>
          </w:p>
        </w:tc>
        <w:tc>
          <w:tcPr>
            <w:tcW w:w="3038" w:type="pct"/>
            <w:gridSpan w:val="5"/>
            <w:tcBorders>
              <w:top w:val="single" w:sz="4" w:space="0" w:color="auto"/>
              <w:left w:val="nil"/>
              <w:bottom w:val="single" w:sz="4" w:space="0" w:color="auto"/>
              <w:right w:val="single" w:sz="4" w:space="0" w:color="auto"/>
            </w:tcBorders>
            <w:shd w:val="clear" w:color="auto" w:fill="auto"/>
            <w:noWrap/>
            <w:vAlign w:val="center"/>
          </w:tcPr>
          <w:p w:rsidR="00E0465E"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80" w:type="pct"/>
            <w:tcBorders>
              <w:top w:val="nil"/>
              <w:left w:val="nil"/>
              <w:bottom w:val="single" w:sz="4" w:space="0" w:color="auto"/>
              <w:right w:val="single" w:sz="4" w:space="0" w:color="auto"/>
            </w:tcBorders>
            <w:shd w:val="clear" w:color="auto" w:fill="auto"/>
            <w:noWrap/>
            <w:vAlign w:val="center"/>
          </w:tcPr>
          <w:p w:rsidR="00E0465E" w:rsidRDefault="00000000">
            <w:pPr>
              <w:widowControl/>
              <w:jc w:val="right"/>
              <w:textAlignment w:val="center"/>
              <w:rPr>
                <w:rFonts w:ascii="Times New Roman" w:hAnsi="Times New Roman" w:cs="Times New Roman"/>
                <w:color w:val="000000"/>
                <w:kern w:val="0"/>
                <w:szCs w:val="21"/>
              </w:rPr>
            </w:pPr>
            <w:r>
              <w:rPr>
                <w:rFonts w:ascii="宋体" w:eastAsia="宋体" w:hAnsi="宋体" w:cs="宋体" w:hint="eastAsia"/>
                <w:color w:val="000000"/>
                <w:kern w:val="0"/>
                <w:sz w:val="22"/>
                <w:lang w:bidi="ar"/>
              </w:rPr>
              <w:t>747.46</w:t>
            </w:r>
          </w:p>
        </w:tc>
      </w:tr>
      <w:tr w:rsidR="00E0465E">
        <w:trPr>
          <w:trHeight w:hRule="exact" w:val="266"/>
          <w:jc w:val="center"/>
        </w:trPr>
        <w:tc>
          <w:tcPr>
            <w:tcW w:w="5000" w:type="pct"/>
            <w:gridSpan w:val="9"/>
            <w:tcBorders>
              <w:top w:val="nil"/>
              <w:left w:val="nil"/>
              <w:bottom w:val="nil"/>
              <w:right w:val="nil"/>
            </w:tcBorders>
            <w:shd w:val="clear" w:color="auto" w:fill="auto"/>
            <w:noWrap/>
            <w:vAlign w:val="center"/>
          </w:tcPr>
          <w:p w:rsidR="00E0465E"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kern w:val="0"/>
          <w:sz w:val="24"/>
          <w:szCs w:val="24"/>
        </w:rPr>
        <w:lastRenderedPageBreak/>
        <w:br w:type="page"/>
      </w:r>
    </w:p>
    <w:p w:rsidR="00E0465E"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宋体" w:hint="eastAsia"/>
          <w:color w:val="000000"/>
          <w:kern w:val="0"/>
          <w:sz w:val="32"/>
          <w:szCs w:val="32"/>
        </w:rPr>
        <w:lastRenderedPageBreak/>
        <w:t xml:space="preserve">政府性基金预算财政拨款收入支出决算表  </w:t>
      </w:r>
      <w:r>
        <w:rPr>
          <w:rFonts w:asciiTheme="minorEastAsia" w:hAnsiTheme="minorEastAsia" w:cs="Times New Roman"/>
          <w:color w:val="000000"/>
          <w:kern w:val="0"/>
          <w:szCs w:val="21"/>
        </w:rPr>
        <w:t xml:space="preserve">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5"/>
        <w:gridCol w:w="3933"/>
        <w:gridCol w:w="1720"/>
        <w:gridCol w:w="1719"/>
        <w:gridCol w:w="1713"/>
        <w:gridCol w:w="1719"/>
        <w:gridCol w:w="1732"/>
        <w:gridCol w:w="1732"/>
      </w:tblGrid>
      <w:tr w:rsidR="00E0465E">
        <w:trPr>
          <w:trHeight w:val="454"/>
          <w:jc w:val="center"/>
        </w:trPr>
        <w:tc>
          <w:tcPr>
            <w:tcW w:w="1651" w:type="pct"/>
            <w:gridSpan w:val="2"/>
            <w:tcBorders>
              <w:top w:val="nil"/>
              <w:left w:val="nil"/>
              <w:bottom w:val="nil"/>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557" w:type="pct"/>
            <w:tcBorders>
              <w:top w:val="nil"/>
              <w:left w:val="nil"/>
              <w:bottom w:val="nil"/>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557" w:type="pct"/>
            <w:tcBorders>
              <w:top w:val="nil"/>
              <w:left w:val="nil"/>
              <w:bottom w:val="nil"/>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1673" w:type="pct"/>
            <w:gridSpan w:val="3"/>
            <w:tcBorders>
              <w:top w:val="nil"/>
              <w:left w:val="nil"/>
              <w:bottom w:val="nil"/>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561" w:type="pct"/>
            <w:tcBorders>
              <w:top w:val="nil"/>
              <w:left w:val="nil"/>
              <w:bottom w:val="nil"/>
              <w:right w:val="nil"/>
            </w:tcBorders>
            <w:shd w:val="clear" w:color="auto" w:fill="auto"/>
            <w:vAlign w:val="center"/>
          </w:tcPr>
          <w:p w:rsidR="00E0465E"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公开0</w:t>
            </w:r>
            <w:r>
              <w:rPr>
                <w:rFonts w:asciiTheme="minorEastAsia" w:hAnsiTheme="minorEastAsia" w:cs="Times New Roman" w:hint="eastAsia"/>
                <w:color w:val="000000"/>
                <w:kern w:val="0"/>
                <w:szCs w:val="21"/>
              </w:rPr>
              <w:t>7</w:t>
            </w:r>
            <w:r>
              <w:rPr>
                <w:rFonts w:asciiTheme="minorEastAsia" w:hAnsiTheme="minorEastAsia" w:cs="Times New Roman"/>
                <w:color w:val="000000"/>
                <w:kern w:val="0"/>
                <w:szCs w:val="21"/>
              </w:rPr>
              <w:t>表</w:t>
            </w:r>
          </w:p>
        </w:tc>
      </w:tr>
      <w:tr w:rsidR="00E0465E">
        <w:trPr>
          <w:trHeight w:val="454"/>
          <w:jc w:val="center"/>
        </w:trPr>
        <w:tc>
          <w:tcPr>
            <w:tcW w:w="1651" w:type="pct"/>
            <w:gridSpan w:val="2"/>
            <w:tcBorders>
              <w:top w:val="nil"/>
              <w:left w:val="nil"/>
              <w:bottom w:val="single" w:sz="4" w:space="0" w:color="auto"/>
              <w:right w:val="nil"/>
            </w:tcBorders>
            <w:shd w:val="clear" w:color="auto" w:fill="auto"/>
            <w:vAlign w:val="center"/>
          </w:tcPr>
          <w:p w:rsidR="00E0465E" w:rsidRDefault="00000000">
            <w:pPr>
              <w:widowControl/>
              <w:jc w:val="left"/>
              <w:rPr>
                <w:rFonts w:asciiTheme="minorEastAsia" w:hAnsiTheme="minorEastAsia" w:cs="Times New Roman" w:hint="eastAsia"/>
                <w:b/>
                <w:kern w:val="0"/>
                <w:szCs w:val="21"/>
              </w:rPr>
            </w:pPr>
            <w:r>
              <w:rPr>
                <w:rFonts w:asciiTheme="minorEastAsia" w:hAnsiTheme="minorEastAsia" w:cs="Times New Roman"/>
                <w:color w:val="000000"/>
                <w:kern w:val="0"/>
                <w:szCs w:val="21"/>
              </w:rPr>
              <w:t>部门：</w:t>
            </w:r>
            <w:r>
              <w:rPr>
                <w:rFonts w:ascii="Times New Roman" w:hAnsi="Times New Roman" w:cs="Times New Roman" w:hint="eastAsia"/>
                <w:color w:val="000000"/>
                <w:kern w:val="0"/>
                <w:szCs w:val="21"/>
              </w:rPr>
              <w:t>祁阳市机关事务服务中心</w:t>
            </w:r>
          </w:p>
        </w:tc>
        <w:tc>
          <w:tcPr>
            <w:tcW w:w="557" w:type="pct"/>
            <w:tcBorders>
              <w:top w:val="nil"/>
              <w:left w:val="nil"/>
              <w:bottom w:val="single" w:sz="4" w:space="0" w:color="auto"/>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557" w:type="pct"/>
            <w:tcBorders>
              <w:top w:val="nil"/>
              <w:left w:val="nil"/>
              <w:bottom w:val="single" w:sz="4" w:space="0" w:color="auto"/>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1673" w:type="pct"/>
            <w:gridSpan w:val="3"/>
            <w:tcBorders>
              <w:top w:val="nil"/>
              <w:left w:val="nil"/>
              <w:bottom w:val="single" w:sz="4" w:space="0" w:color="auto"/>
              <w:right w:val="nil"/>
            </w:tcBorders>
            <w:shd w:val="clear" w:color="auto" w:fill="auto"/>
            <w:vAlign w:val="center"/>
          </w:tcPr>
          <w:p w:rsidR="00E0465E" w:rsidRDefault="00E0465E">
            <w:pPr>
              <w:widowControl/>
              <w:jc w:val="center"/>
              <w:rPr>
                <w:rFonts w:asciiTheme="minorEastAsia" w:hAnsiTheme="minorEastAsia" w:cs="Times New Roman" w:hint="eastAsia"/>
                <w:b/>
                <w:kern w:val="0"/>
                <w:szCs w:val="21"/>
              </w:rPr>
            </w:pPr>
          </w:p>
        </w:tc>
        <w:tc>
          <w:tcPr>
            <w:tcW w:w="561" w:type="pct"/>
            <w:tcBorders>
              <w:top w:val="nil"/>
              <w:left w:val="nil"/>
              <w:bottom w:val="single" w:sz="4" w:space="0" w:color="auto"/>
              <w:right w:val="nil"/>
            </w:tcBorders>
            <w:shd w:val="clear" w:color="auto" w:fill="auto"/>
            <w:vAlign w:val="center"/>
          </w:tcPr>
          <w:p w:rsidR="00E0465E"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单位：万元</w:t>
            </w:r>
          </w:p>
        </w:tc>
      </w:tr>
      <w:tr w:rsidR="00E0465E">
        <w:trPr>
          <w:trHeight w:val="454"/>
          <w:jc w:val="center"/>
        </w:trPr>
        <w:tc>
          <w:tcPr>
            <w:tcW w:w="1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项 </w:t>
            </w:r>
            <w:r>
              <w:rPr>
                <w:rFonts w:asciiTheme="minorEastAsia" w:hAnsiTheme="minorEastAsia" w:cs="Times New Roman"/>
                <w:b/>
                <w:color w:val="000000"/>
                <w:kern w:val="0"/>
                <w:szCs w:val="21"/>
              </w:rPr>
              <w:t xml:space="preserve">   </w:t>
            </w:r>
            <w:r>
              <w:rPr>
                <w:rFonts w:asciiTheme="minorEastAsia" w:hAnsiTheme="minorEastAsia" w:cs="Times New Roman"/>
                <w:b/>
                <w:kern w:val="0"/>
                <w:szCs w:val="21"/>
              </w:rPr>
              <w:t>目</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年初结转和结余</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本年收入</w:t>
            </w:r>
          </w:p>
        </w:tc>
        <w:tc>
          <w:tcPr>
            <w:tcW w:w="16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本年支出</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年末结转和结余</w:t>
            </w:r>
          </w:p>
        </w:tc>
      </w:tr>
      <w:tr w:rsidR="00E0465E">
        <w:trPr>
          <w:trHeight w:val="454"/>
          <w:jc w:val="center"/>
        </w:trPr>
        <w:tc>
          <w:tcPr>
            <w:tcW w:w="377" w:type="pct"/>
            <w:vMerge w:val="restart"/>
            <w:tcBorders>
              <w:top w:val="single" w:sz="4" w:space="0" w:color="auto"/>
              <w:bottom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功能分类科目编码</w:t>
            </w:r>
          </w:p>
        </w:tc>
        <w:tc>
          <w:tcPr>
            <w:tcW w:w="1273" w:type="pct"/>
            <w:vMerge w:val="restart"/>
            <w:tcBorders>
              <w:top w:val="single" w:sz="4" w:space="0" w:color="auto"/>
              <w:bottom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科目名称</w:t>
            </w: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b/>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b/>
                <w:kern w:val="0"/>
                <w:szCs w:val="21"/>
              </w:rPr>
            </w:pPr>
          </w:p>
        </w:tc>
        <w:tc>
          <w:tcPr>
            <w:tcW w:w="555" w:type="pct"/>
            <w:vMerge w:val="restart"/>
            <w:tcBorders>
              <w:top w:val="single" w:sz="4" w:space="0" w:color="auto"/>
              <w:bottom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小计</w:t>
            </w:r>
          </w:p>
        </w:tc>
        <w:tc>
          <w:tcPr>
            <w:tcW w:w="557" w:type="pct"/>
            <w:vMerge w:val="restart"/>
            <w:tcBorders>
              <w:top w:val="single" w:sz="4" w:space="0" w:color="auto"/>
              <w:bottom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基本支出  </w:t>
            </w:r>
          </w:p>
        </w:tc>
        <w:tc>
          <w:tcPr>
            <w:tcW w:w="560" w:type="pct"/>
            <w:vMerge w:val="restart"/>
            <w:tcBorders>
              <w:top w:val="single" w:sz="4" w:space="0" w:color="auto"/>
              <w:bottom w:val="single" w:sz="4" w:space="0" w:color="auto"/>
            </w:tcBorders>
            <w:shd w:val="clear" w:color="auto" w:fill="auto"/>
            <w:vAlign w:val="center"/>
          </w:tcPr>
          <w:p w:rsidR="00E0465E"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项目支出</w:t>
            </w:r>
          </w:p>
        </w:tc>
        <w:tc>
          <w:tcPr>
            <w:tcW w:w="561" w:type="pct"/>
            <w:vMerge/>
            <w:tcBorders>
              <w:top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Times New Roman" w:hint="eastAsia"/>
                <w:b/>
                <w:kern w:val="0"/>
                <w:szCs w:val="21"/>
              </w:rPr>
            </w:pPr>
          </w:p>
        </w:tc>
      </w:tr>
      <w:tr w:rsidR="00E0465E">
        <w:trPr>
          <w:trHeight w:val="454"/>
          <w:jc w:val="center"/>
        </w:trPr>
        <w:tc>
          <w:tcPr>
            <w:tcW w:w="37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1273"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60"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61" w:type="pct"/>
            <w:vMerge/>
            <w:tcBorders>
              <w:top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r>
      <w:tr w:rsidR="00E0465E">
        <w:trPr>
          <w:trHeight w:val="454"/>
          <w:jc w:val="center"/>
        </w:trPr>
        <w:tc>
          <w:tcPr>
            <w:tcW w:w="37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1273"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57"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60" w:type="pct"/>
            <w:vMerge/>
            <w:tcBorders>
              <w:top w:val="single" w:sz="4" w:space="0" w:color="auto"/>
              <w:bottom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c>
          <w:tcPr>
            <w:tcW w:w="561" w:type="pct"/>
            <w:vMerge/>
            <w:tcBorders>
              <w:top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Times New Roman" w:hint="eastAsia"/>
                <w:kern w:val="0"/>
                <w:szCs w:val="21"/>
              </w:rPr>
            </w:pPr>
          </w:p>
        </w:tc>
      </w:tr>
      <w:tr w:rsidR="00E0465E">
        <w:trPr>
          <w:trHeight w:val="454"/>
          <w:jc w:val="center"/>
        </w:trPr>
        <w:tc>
          <w:tcPr>
            <w:tcW w:w="1651" w:type="pct"/>
            <w:gridSpan w:val="2"/>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栏次</w:t>
            </w:r>
          </w:p>
        </w:tc>
        <w:tc>
          <w:tcPr>
            <w:tcW w:w="557"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1</w:t>
            </w:r>
          </w:p>
        </w:tc>
        <w:tc>
          <w:tcPr>
            <w:tcW w:w="557"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2</w:t>
            </w:r>
          </w:p>
        </w:tc>
        <w:tc>
          <w:tcPr>
            <w:tcW w:w="555"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3</w:t>
            </w:r>
          </w:p>
        </w:tc>
        <w:tc>
          <w:tcPr>
            <w:tcW w:w="557"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4</w:t>
            </w:r>
          </w:p>
        </w:tc>
        <w:tc>
          <w:tcPr>
            <w:tcW w:w="560"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5</w:t>
            </w:r>
          </w:p>
        </w:tc>
        <w:tc>
          <w:tcPr>
            <w:tcW w:w="561" w:type="pct"/>
            <w:tcBorders>
              <w:top w:val="single" w:sz="4" w:space="0" w:color="auto"/>
            </w:tcBorders>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6</w:t>
            </w:r>
          </w:p>
        </w:tc>
      </w:tr>
      <w:tr w:rsidR="00E0465E">
        <w:trPr>
          <w:trHeight w:val="454"/>
          <w:jc w:val="center"/>
        </w:trPr>
        <w:tc>
          <w:tcPr>
            <w:tcW w:w="1651" w:type="pct"/>
            <w:gridSpan w:val="2"/>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合计</w:t>
            </w:r>
          </w:p>
        </w:tc>
        <w:tc>
          <w:tcPr>
            <w:tcW w:w="3348" w:type="pct"/>
            <w:gridSpan w:val="6"/>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hint="eastAsia"/>
                <w:kern w:val="0"/>
                <w:szCs w:val="21"/>
              </w:rPr>
              <w:t>本单位没有政府性基金收入，也没有使用政府性基金安排的支出，故本表无数据。</w:t>
            </w: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E0465E">
        <w:trPr>
          <w:trHeight w:val="454"/>
          <w:jc w:val="center"/>
        </w:trPr>
        <w:tc>
          <w:tcPr>
            <w:tcW w:w="377" w:type="pct"/>
            <w:shd w:val="clear" w:color="auto" w:fill="auto"/>
            <w:vAlign w:val="center"/>
          </w:tcPr>
          <w:p w:rsidR="00E0465E"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73"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0"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61" w:type="pct"/>
            <w:shd w:val="clear" w:color="auto" w:fill="auto"/>
            <w:vAlign w:val="center"/>
          </w:tcPr>
          <w:p w:rsidR="00E0465E"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bl>
    <w:p w:rsidR="00E0465E" w:rsidRDefault="00000000">
      <w:pPr>
        <w:widowControl/>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注：本表反映部门本年度政府性基金预算财政拨款收入、支出及结转和结余情况</w:t>
      </w:r>
      <w:r>
        <w:rPr>
          <w:rFonts w:asciiTheme="minorEastAsia" w:hAnsiTheme="minorEastAsia" w:cs="Times New Roman" w:hint="eastAsia"/>
          <w:kern w:val="0"/>
          <w:sz w:val="24"/>
          <w:szCs w:val="24"/>
        </w:rPr>
        <w:t>。</w:t>
      </w:r>
    </w:p>
    <w:p w:rsidR="00E0465E" w:rsidRDefault="00000000">
      <w:pPr>
        <w:widowControl/>
        <w:jc w:val="left"/>
        <w:rPr>
          <w:rFonts w:asciiTheme="minorEastAsia" w:hAnsiTheme="minorEastAsia" w:hint="eastAsia"/>
          <w:szCs w:val="21"/>
        </w:rPr>
      </w:pPr>
      <w:r>
        <w:rPr>
          <w:rFonts w:asciiTheme="minorEastAsia" w:hAnsiTheme="minorEastAsia"/>
          <w:szCs w:val="21"/>
        </w:rPr>
        <w:br w:type="page"/>
      </w:r>
    </w:p>
    <w:tbl>
      <w:tblPr>
        <w:tblW w:w="4918" w:type="pct"/>
        <w:tblInd w:w="114" w:type="dxa"/>
        <w:tblLook w:val="04A0" w:firstRow="1" w:lastRow="0" w:firstColumn="1" w:lastColumn="0" w:noHBand="0" w:noVBand="1"/>
      </w:tblPr>
      <w:tblGrid>
        <w:gridCol w:w="1331"/>
        <w:gridCol w:w="4165"/>
        <w:gridCol w:w="3320"/>
        <w:gridCol w:w="3320"/>
        <w:gridCol w:w="3222"/>
      </w:tblGrid>
      <w:tr w:rsidR="00E0465E">
        <w:trPr>
          <w:trHeight w:val="720"/>
        </w:trPr>
        <w:tc>
          <w:tcPr>
            <w:tcW w:w="5000" w:type="pct"/>
            <w:gridSpan w:val="5"/>
            <w:tcBorders>
              <w:top w:val="nil"/>
              <w:left w:val="nil"/>
              <w:bottom w:val="nil"/>
              <w:right w:val="nil"/>
            </w:tcBorders>
            <w:shd w:val="clear" w:color="000000" w:fill="FFFFFF"/>
            <w:vAlign w:val="center"/>
          </w:tcPr>
          <w:p w:rsidR="00E0465E" w:rsidRDefault="00000000">
            <w:pPr>
              <w:widowControl/>
              <w:jc w:val="center"/>
              <w:rPr>
                <w:rFonts w:asciiTheme="minorEastAsia" w:hAnsiTheme="minorEastAsia" w:cs="宋体" w:hint="eastAsia"/>
                <w:kern w:val="0"/>
                <w:sz w:val="32"/>
                <w:szCs w:val="32"/>
              </w:rPr>
            </w:pPr>
            <w:r>
              <w:rPr>
                <w:rFonts w:ascii="华文中宋" w:eastAsia="华文中宋" w:hAnsi="华文中宋" w:cs="宋体" w:hint="eastAsia"/>
                <w:color w:val="000000"/>
                <w:kern w:val="0"/>
                <w:sz w:val="32"/>
                <w:szCs w:val="32"/>
              </w:rPr>
              <w:lastRenderedPageBreak/>
              <w:t>国有资本经营预算财政拨款支出决算表</w:t>
            </w:r>
          </w:p>
        </w:tc>
      </w:tr>
      <w:tr w:rsidR="00E0465E">
        <w:trPr>
          <w:trHeight w:val="285"/>
        </w:trPr>
        <w:tc>
          <w:tcPr>
            <w:tcW w:w="1789" w:type="pct"/>
            <w:gridSpan w:val="2"/>
            <w:tcBorders>
              <w:top w:val="nil"/>
              <w:left w:val="nil"/>
              <w:bottom w:val="nil"/>
              <w:right w:val="nil"/>
            </w:tcBorders>
            <w:shd w:val="clear" w:color="000000" w:fill="FFFFFF"/>
            <w:vAlign w:val="center"/>
          </w:tcPr>
          <w:p w:rsidR="00E0465E"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公开08表</w:t>
            </w:r>
          </w:p>
        </w:tc>
      </w:tr>
      <w:tr w:rsidR="00E0465E">
        <w:trPr>
          <w:trHeight w:val="285"/>
        </w:trPr>
        <w:tc>
          <w:tcPr>
            <w:tcW w:w="1789" w:type="pct"/>
            <w:gridSpan w:val="2"/>
            <w:tcBorders>
              <w:top w:val="nil"/>
              <w:left w:val="nil"/>
              <w:bottom w:val="nil"/>
              <w:right w:val="nil"/>
            </w:tcBorders>
            <w:shd w:val="clear" w:color="000000" w:fill="FFFFFF"/>
            <w:noWrap/>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color w:val="000000"/>
                <w:kern w:val="0"/>
                <w:szCs w:val="21"/>
              </w:rPr>
              <w:t>部门：</w:t>
            </w:r>
            <w:r>
              <w:rPr>
                <w:rFonts w:ascii="Times New Roman" w:hAnsi="Times New Roman" w:cs="Times New Roman" w:hint="eastAsia"/>
                <w:color w:val="000000"/>
                <w:kern w:val="0"/>
                <w:szCs w:val="21"/>
              </w:rPr>
              <w:t>祁阳市机关事务服务中心</w:t>
            </w:r>
          </w:p>
        </w:tc>
        <w:tc>
          <w:tcPr>
            <w:tcW w:w="1081" w:type="pct"/>
            <w:tcBorders>
              <w:top w:val="nil"/>
              <w:left w:val="nil"/>
              <w:bottom w:val="single" w:sz="8" w:space="0" w:color="auto"/>
              <w:right w:val="nil"/>
            </w:tcBorders>
            <w:shd w:val="clear" w:color="000000" w:fill="FFFFFF"/>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rsidR="00E0465E"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rsidR="00E0465E"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单位：万元</w:t>
            </w:r>
          </w:p>
        </w:tc>
      </w:tr>
      <w:tr w:rsidR="00E0465E">
        <w:trPr>
          <w:trHeight w:val="402"/>
        </w:trPr>
        <w:tc>
          <w:tcPr>
            <w:tcW w:w="17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项 </w:t>
            </w:r>
            <w:r>
              <w:rPr>
                <w:rFonts w:asciiTheme="minorEastAsia" w:hAnsiTheme="minorEastAsia" w:cs="宋体" w:hint="eastAsia"/>
                <w:color w:val="000000"/>
                <w:kern w:val="0"/>
                <w:sz w:val="22"/>
              </w:rPr>
              <w:t xml:space="preserve">   </w:t>
            </w:r>
            <w:r>
              <w:rPr>
                <w:rFonts w:asciiTheme="minorEastAsia" w:hAnsiTheme="minorEastAsia" w:cs="宋体" w:hint="eastAsia"/>
                <w:kern w:val="0"/>
                <w:sz w:val="24"/>
                <w:szCs w:val="24"/>
              </w:rPr>
              <w:t>目</w:t>
            </w:r>
          </w:p>
        </w:tc>
        <w:tc>
          <w:tcPr>
            <w:tcW w:w="3210" w:type="pct"/>
            <w:gridSpan w:val="3"/>
            <w:tcBorders>
              <w:top w:val="single" w:sz="8" w:space="0" w:color="auto"/>
              <w:left w:val="nil"/>
              <w:bottom w:val="single" w:sz="4" w:space="0" w:color="auto"/>
              <w:right w:val="single" w:sz="4" w:space="0" w:color="000000"/>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本年支出</w:t>
            </w:r>
          </w:p>
        </w:tc>
      </w:tr>
      <w:tr w:rsidR="00E0465E">
        <w:trPr>
          <w:trHeight w:val="402"/>
        </w:trPr>
        <w:tc>
          <w:tcPr>
            <w:tcW w:w="43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功能分类科目编码</w:t>
            </w:r>
          </w:p>
        </w:tc>
        <w:tc>
          <w:tcPr>
            <w:tcW w:w="1356" w:type="pct"/>
            <w:vMerge w:val="restart"/>
            <w:tcBorders>
              <w:top w:val="nil"/>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科目名称</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基本支出  </w:t>
            </w:r>
          </w:p>
        </w:tc>
        <w:tc>
          <w:tcPr>
            <w:tcW w:w="1046" w:type="pct"/>
            <w:vMerge w:val="restart"/>
            <w:tcBorders>
              <w:top w:val="nil"/>
              <w:left w:val="single" w:sz="4" w:space="0" w:color="auto"/>
              <w:bottom w:val="single" w:sz="4" w:space="0" w:color="000000"/>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项目支出</w:t>
            </w:r>
          </w:p>
        </w:tc>
      </w:tr>
      <w:tr w:rsidR="00E0465E">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r>
      <w:tr w:rsidR="00E0465E">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rsidR="00E0465E" w:rsidRDefault="00E0465E">
            <w:pPr>
              <w:widowControl/>
              <w:jc w:val="left"/>
              <w:rPr>
                <w:rFonts w:asciiTheme="minorEastAsia" w:hAnsiTheme="minorEastAsia" w:cs="宋体" w:hint="eastAsia"/>
                <w:kern w:val="0"/>
                <w:sz w:val="24"/>
                <w:szCs w:val="24"/>
              </w:rPr>
            </w:pPr>
          </w:p>
        </w:tc>
      </w:tr>
      <w:tr w:rsidR="00E0465E">
        <w:trPr>
          <w:trHeight w:val="402"/>
        </w:trPr>
        <w:tc>
          <w:tcPr>
            <w:tcW w:w="1789"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栏次</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2</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3</w:t>
            </w:r>
          </w:p>
        </w:tc>
      </w:tr>
      <w:tr w:rsidR="00E0465E">
        <w:trPr>
          <w:trHeight w:val="402"/>
        </w:trPr>
        <w:tc>
          <w:tcPr>
            <w:tcW w:w="1789" w:type="pct"/>
            <w:gridSpan w:val="2"/>
            <w:tcBorders>
              <w:top w:val="nil"/>
              <w:left w:val="single" w:sz="8" w:space="0" w:color="auto"/>
              <w:bottom w:val="single" w:sz="4" w:space="0" w:color="auto"/>
              <w:right w:val="single" w:sz="4" w:space="0" w:color="000000"/>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3210" w:type="pct"/>
            <w:gridSpan w:val="3"/>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本单位无国有资本经营预算财政拨款支出，故本表无数据。</w:t>
            </w:r>
          </w:p>
        </w:tc>
      </w:tr>
      <w:tr w:rsidR="00E0465E">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402"/>
        </w:trPr>
        <w:tc>
          <w:tcPr>
            <w:tcW w:w="433" w:type="pct"/>
            <w:tcBorders>
              <w:top w:val="single" w:sz="4" w:space="0" w:color="auto"/>
              <w:left w:val="single" w:sz="8" w:space="0" w:color="auto"/>
              <w:bottom w:val="single" w:sz="8" w:space="0" w:color="auto"/>
              <w:right w:val="single" w:sz="4" w:space="0" w:color="auto"/>
            </w:tcBorders>
            <w:shd w:val="clear" w:color="auto" w:fill="auto"/>
            <w:vAlign w:val="center"/>
          </w:tcPr>
          <w:p w:rsidR="00E0465E"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8"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8" w:space="0" w:color="auto"/>
              <w:right w:val="single" w:sz="4" w:space="0" w:color="auto"/>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E0465E">
        <w:trPr>
          <w:trHeight w:val="720"/>
        </w:trPr>
        <w:tc>
          <w:tcPr>
            <w:tcW w:w="5000" w:type="pct"/>
            <w:gridSpan w:val="5"/>
            <w:tcBorders>
              <w:top w:val="single" w:sz="8" w:space="0" w:color="auto"/>
              <w:left w:val="nil"/>
              <w:bottom w:val="nil"/>
              <w:right w:val="nil"/>
            </w:tcBorders>
            <w:shd w:val="clear" w:color="auto" w:fill="auto"/>
            <w:vAlign w:val="center"/>
          </w:tcPr>
          <w:p w:rsidR="00E0465E"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注：本表反映部门本年度国有资本经营预算财政拨款支出情况。</w:t>
            </w:r>
          </w:p>
          <w:p w:rsidR="00E0465E" w:rsidRDefault="00E0465E">
            <w:pPr>
              <w:widowControl/>
              <w:jc w:val="left"/>
              <w:rPr>
                <w:rFonts w:asciiTheme="minorEastAsia" w:hAnsiTheme="minorEastAsia" w:cs="宋体" w:hint="eastAsia"/>
                <w:kern w:val="0"/>
                <w:sz w:val="24"/>
                <w:szCs w:val="24"/>
              </w:rPr>
            </w:pPr>
          </w:p>
        </w:tc>
      </w:tr>
    </w:tbl>
    <w:p w:rsidR="00E0465E" w:rsidRDefault="00000000">
      <w:pPr>
        <w:rPr>
          <w:rFonts w:asciiTheme="minorEastAsia" w:hAnsiTheme="minorEastAsia" w:cs="Times New Roman" w:hint="eastAsia"/>
          <w:color w:val="000000"/>
          <w:kern w:val="0"/>
          <w:sz w:val="36"/>
          <w:szCs w:val="36"/>
        </w:rPr>
      </w:pPr>
      <w:r>
        <w:rPr>
          <w:rFonts w:asciiTheme="minorEastAsia" w:hAnsiTheme="minorEastAsia" w:cs="Times New Roman" w:hint="eastAsia"/>
          <w:color w:val="000000"/>
          <w:kern w:val="0"/>
          <w:sz w:val="36"/>
          <w:szCs w:val="36"/>
        </w:rPr>
        <w:br w:type="page"/>
      </w:r>
    </w:p>
    <w:p w:rsidR="00E0465E"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华文中宋" w:hint="eastAsia"/>
          <w:color w:val="000000"/>
          <w:kern w:val="0"/>
          <w:sz w:val="32"/>
          <w:szCs w:val="32"/>
        </w:rPr>
        <w:lastRenderedPageBreak/>
        <w:t>财政拨款“三公”经费支出决算表</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p>
    <w:tbl>
      <w:tblPr>
        <w:tblW w:w="4941" w:type="pct"/>
        <w:jc w:val="center"/>
        <w:tblLook w:val="04A0" w:firstRow="1" w:lastRow="0" w:firstColumn="1" w:lastColumn="0" w:noHBand="0" w:noVBand="1"/>
      </w:tblPr>
      <w:tblGrid>
        <w:gridCol w:w="1183"/>
        <w:gridCol w:w="1294"/>
        <w:gridCol w:w="1294"/>
        <w:gridCol w:w="1294"/>
        <w:gridCol w:w="1308"/>
        <w:gridCol w:w="1327"/>
        <w:gridCol w:w="1293"/>
        <w:gridCol w:w="1293"/>
        <w:gridCol w:w="1293"/>
        <w:gridCol w:w="1293"/>
        <w:gridCol w:w="1308"/>
        <w:gridCol w:w="1250"/>
      </w:tblGrid>
      <w:tr w:rsidR="00E0465E">
        <w:trPr>
          <w:trHeight w:val="397"/>
          <w:jc w:val="center"/>
        </w:trPr>
        <w:tc>
          <w:tcPr>
            <w:tcW w:w="2494" w:type="pct"/>
            <w:gridSpan w:val="6"/>
            <w:tcBorders>
              <w:top w:val="nil"/>
              <w:left w:val="nil"/>
              <w:bottom w:val="nil"/>
              <w:right w:val="nil"/>
            </w:tcBorders>
            <w:shd w:val="clear" w:color="auto" w:fill="auto"/>
            <w:vAlign w:val="center"/>
          </w:tcPr>
          <w:p w:rsidR="00E0465E" w:rsidRDefault="00E0465E">
            <w:pPr>
              <w:widowControl/>
              <w:jc w:val="center"/>
              <w:rPr>
                <w:rFonts w:ascii="Times New Roman" w:hAnsi="Times New Roman" w:cs="Times New Roman"/>
                <w:kern w:val="0"/>
                <w:szCs w:val="21"/>
              </w:rPr>
            </w:pPr>
          </w:p>
        </w:tc>
        <w:tc>
          <w:tcPr>
            <w:tcW w:w="2505" w:type="pct"/>
            <w:gridSpan w:val="6"/>
            <w:tcBorders>
              <w:top w:val="nil"/>
              <w:left w:val="nil"/>
              <w:bottom w:val="nil"/>
              <w:right w:val="nil"/>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09</w:t>
            </w:r>
            <w:r>
              <w:rPr>
                <w:rFonts w:ascii="Times New Roman" w:hAnsi="Times New Roman" w:cs="Times New Roman"/>
                <w:color w:val="000000"/>
                <w:kern w:val="0"/>
                <w:szCs w:val="21"/>
              </w:rPr>
              <w:t>表</w:t>
            </w:r>
          </w:p>
        </w:tc>
      </w:tr>
      <w:tr w:rsidR="00E0465E">
        <w:trPr>
          <w:trHeight w:val="397"/>
          <w:jc w:val="center"/>
        </w:trPr>
        <w:tc>
          <w:tcPr>
            <w:tcW w:w="2494" w:type="pct"/>
            <w:gridSpan w:val="6"/>
            <w:tcBorders>
              <w:top w:val="nil"/>
              <w:left w:val="nil"/>
              <w:bottom w:val="single" w:sz="4" w:space="0" w:color="auto"/>
              <w:right w:val="nil"/>
            </w:tcBorders>
            <w:shd w:val="clear" w:color="auto" w:fill="auto"/>
            <w:vAlign w:val="center"/>
          </w:tcPr>
          <w:p w:rsidR="00E0465E"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祁阳市机关事务服务中心</w:t>
            </w:r>
          </w:p>
        </w:tc>
        <w:tc>
          <w:tcPr>
            <w:tcW w:w="2505" w:type="pct"/>
            <w:gridSpan w:val="6"/>
            <w:tcBorders>
              <w:top w:val="nil"/>
              <w:left w:val="nil"/>
              <w:bottom w:val="single" w:sz="4" w:space="0" w:color="auto"/>
              <w:right w:val="nil"/>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rsidR="00E0465E">
        <w:trPr>
          <w:trHeight w:val="624"/>
          <w:jc w:val="center"/>
        </w:trPr>
        <w:tc>
          <w:tcPr>
            <w:tcW w:w="24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E0465E">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2" w:type="pct"/>
            <w:gridSpan w:val="3"/>
            <w:tcBorders>
              <w:top w:val="single" w:sz="4" w:space="0" w:color="auto"/>
              <w:left w:val="nil"/>
              <w:bottom w:val="single" w:sz="4" w:space="0" w:color="auto"/>
              <w:right w:val="single" w:sz="4" w:space="0" w:color="000000"/>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19" w:type="pct"/>
            <w:vMerge w:val="restar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2" w:type="pct"/>
            <w:gridSpan w:val="3"/>
            <w:tcBorders>
              <w:top w:val="single" w:sz="4" w:space="0" w:color="auto"/>
              <w:left w:val="nil"/>
              <w:bottom w:val="single" w:sz="4" w:space="0" w:color="auto"/>
              <w:right w:val="single" w:sz="4" w:space="0" w:color="000000"/>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2"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rsidR="00E0465E">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419" w:type="pct"/>
            <w:vMerge/>
            <w:tcBorders>
              <w:top w:val="single" w:sz="4" w:space="0" w:color="auto"/>
              <w:left w:val="single" w:sz="4" w:space="0" w:color="auto"/>
              <w:bottom w:val="single" w:sz="4" w:space="0" w:color="000000"/>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419"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19"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2"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29" w:type="pct"/>
            <w:vMerge/>
            <w:tcBorders>
              <w:top w:val="single" w:sz="4" w:space="0" w:color="auto"/>
              <w:left w:val="single" w:sz="4" w:space="0" w:color="auto"/>
              <w:bottom w:val="single" w:sz="4" w:space="0" w:color="auto"/>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419" w:type="pct"/>
            <w:vMerge/>
            <w:tcBorders>
              <w:top w:val="single" w:sz="4" w:space="0" w:color="auto"/>
              <w:left w:val="nil"/>
              <w:bottom w:val="single" w:sz="4" w:space="0" w:color="000000"/>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419" w:type="pct"/>
            <w:vMerge/>
            <w:tcBorders>
              <w:top w:val="single" w:sz="4" w:space="0" w:color="auto"/>
              <w:left w:val="single" w:sz="4" w:space="0" w:color="auto"/>
              <w:bottom w:val="single" w:sz="4" w:space="0" w:color="000000"/>
              <w:right w:val="single" w:sz="4" w:space="0" w:color="auto"/>
            </w:tcBorders>
            <w:vAlign w:val="center"/>
          </w:tcPr>
          <w:p w:rsidR="00E0465E" w:rsidRDefault="00E0465E">
            <w:pPr>
              <w:widowControl/>
              <w:jc w:val="left"/>
              <w:rPr>
                <w:rFonts w:ascii="Times New Roman" w:hAnsi="Times New Roman" w:cs="Times New Roman"/>
                <w:kern w:val="0"/>
                <w:szCs w:val="21"/>
              </w:rPr>
            </w:pPr>
          </w:p>
        </w:tc>
        <w:tc>
          <w:tcPr>
            <w:tcW w:w="419"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19"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2" w:type="pct"/>
            <w:tcBorders>
              <w:top w:val="single" w:sz="4" w:space="0" w:color="auto"/>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02" w:type="pct"/>
            <w:vMerge/>
            <w:tcBorders>
              <w:top w:val="single" w:sz="4" w:space="0" w:color="auto"/>
              <w:left w:val="single" w:sz="4" w:space="0" w:color="auto"/>
              <w:bottom w:val="single" w:sz="4" w:space="0" w:color="000000"/>
              <w:right w:val="single" w:sz="8" w:space="0" w:color="auto"/>
            </w:tcBorders>
            <w:vAlign w:val="center"/>
          </w:tcPr>
          <w:p w:rsidR="00E0465E" w:rsidRDefault="00E0465E">
            <w:pPr>
              <w:widowControl/>
              <w:jc w:val="left"/>
              <w:rPr>
                <w:rFonts w:ascii="Times New Roman" w:hAnsi="Times New Roman" w:cs="Times New Roman"/>
                <w:kern w:val="0"/>
                <w:szCs w:val="21"/>
              </w:rPr>
            </w:pPr>
          </w:p>
        </w:tc>
      </w:tr>
      <w:tr w:rsidR="00E0465E">
        <w:trPr>
          <w:trHeight w:val="624"/>
          <w:jc w:val="center"/>
        </w:trPr>
        <w:tc>
          <w:tcPr>
            <w:tcW w:w="383" w:type="pct"/>
            <w:tcBorders>
              <w:top w:val="nil"/>
              <w:left w:val="single" w:sz="8" w:space="0" w:color="auto"/>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2"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19"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2" w:type="pct"/>
            <w:tcBorders>
              <w:top w:val="nil"/>
              <w:left w:val="nil"/>
              <w:bottom w:val="single" w:sz="4" w:space="0" w:color="auto"/>
              <w:right w:val="single" w:sz="4"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2" w:type="pct"/>
            <w:tcBorders>
              <w:top w:val="nil"/>
              <w:left w:val="nil"/>
              <w:bottom w:val="single" w:sz="4" w:space="0" w:color="auto"/>
              <w:right w:val="single" w:sz="8" w:space="0" w:color="auto"/>
            </w:tcBorders>
            <w:shd w:val="clear" w:color="auto" w:fill="auto"/>
            <w:vAlign w:val="center"/>
          </w:tcPr>
          <w:p w:rsidR="00E0465E"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rsidR="00E0465E">
        <w:trPr>
          <w:trHeight w:val="624"/>
          <w:jc w:val="center"/>
        </w:trPr>
        <w:tc>
          <w:tcPr>
            <w:tcW w:w="383" w:type="pct"/>
            <w:tcBorders>
              <w:top w:val="nil"/>
              <w:left w:val="single" w:sz="8" w:space="0" w:color="auto"/>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214.56</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210</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0</w:t>
            </w:r>
          </w:p>
        </w:tc>
        <w:tc>
          <w:tcPr>
            <w:tcW w:w="422"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210</w:t>
            </w:r>
            <w:r>
              <w:rPr>
                <w:rFonts w:ascii="Times New Roman" w:hAnsi="Times New Roman" w:cs="Times New Roman"/>
                <w:kern w:val="0"/>
                <w:szCs w:val="21"/>
              </w:rPr>
              <w:t xml:space="preserve">　</w:t>
            </w:r>
          </w:p>
        </w:tc>
        <w:tc>
          <w:tcPr>
            <w:tcW w:w="42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hint="eastAsia"/>
                <w:kern w:val="0"/>
                <w:szCs w:val="21"/>
              </w:rPr>
              <w:t>4.56</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214.56</w:t>
            </w:r>
            <w:r>
              <w:rPr>
                <w:rFonts w:ascii="Times New Roman" w:hAnsi="Times New Roman" w:cs="Times New Roman"/>
                <w:kern w:val="0"/>
                <w:szCs w:val="21"/>
              </w:rPr>
              <w:t xml:space="preserve">　</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210</w:t>
            </w:r>
            <w:r>
              <w:rPr>
                <w:rFonts w:ascii="Times New Roman" w:hAnsi="Times New Roman" w:cs="Times New Roman"/>
                <w:kern w:val="0"/>
                <w:szCs w:val="21"/>
              </w:rPr>
              <w:t xml:space="preserve">　</w:t>
            </w:r>
          </w:p>
        </w:tc>
        <w:tc>
          <w:tcPr>
            <w:tcW w:w="419" w:type="pct"/>
            <w:tcBorders>
              <w:top w:val="nil"/>
              <w:left w:val="nil"/>
              <w:bottom w:val="single" w:sz="8" w:space="0" w:color="auto"/>
              <w:right w:val="single" w:sz="4"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 xml:space="preserve">　</w:t>
            </w:r>
          </w:p>
        </w:tc>
        <w:tc>
          <w:tcPr>
            <w:tcW w:w="422" w:type="pct"/>
            <w:tcBorders>
              <w:top w:val="nil"/>
              <w:left w:val="nil"/>
              <w:bottom w:val="single" w:sz="8" w:space="0" w:color="auto"/>
              <w:right w:val="nil"/>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210</w:t>
            </w:r>
            <w:r>
              <w:rPr>
                <w:rFonts w:ascii="Times New Roman" w:hAnsi="Times New Roman" w:cs="Times New Roman"/>
                <w:kern w:val="0"/>
                <w:szCs w:val="21"/>
              </w:rPr>
              <w:t xml:space="preserve">　</w:t>
            </w:r>
          </w:p>
        </w:tc>
        <w:tc>
          <w:tcPr>
            <w:tcW w:w="402" w:type="pct"/>
            <w:tcBorders>
              <w:top w:val="nil"/>
              <w:left w:val="single" w:sz="4" w:space="0" w:color="auto"/>
              <w:bottom w:val="single" w:sz="8" w:space="0" w:color="auto"/>
              <w:right w:val="single" w:sz="8" w:space="0" w:color="auto"/>
            </w:tcBorders>
            <w:shd w:val="clear" w:color="auto" w:fill="auto"/>
            <w:vAlign w:val="center"/>
          </w:tcPr>
          <w:p w:rsidR="00E0465E"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4.56</w:t>
            </w:r>
            <w:r>
              <w:rPr>
                <w:rFonts w:ascii="Times New Roman" w:hAnsi="Times New Roman" w:cs="Times New Roman"/>
                <w:kern w:val="0"/>
                <w:szCs w:val="21"/>
              </w:rPr>
              <w:t xml:space="preserve">　</w:t>
            </w:r>
          </w:p>
        </w:tc>
      </w:tr>
    </w:tbl>
    <w:p w:rsidR="00E0465E" w:rsidRDefault="00000000">
      <w:pPr>
        <w:pStyle w:val="Default"/>
        <w:rPr>
          <w:rFonts w:asciiTheme="minorEastAsia" w:hAnsiTheme="minorEastAsia" w:cs="宋体" w:hint="eastAsia"/>
        </w:rPr>
        <w:sectPr w:rsidR="00E0465E">
          <w:pgSz w:w="16838" w:h="11906" w:orient="landscape"/>
          <w:pgMar w:top="720" w:right="720" w:bottom="680" w:left="720" w:header="851" w:footer="992" w:gutter="0"/>
          <w:cols w:space="0"/>
          <w:docGrid w:type="lines" w:linePitch="312"/>
        </w:sectPr>
      </w:pPr>
      <w:r>
        <w:rPr>
          <w:rFonts w:ascii="Times New Roman" w:eastAsiaTheme="minorEastAsia" w:hAnsi="Times New Roman" w:cs="Times New Roman"/>
          <w:sz w:val="21"/>
          <w:szCs w:val="21"/>
        </w:rPr>
        <w:t>注：本表反映部门本年度</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经费支出预决算情况。其中，预算数为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经费全年预算数，反映按规定程序调整后的预算数；决算数是包括当年一般公共预算财政拨款和以前年度结转资金安排的实际支出。</w:t>
      </w:r>
    </w:p>
    <w:p w:rsidR="00E0465E" w:rsidRDefault="00E0465E">
      <w:pPr>
        <w:pStyle w:val="Default"/>
        <w:rPr>
          <w:rFonts w:ascii="Times New Roman" w:hAnsi="Times New Roman" w:cs="Times New Roman"/>
          <w:sz w:val="72"/>
          <w:szCs w:val="72"/>
        </w:rPr>
      </w:pPr>
    </w:p>
    <w:p w:rsidR="00E0465E" w:rsidRDefault="00E0465E">
      <w:pPr>
        <w:pStyle w:val="Default"/>
        <w:rPr>
          <w:rFonts w:ascii="Times New Roman" w:hAnsi="Times New Roman" w:cs="Times New Roman"/>
          <w:sz w:val="72"/>
          <w:szCs w:val="72"/>
        </w:rPr>
      </w:pPr>
    </w:p>
    <w:p w:rsidR="00E0465E" w:rsidRDefault="00E0465E">
      <w:pPr>
        <w:pStyle w:val="Default"/>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eastAsia="方正小标宋_GBK" w:hAnsi="Times New Roman" w:cs="Times New Roman"/>
          <w:sz w:val="72"/>
          <w:szCs w:val="72"/>
        </w:rPr>
      </w:pPr>
    </w:p>
    <w:p w:rsidR="00E0465E"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E0465E"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E0465E"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99.04</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8.82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一般公共服务支出相对增加。</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99.04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8.82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一般公共服务支出相对增加。</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E0465E"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，与上年相比，财政拨款支出增加</w:t>
      </w:r>
      <w:r>
        <w:rPr>
          <w:rFonts w:ascii="Times New Roman" w:eastAsia="仿宋_GB2312" w:hAnsi="Times New Roman" w:cs="Times New Roman" w:hint="eastAsia"/>
          <w:sz w:val="32"/>
          <w:szCs w:val="32"/>
        </w:rPr>
        <w:t>99.04</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8.82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一般公共服务支出相对增加。</w:t>
      </w:r>
    </w:p>
    <w:p w:rsidR="00E0465E" w:rsidRDefault="00000000">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Cs/>
          <w:sz w:val="32"/>
          <w:szCs w:val="32"/>
        </w:rPr>
        <w:t>（二）一般</w:t>
      </w:r>
      <w:r>
        <w:rPr>
          <w:rFonts w:ascii="Times New Roman" w:eastAsia="楷体_GB2312" w:hAnsi="Times New Roman" w:cs="Times New Roman"/>
          <w:b/>
          <w:sz w:val="32"/>
          <w:szCs w:val="32"/>
        </w:rPr>
        <w:t>公共预算财政拨款支出决算结构情况</w:t>
      </w:r>
    </w:p>
    <w:p w:rsidR="00E0465E"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1166.75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95.6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25.31</w:t>
      </w:r>
      <w:r>
        <w:rPr>
          <w:rFonts w:ascii="Times New Roman" w:eastAsia="仿宋_GB2312" w:hAnsi="Times New Roman" w:hint="eastAsia"/>
          <w:sz w:val="32"/>
          <w:szCs w:val="32"/>
        </w:rPr>
        <w:t>万元，占</w:t>
      </w:r>
      <w:r>
        <w:rPr>
          <w:rFonts w:ascii="Times New Roman" w:eastAsia="仿宋_GB2312" w:hAnsi="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10.34</w:t>
      </w:r>
      <w:r>
        <w:rPr>
          <w:rFonts w:ascii="Times New Roman" w:eastAsia="仿宋_GB2312" w:hAnsi="Times New Roman" w:hint="eastAsia"/>
          <w:sz w:val="32"/>
          <w:szCs w:val="32"/>
        </w:rPr>
        <w:t>万元，占</w:t>
      </w:r>
      <w:r>
        <w:rPr>
          <w:rFonts w:ascii="Times New Roman" w:eastAsia="仿宋_GB2312" w:hAnsi="Times New Roman" w:hint="eastAsia"/>
          <w:sz w:val="32"/>
          <w:szCs w:val="32"/>
        </w:rPr>
        <w:t>0.8%</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18.59</w:t>
      </w:r>
      <w:r>
        <w:rPr>
          <w:rFonts w:ascii="Times New Roman" w:eastAsia="仿宋_GB2312" w:hAnsi="Times New Roman" w:hint="eastAsia"/>
          <w:sz w:val="32"/>
          <w:szCs w:val="32"/>
        </w:rPr>
        <w:t>万元，占</w:t>
      </w:r>
      <w:r>
        <w:rPr>
          <w:rFonts w:ascii="Times New Roman" w:eastAsia="仿宋_GB2312" w:hAnsi="Times New Roman" w:hint="eastAsia"/>
          <w:sz w:val="32"/>
          <w:szCs w:val="32"/>
        </w:rPr>
        <w:t>1.5%</w:t>
      </w:r>
      <w:r>
        <w:rPr>
          <w:rFonts w:ascii="Times New Roman" w:eastAsia="仿宋_GB2312" w:hAnsi="Times New Roman" w:hint="eastAsia"/>
          <w:sz w:val="32"/>
          <w:szCs w:val="32"/>
        </w:rPr>
        <w:t>。</w:t>
      </w:r>
    </w:p>
    <w:p w:rsidR="00E0465E"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、一般公共服务（类）政府办公厅（室）及相关机构事务（款）行政运行（项）。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3.78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3.78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、一般公共服务（类）政府办公厅（室）及相关机构事务（款）机关服务（项）。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1153.79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1153.79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、一般公共服务（类）政府办公厅（室）及相关机构事务（款）专项业务及机关事务管理（项）。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、一般公共服务（类）政府办公厅（室）及相关机构事务（款）其他政府办公厅（室）及相关机构事务支出（项）。</w:t>
      </w:r>
    </w:p>
    <w:p w:rsidR="00E0465E"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7.18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7.18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、社会保障和就业支出（类）行政事业单位养老支出（款）机关事业单位基本养老保险缴费支出（项）。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24.79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24.79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、社会保障和就业支出（类）其他社会保障和就业支出（款）其他社会保障和就业支出（项）。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0.52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0.52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、卫生健康支出（类）行政事业单位医疗（款）事业单位医疗（项）。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10.34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10.34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、住房保障支出（类）住房改革支出（款）住房公积金（项）。</w:t>
      </w:r>
    </w:p>
    <w:p w:rsidR="00E0465E"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18.59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18.59</w:t>
      </w:r>
      <w:r>
        <w:rPr>
          <w:rFonts w:ascii="Times New Roman" w:eastAsia="仿宋_GB2312" w:hAnsi="Times New Roman" w:hint="eastAsia"/>
          <w:sz w:val="32"/>
          <w:szCs w:val="32"/>
        </w:rPr>
        <w:t>万元，完成年初</w:t>
      </w:r>
      <w:r>
        <w:rPr>
          <w:rFonts w:ascii="Times New Roman" w:eastAsia="仿宋_GB2312" w:hAnsi="Times New Roman" w:hint="eastAsia"/>
          <w:sz w:val="32"/>
          <w:szCs w:val="32"/>
        </w:rPr>
        <w:lastRenderedPageBreak/>
        <w:t>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，决算数等于年初预算数的主要原因是：本单位严格按照预算执行。</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1220.99</w:t>
      </w:r>
      <w:r>
        <w:rPr>
          <w:rFonts w:ascii="Times New Roman" w:eastAsia="仿宋_GB2312" w:hAnsi="Times New Roman" w:cs="Times New Roman"/>
          <w:sz w:val="32"/>
          <w:szCs w:val="32"/>
        </w:rPr>
        <w:t>万元，其中：</w:t>
      </w:r>
    </w:p>
    <w:p w:rsidR="00E0465E" w:rsidRDefault="00000000">
      <w:pPr>
        <w:pStyle w:val="Default"/>
        <w:overflowPunct w:val="0"/>
        <w:autoSpaceDE/>
        <w:autoSpaceDN/>
        <w:spacing w:line="600" w:lineRule="exact"/>
        <w:ind w:firstLineChars="200" w:firstLine="643"/>
        <w:jc w:val="both"/>
        <w:rPr>
          <w:rFonts w:ascii="Times New Roman" w:eastAsia="仿宋_GB2312" w:hAnsi="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473.53</w:t>
      </w:r>
      <w:r>
        <w:rPr>
          <w:rFonts w:ascii="Times New Roman" w:eastAsia="仿宋_GB2312" w:hAnsi="Times New Roman" w:cs="Times New Roman"/>
          <w:sz w:val="32"/>
          <w:szCs w:val="32"/>
        </w:rPr>
        <w:t>万元，占基本支出的</w:t>
      </w:r>
      <w:r>
        <w:rPr>
          <w:rFonts w:ascii="Times New Roman" w:eastAsia="仿宋_GB2312" w:hAnsi="Times New Roman" w:cs="Times New Roman" w:hint="eastAsia"/>
          <w:sz w:val="32"/>
          <w:szCs w:val="32"/>
        </w:rPr>
        <w:t>38.8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主要包括基本工资、津贴补贴、奖金、伙食补助费</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机关事业单位基本养老保险缴费、职工基本医疗保险缴费、其他社会保障缴费、住房公积金、其他工资福利支出。</w:t>
      </w:r>
    </w:p>
    <w:p w:rsidR="00E0465E"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747.46</w:t>
      </w:r>
      <w:r>
        <w:rPr>
          <w:rFonts w:ascii="Times New Roman" w:eastAsia="仿宋_GB2312" w:hAnsi="Times New Roman" w:cs="Times New Roman"/>
          <w:sz w:val="32"/>
          <w:szCs w:val="32"/>
        </w:rPr>
        <w:t>万元，占基本支出的</w:t>
      </w:r>
      <w:r>
        <w:rPr>
          <w:rFonts w:ascii="Times New Roman" w:eastAsia="仿宋_GB2312" w:hAnsi="Times New Roman" w:cs="Times New Roman" w:hint="eastAsia"/>
          <w:sz w:val="32"/>
          <w:szCs w:val="32"/>
        </w:rPr>
        <w:t>61.2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w:t>
      </w:r>
      <w:r>
        <w:rPr>
          <w:rFonts w:ascii="Times New Roman" w:eastAsia="仿宋_GB2312" w:hAnsi="Times New Roman" w:hint="eastAsia"/>
          <w:sz w:val="32"/>
          <w:szCs w:val="32"/>
        </w:rPr>
        <w:t>办公费、印刷费、水费、电费、邮电费、差旅费、维修（护）费、租赁费、会议费、培训费、公务接待费、专用材料费、劳务费、工会经费、福利费、公务用车运行维护费、其他交通费用、其他商品和服务支出。</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E0465E"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214.56</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214.56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66.47</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23.6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Pr>
          <w:rFonts w:ascii="Times New Roman" w:eastAsia="仿宋_GB2312" w:hAnsi="Times New Roman" w:hint="eastAsia"/>
          <w:sz w:val="32"/>
          <w:szCs w:val="32"/>
        </w:rPr>
        <w:t>严格按照预算执行</w:t>
      </w:r>
      <w:r>
        <w:rPr>
          <w:rFonts w:ascii="Times New Roman" w:eastAsia="仿宋_GB2312" w:hAnsi="Times New Roman" w:cs="Times New Roman"/>
          <w:sz w:val="32"/>
          <w:szCs w:val="32"/>
        </w:rPr>
        <w:t>。决算数小于上年数的主要原因是</w:t>
      </w:r>
      <w:r>
        <w:rPr>
          <w:rFonts w:ascii="Times New Roman" w:eastAsia="仿宋_GB2312" w:hAnsi="Times New Roman" w:hint="eastAsia"/>
          <w:sz w:val="32"/>
          <w:szCs w:val="32"/>
        </w:rPr>
        <w:t>适当进行预算调整</w:t>
      </w:r>
      <w:r>
        <w:rPr>
          <w:rFonts w:ascii="Times New Roman" w:eastAsia="仿宋_GB2312" w:hAnsi="Times New Roman" w:cs="Times New Roman"/>
          <w:sz w:val="32"/>
          <w:szCs w:val="32"/>
        </w:rPr>
        <w:t>。</w:t>
      </w:r>
    </w:p>
    <w:p w:rsidR="00E0465E"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E0465E"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Pr>
          <w:rFonts w:ascii="Times New Roman" w:eastAsia="仿宋_GB2312" w:hAnsi="Times New Roman" w:cs="Times New Roman" w:hint="eastAsia"/>
          <w:sz w:val="32"/>
          <w:szCs w:val="32"/>
        </w:rPr>
        <w:lastRenderedPageBreak/>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。决算数大于（小于）预算数的主要原因是</w:t>
      </w:r>
      <w:r>
        <w:rPr>
          <w:rFonts w:ascii="Times New Roman" w:eastAsia="仿宋_GB2312" w:hAnsi="Times New Roman" w:hint="eastAsia"/>
          <w:sz w:val="32"/>
          <w:szCs w:val="32"/>
        </w:rPr>
        <w:t>无因公出国人员</w:t>
      </w:r>
      <w:r>
        <w:rPr>
          <w:rFonts w:ascii="Times New Roman" w:eastAsia="仿宋_GB2312" w:hAnsi="Times New Roman" w:cs="Times New Roman"/>
          <w:sz w:val="32"/>
          <w:szCs w:val="32"/>
        </w:rPr>
        <w:t>。</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210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210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66.23</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23.9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Pr>
          <w:rFonts w:ascii="Times New Roman" w:eastAsia="仿宋_GB2312" w:hAnsi="Times New Roman" w:cs="Times New Roman" w:hint="eastAsia"/>
          <w:sz w:val="32"/>
          <w:szCs w:val="32"/>
        </w:rPr>
        <w:t>无新增公务用车购置。</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210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210</w:t>
      </w:r>
      <w:r>
        <w:rPr>
          <w:rFonts w:ascii="Times New Roman" w:eastAsia="仿宋_GB2312" w:hAnsi="Times New Roman" w:cs="Times New Roman"/>
          <w:sz w:val="32"/>
          <w:szCs w:val="32"/>
        </w:rPr>
        <w:t>万元，</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公务用车维修费用</w:t>
      </w:r>
      <w:r>
        <w:rPr>
          <w:rFonts w:ascii="Times New Roman" w:eastAsia="仿宋_GB2312" w:hAnsi="Times New Roman" w:cs="Times New Roman"/>
          <w:sz w:val="32"/>
          <w:szCs w:val="32"/>
        </w:rPr>
        <w:t>支出，完成预算的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66.23</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23.9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Pr>
          <w:rFonts w:ascii="Times New Roman" w:eastAsia="仿宋_GB2312" w:hAnsi="Times New Roman" w:hint="eastAsia"/>
          <w:sz w:val="32"/>
          <w:szCs w:val="32"/>
        </w:rPr>
        <w:t>严格按照预算执行</w:t>
      </w:r>
      <w:r>
        <w:rPr>
          <w:rFonts w:ascii="Times New Roman" w:eastAsia="仿宋_GB2312" w:hAnsi="Times New Roman" w:cs="Times New Roman"/>
          <w:sz w:val="32"/>
          <w:szCs w:val="32"/>
        </w:rPr>
        <w:t>。决算数小于上年数的主要原因是</w:t>
      </w:r>
      <w:r>
        <w:rPr>
          <w:rFonts w:ascii="Times New Roman" w:eastAsia="仿宋_GB2312" w:hAnsi="Times New Roman" w:hint="eastAsia"/>
          <w:sz w:val="32"/>
          <w:szCs w:val="32"/>
        </w:rPr>
        <w:t>厉行节约</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84</w:t>
      </w:r>
      <w:r>
        <w:rPr>
          <w:rFonts w:ascii="Times New Roman" w:eastAsia="仿宋_GB2312" w:hAnsi="Times New Roman" w:cs="Times New Roman"/>
          <w:sz w:val="32"/>
          <w:szCs w:val="32"/>
        </w:rPr>
        <w:t>辆。</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4.56</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4.56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0.24</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Pr>
          <w:rFonts w:ascii="Times New Roman" w:eastAsia="仿宋_GB2312" w:hAnsi="Times New Roman" w:hint="eastAsia"/>
          <w:sz w:val="32"/>
          <w:szCs w:val="32"/>
        </w:rPr>
        <w:t>严格按照预算执行</w:t>
      </w:r>
      <w:r>
        <w:rPr>
          <w:rFonts w:ascii="Times New Roman" w:eastAsia="仿宋_GB2312" w:hAnsi="Times New Roman" w:cs="Times New Roman"/>
          <w:sz w:val="32"/>
          <w:szCs w:val="32"/>
        </w:rPr>
        <w:t>。决算数小于上年数的主要原因是</w:t>
      </w:r>
      <w:r>
        <w:rPr>
          <w:rFonts w:ascii="Times New Roman" w:eastAsia="仿宋_GB2312" w:hAnsi="Times New Roman" w:hint="eastAsia"/>
          <w:sz w:val="32"/>
          <w:szCs w:val="32"/>
        </w:rPr>
        <w:t>认真贯彻落实中央八项规定精神和厉行节约要求，进一步严格控制公务接待的人数和批次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498</w:t>
      </w:r>
      <w:r>
        <w:rPr>
          <w:rFonts w:ascii="Times New Roman" w:eastAsia="仿宋_GB2312" w:hAnsi="Times New Roman" w:cs="Times New Roman"/>
          <w:sz w:val="32"/>
          <w:szCs w:val="32"/>
        </w:rPr>
        <w:t>人次，主要是</w:t>
      </w:r>
      <w:r>
        <w:rPr>
          <w:rFonts w:ascii="Times New Roman" w:eastAsia="仿宋_GB2312" w:hAnsi="Times New Roman" w:hint="eastAsia"/>
          <w:bCs/>
          <w:sz w:val="32"/>
          <w:szCs w:val="32"/>
        </w:rPr>
        <w:t>上级业务部门调研、其他县区交流学习发生的接待支出。</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万元；年初结转</w:t>
      </w:r>
      <w:r>
        <w:rPr>
          <w:rFonts w:ascii="Times New Roman" w:eastAsia="仿宋_GB2312" w:hAnsi="Times New Roman" w:cs="Times New Roman"/>
          <w:sz w:val="32"/>
          <w:szCs w:val="32"/>
        </w:rPr>
        <w:lastRenderedPageBreak/>
        <w:t>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万元；年末结转和结余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年度本单位无政府性基金收支。</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747.46</w:t>
      </w:r>
      <w:r>
        <w:rPr>
          <w:rFonts w:ascii="Times New Roman" w:eastAsia="仿宋_GB2312" w:hAnsi="Times New Roman" w:cs="Times New Roman"/>
          <w:sz w:val="32"/>
          <w:szCs w:val="32"/>
        </w:rPr>
        <w:t>万元，比上年决算数减少</w:t>
      </w:r>
      <w:r>
        <w:rPr>
          <w:rFonts w:ascii="Times New Roman" w:eastAsia="仿宋_GB2312" w:hAnsi="Times New Roman" w:cs="Times New Roman" w:hint="eastAsia"/>
          <w:sz w:val="32"/>
          <w:szCs w:val="32"/>
        </w:rPr>
        <w:t>3.16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Pr>
          <w:rFonts w:ascii="Times New Roman" w:eastAsia="仿宋_GB2312" w:hAnsi="Times New Roman" w:hint="eastAsia"/>
          <w:sz w:val="32"/>
          <w:szCs w:val="32"/>
        </w:rPr>
        <w:t>本单位严格按照预算执行，厉行节约</w:t>
      </w:r>
      <w:r>
        <w:rPr>
          <w:rFonts w:ascii="Times New Roman" w:eastAsia="仿宋_GB2312" w:hAnsi="Times New Roman" w:cs="Times New Roman"/>
          <w:sz w:val="32"/>
          <w:szCs w:val="32"/>
        </w:rPr>
        <w:t>。</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E0465E" w:rsidRDefault="00000000">
      <w:pPr>
        <w:spacing w:line="600" w:lineRule="exact"/>
        <w:ind w:firstLineChars="200" w:firstLine="640"/>
        <w:rPr>
          <w:rFonts w:ascii="楷体" w:eastAsia="楷体" w:hAnsi="楷体" w:cs="楷体" w:hint="eastAsia"/>
          <w:b/>
          <w:bCs/>
          <w:i/>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hint="eastAsia"/>
          <w:sz w:val="32"/>
          <w:szCs w:val="32"/>
        </w:rPr>
        <w:t>1.22</w:t>
      </w:r>
      <w:r>
        <w:rPr>
          <w:rFonts w:ascii="Times New Roman" w:eastAsia="仿宋_GB2312" w:hAnsi="Times New Roman" w:cs="Times New Roman"/>
          <w:sz w:val="32"/>
          <w:szCs w:val="32"/>
        </w:rPr>
        <w:t>万元，用于</w:t>
      </w:r>
      <w:r>
        <w:rPr>
          <w:rFonts w:ascii="Times New Roman" w:eastAsia="仿宋_GB2312" w:hAnsi="Times New Roman" w:hint="eastAsia"/>
          <w:sz w:val="32"/>
          <w:szCs w:val="32"/>
        </w:rPr>
        <w:t>市委行政中心大会议室、常委会议室会议用水开支，人数</w:t>
      </w:r>
      <w:r>
        <w:rPr>
          <w:rFonts w:ascii="Times New Roman" w:eastAsia="仿宋_GB2312" w:hAnsi="Times New Roman" w:hint="eastAsia"/>
          <w:sz w:val="32"/>
          <w:szCs w:val="32"/>
        </w:rPr>
        <w:t>100</w:t>
      </w:r>
      <w:r>
        <w:rPr>
          <w:rFonts w:ascii="Times New Roman" w:eastAsia="仿宋_GB2312" w:hAnsi="Times New Roman" w:hint="eastAsia"/>
          <w:sz w:val="32"/>
          <w:szCs w:val="32"/>
        </w:rPr>
        <w:t>人，内容为市委行政中心大会议室各类会议、常委会议；开支培训费</w:t>
      </w:r>
      <w:r>
        <w:rPr>
          <w:rFonts w:ascii="Times New Roman" w:eastAsia="仿宋_GB2312" w:hAnsi="Times New Roman" w:hint="eastAsia"/>
          <w:sz w:val="32"/>
          <w:szCs w:val="32"/>
        </w:rPr>
        <w:t>0.09</w:t>
      </w:r>
      <w:r>
        <w:rPr>
          <w:rFonts w:ascii="Times New Roman" w:eastAsia="仿宋_GB2312" w:hAnsi="Times New Roman" w:hint="eastAsia"/>
          <w:sz w:val="32"/>
          <w:szCs w:val="32"/>
        </w:rPr>
        <w:t>万元，用于开展本单位职工根据市委组织部文件安排参加各类培训，人数</w:t>
      </w:r>
      <w:r>
        <w:rPr>
          <w:rFonts w:ascii="Times New Roman" w:eastAsia="仿宋_GB2312" w:hAnsi="Times New Roman" w:hint="eastAsia"/>
          <w:sz w:val="32"/>
          <w:szCs w:val="32"/>
        </w:rPr>
        <w:t>12</w:t>
      </w:r>
      <w:r>
        <w:rPr>
          <w:rFonts w:ascii="Times New Roman" w:eastAsia="仿宋_GB2312" w:hAnsi="Times New Roman" w:hint="eastAsia"/>
          <w:sz w:val="32"/>
          <w:szCs w:val="32"/>
        </w:rPr>
        <w:t>人，内容为科干部培训等；举办节庆、晚会、论坛、赛事活动，开支</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118.9</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118.9</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lastRenderedPageBreak/>
        <w:t>十二、关于国有资产占用情况说明</w:t>
      </w:r>
    </w:p>
    <w:p w:rsidR="00E0465E"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日，单位共有车辆</w:t>
      </w:r>
      <w:r>
        <w:rPr>
          <w:rFonts w:ascii="Times New Roman" w:eastAsia="仿宋_GB2312" w:hAnsi="Times New Roman" w:cs="Times New Roman" w:hint="eastAsia"/>
          <w:color w:val="auto"/>
          <w:sz w:val="32"/>
          <w:szCs w:val="32"/>
        </w:rPr>
        <w:t>84</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84</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万元以上设备（不含车辆）台（套）。</w:t>
      </w:r>
    </w:p>
    <w:p w:rsidR="00E0465E"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E0465E" w:rsidRDefault="00000000">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年度本部单位整体支出开展绩效自评，涉及项目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个，共涉及资金</w:t>
      </w:r>
      <w:r>
        <w:rPr>
          <w:rFonts w:ascii="Times New Roman" w:eastAsia="仿宋_GB2312" w:hAnsi="Times New Roman" w:cs="Times New Roman" w:hint="eastAsia"/>
          <w:kern w:val="0"/>
          <w:sz w:val="32"/>
          <w:szCs w:val="32"/>
        </w:rPr>
        <w:t>968.4</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968.4</w:t>
      </w:r>
      <w:r>
        <w:rPr>
          <w:rFonts w:ascii="Times New Roman" w:eastAsia="仿宋_GB2312" w:hAnsi="Times New Roman" w:cs="Times New Roman"/>
          <w:kern w:val="0"/>
          <w:sz w:val="32"/>
          <w:szCs w:val="32"/>
        </w:rPr>
        <w:t>万元，占一般公共预算支出总额的</w:t>
      </w:r>
      <w:r>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万元，占国有资本经营预算支出总额的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万元，占社会保险基金预算支出总额的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w:t>
      </w: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行政中心临聘人员经费</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行政中心运行及公车运行经费</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个项目开展了部门评价，涉及一般公共预算支出</w:t>
      </w:r>
      <w:r>
        <w:rPr>
          <w:rFonts w:ascii="Times New Roman" w:eastAsia="仿宋_GB2312" w:hAnsi="Times New Roman" w:cs="Times New Roman" w:hint="eastAsia"/>
          <w:sz w:val="32"/>
          <w:szCs w:val="32"/>
        </w:rPr>
        <w:t>968.4</w:t>
      </w:r>
      <w:r>
        <w:rPr>
          <w:rFonts w:ascii="Times New Roman" w:eastAsia="仿宋_GB2312" w:hAnsi="Times New Roman" w:cs="Times New Roman"/>
          <w:kern w:val="0"/>
          <w:sz w:val="32"/>
          <w:szCs w:val="32"/>
        </w:rPr>
        <w:t>万元，政府性基金预算支出</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万元，国有资本经营预算支出</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万元，社会保险基金预算支出</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b/>
          <w:bCs/>
          <w:kern w:val="0"/>
          <w:sz w:val="32"/>
          <w:szCs w:val="32"/>
        </w:rPr>
        <w:t>三是事前绩效评估开展情况。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个新增重大政策和</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个重大项目开展事前绩效评估，共涉及资金</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E0465E" w:rsidRDefault="00000000">
      <w:pPr>
        <w:spacing w:line="56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968.4</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968.4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。绩效目标完成情况：一是</w:t>
      </w:r>
      <w:r>
        <w:rPr>
          <w:rFonts w:ascii="仿宋_GB2312" w:eastAsia="仿宋_GB2312" w:hAnsi="仿宋" w:cs="Times New Roman" w:hint="eastAsia"/>
          <w:sz w:val="32"/>
          <w:szCs w:val="32"/>
        </w:rPr>
        <w:t>坚持集约节约，做好公共机构节能管理工作</w:t>
      </w:r>
      <w:r>
        <w:rPr>
          <w:rFonts w:ascii="Times New Roman" w:eastAsia="仿宋_GB2312" w:hAnsi="Times New Roman" w:cs="Times New Roman"/>
          <w:sz w:val="32"/>
          <w:szCs w:val="32"/>
        </w:rPr>
        <w:t>；二是</w:t>
      </w:r>
      <w:r>
        <w:rPr>
          <w:rFonts w:ascii="仿宋_GB2312" w:eastAsia="仿宋_GB2312" w:hAnsi="仿宋" w:cs="Times New Roman" w:hint="eastAsia"/>
          <w:sz w:val="32"/>
          <w:szCs w:val="32"/>
        </w:rPr>
        <w:t>坚持集中管理，做好办公用房管理工作；三是坚持统一规范，做好公务用车管理工作；四是深化治安综合治理，强化“平安大院”建设；五是坚持精细管理，提升后勤服务水平质量</w:t>
      </w:r>
      <w:r>
        <w:rPr>
          <w:rFonts w:ascii="Times New Roman" w:eastAsia="仿宋_GB2312" w:hAnsi="Times New Roman" w:cs="Times New Roman"/>
          <w:sz w:val="32"/>
          <w:szCs w:val="32"/>
        </w:rPr>
        <w:t>。发现的主要问题及原因：一是预算编制的科学性和精准性有待提高，部分项目预算与实际需求存在偏差，导致预算执行过程中调整频繁；二是部分费用支出控制不够严格，存在超标准、超范围支出的现象。项目资金使用效率不高，部分项目资金拨付后，未能及时发挥效益。下一步改进措施：一是加强预算编制管理；二是强化支出管理</w:t>
      </w:r>
      <w:r>
        <w:rPr>
          <w:rFonts w:ascii="Times New Roman" w:eastAsia="仿宋_GB2312" w:hAnsi="Times New Roman" w:cs="Times New Roman" w:hint="eastAsia"/>
          <w:sz w:val="32"/>
          <w:szCs w:val="32"/>
        </w:rPr>
        <w:t>；三是</w:t>
      </w:r>
      <w:r>
        <w:rPr>
          <w:rFonts w:ascii="Times New Roman" w:eastAsia="仿宋_GB2312" w:hAnsi="Times New Roman" w:cs="Times New Roman"/>
          <w:sz w:val="32"/>
          <w:szCs w:val="32"/>
        </w:rPr>
        <w:t>完善绩效评价</w:t>
      </w:r>
      <w:r>
        <w:rPr>
          <w:rFonts w:ascii="Times New Roman" w:eastAsia="仿宋_GB2312" w:hAnsi="Times New Roman" w:cs="Times New Roman" w:hint="eastAsia"/>
          <w:sz w:val="32"/>
          <w:szCs w:val="32"/>
        </w:rPr>
        <w:t>体系。</w:t>
      </w:r>
      <w:r>
        <w:rPr>
          <w:rFonts w:ascii="Times New Roman" w:eastAsia="仿宋_GB2312" w:hAnsi="Times New Roman" w:cs="Times New Roman"/>
          <w:b/>
          <w:bCs/>
          <w:kern w:val="0"/>
          <w:sz w:val="32"/>
          <w:szCs w:val="32"/>
        </w:rPr>
        <w:t>二是部门评价结果。</w:t>
      </w:r>
      <w:r>
        <w:rPr>
          <w:rFonts w:ascii="Times New Roman" w:eastAsia="仿宋_GB2312" w:hAnsi="Times New Roman" w:cs="Times New Roman" w:hint="eastAsia"/>
          <w:sz w:val="32"/>
          <w:szCs w:val="32"/>
        </w:rPr>
        <w:t>行政中心临聘人员经费</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168.4</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168.4</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项目开支规划不够详细</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成本控制还有待提高</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对项目开支作进一步详细规划</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进一步合理控制成本。行政中心运行及公车运行经费</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800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800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项目各项工作预算编制有待完善</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公车平台日常运转管理情况还有待提高</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加强对项目各项工作预算编制审核力度</w:t>
      </w:r>
      <w:r>
        <w:rPr>
          <w:rFonts w:ascii="Times New Roman" w:eastAsia="仿宋_GB2312" w:hAnsi="Times New Roman" w:cs="Times New Roman"/>
          <w:sz w:val="32"/>
          <w:szCs w:val="32"/>
        </w:rPr>
        <w:t>；二是加快项目实施进度，提高项目资金使用效率</w:t>
      </w:r>
      <w:r>
        <w:rPr>
          <w:rFonts w:ascii="Times New Roman" w:eastAsia="仿宋_GB2312" w:hAnsi="Times New Roman" w:cs="Times New Roman" w:hint="eastAsia"/>
          <w:sz w:val="32"/>
          <w:szCs w:val="32"/>
        </w:rPr>
        <w:t>。</w:t>
      </w:r>
      <w:r>
        <w:rPr>
          <w:rFonts w:ascii="Times New Roman" w:eastAsia="仿宋_GB2312" w:hAnsi="Times New Roman" w:cs="Times New Roman"/>
          <w:b/>
          <w:bCs/>
          <w:kern w:val="0"/>
          <w:sz w:val="32"/>
          <w:szCs w:val="32"/>
        </w:rPr>
        <w:t>三是事前绩效评估结果。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个重大项目事前绩效评估，其中，</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个项目评估通过，涉及资金</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sz w:val="32"/>
          <w:szCs w:val="32"/>
        </w:rPr>
        <w:t>XX</w:t>
      </w:r>
      <w:r>
        <w:rPr>
          <w:rFonts w:ascii="Times New Roman" w:eastAsia="仿宋_GB2312" w:hAnsi="Times New Roman" w:cs="Times New Roman"/>
          <w:kern w:val="0"/>
          <w:sz w:val="32"/>
          <w:szCs w:val="32"/>
        </w:rPr>
        <w:t>个项目评估不通过，涉及资金</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万元。</w:t>
      </w:r>
    </w:p>
    <w:p w:rsidR="00E0465E" w:rsidRDefault="00000000">
      <w:pPr>
        <w:pStyle w:val="Default"/>
        <w:ind w:firstLineChars="200" w:firstLine="643"/>
        <w:rPr>
          <w:rFonts w:ascii="Times New Roman" w:eastAsia="楷体_GB2312" w:hAnsi="Times New Roman" w:cs="Times New Roman"/>
          <w:b/>
          <w:bCs/>
          <w:color w:val="auto"/>
          <w:kern w:val="2"/>
          <w:sz w:val="32"/>
          <w:szCs w:val="32"/>
        </w:rPr>
      </w:pPr>
      <w:r>
        <w:rPr>
          <w:rFonts w:ascii="Times New Roman" w:eastAsia="楷体_GB2312" w:hAnsi="Times New Roman" w:cs="Times New Roman"/>
          <w:b/>
          <w:bCs/>
          <w:color w:val="auto"/>
          <w:kern w:val="2"/>
          <w:sz w:val="32"/>
          <w:szCs w:val="32"/>
        </w:rPr>
        <w:lastRenderedPageBreak/>
        <w:t>（三）评价结果应用情况。</w:t>
      </w:r>
    </w:p>
    <w:p w:rsidR="00E0465E" w:rsidRDefault="00000000">
      <w:pPr>
        <w:pStyle w:val="Default"/>
        <w:ind w:firstLineChars="200" w:firstLine="640"/>
        <w:rPr>
          <w:rFonts w:ascii="Times New Roman" w:eastAsia="仿宋_GB2312" w:hAnsi="Times New Roman"/>
          <w:sz w:val="32"/>
          <w:szCs w:val="32"/>
        </w:rPr>
      </w:pPr>
      <w:r>
        <w:rPr>
          <w:rFonts w:eastAsia="仿宋_GB2312"/>
          <w:bCs/>
          <w:sz w:val="32"/>
          <w:szCs w:val="32"/>
        </w:rPr>
        <w:t>纳入</w:t>
      </w:r>
      <w:r>
        <w:rPr>
          <w:rFonts w:eastAsia="仿宋_GB2312" w:hint="eastAsia"/>
          <w:bCs/>
          <w:sz w:val="32"/>
          <w:szCs w:val="32"/>
        </w:rPr>
        <w:t>2024</w:t>
      </w:r>
      <w:r>
        <w:rPr>
          <w:rFonts w:eastAsia="仿宋_GB2312"/>
          <w:bCs/>
          <w:sz w:val="32"/>
          <w:szCs w:val="32"/>
        </w:rPr>
        <w:t>年</w:t>
      </w:r>
      <w:r>
        <w:rPr>
          <w:rFonts w:eastAsia="仿宋_GB2312" w:hint="eastAsia"/>
          <w:bCs/>
          <w:sz w:val="32"/>
          <w:szCs w:val="32"/>
        </w:rPr>
        <w:t>度</w:t>
      </w:r>
      <w:r>
        <w:rPr>
          <w:rFonts w:eastAsia="仿宋_GB2312"/>
          <w:bCs/>
          <w:sz w:val="32"/>
          <w:szCs w:val="32"/>
        </w:rPr>
        <w:t>部门整体支出绩效目标的金额为</w:t>
      </w:r>
      <w:r>
        <w:rPr>
          <w:rFonts w:ascii="Times New Roman" w:eastAsia="仿宋_GB2312" w:hAnsi="Times New Roman" w:hint="eastAsia"/>
          <w:sz w:val="32"/>
          <w:szCs w:val="32"/>
        </w:rPr>
        <w:t>1220.99</w:t>
      </w:r>
      <w:r>
        <w:rPr>
          <w:rFonts w:eastAsia="仿宋_GB2312"/>
          <w:bCs/>
          <w:sz w:val="32"/>
          <w:szCs w:val="32"/>
        </w:rPr>
        <w:t>万元，其中，基本支出</w:t>
      </w:r>
      <w:r>
        <w:rPr>
          <w:rFonts w:ascii="Times New Roman" w:eastAsia="仿宋_GB2312" w:hAnsi="Times New Roman" w:hint="eastAsia"/>
          <w:sz w:val="32"/>
          <w:szCs w:val="32"/>
        </w:rPr>
        <w:t>1220.99</w:t>
      </w:r>
      <w:r>
        <w:rPr>
          <w:rFonts w:eastAsia="仿宋_GB2312"/>
          <w:bCs/>
          <w:sz w:val="32"/>
          <w:szCs w:val="32"/>
        </w:rPr>
        <w:t>万元，项目支出</w:t>
      </w:r>
      <w:r>
        <w:rPr>
          <w:rFonts w:ascii="Times New Roman" w:eastAsia="仿宋_GB2312" w:hAnsi="Times New Roman" w:hint="eastAsia"/>
          <w:sz w:val="32"/>
          <w:szCs w:val="32"/>
        </w:rPr>
        <w:t>0</w:t>
      </w:r>
      <w:r>
        <w:rPr>
          <w:rFonts w:eastAsia="仿宋_GB2312"/>
          <w:bCs/>
          <w:sz w:val="32"/>
          <w:szCs w:val="32"/>
        </w:rPr>
        <w:t>万元，</w:t>
      </w:r>
      <w:r>
        <w:rPr>
          <w:rFonts w:eastAsia="仿宋_GB2312" w:hint="eastAsia"/>
          <w:bCs/>
          <w:sz w:val="32"/>
          <w:szCs w:val="32"/>
        </w:rPr>
        <w:t>本年度本部门无重点项目支出</w:t>
      </w:r>
      <w:r>
        <w:rPr>
          <w:rFonts w:eastAsia="仿宋_GB2312" w:cs="Times New Roman" w:hint="eastAsia"/>
          <w:bCs/>
          <w:sz w:val="32"/>
          <w:szCs w:val="32"/>
        </w:rPr>
        <w:t>，</w:t>
      </w:r>
      <w:r>
        <w:rPr>
          <w:rFonts w:eastAsia="仿宋_GB2312" w:hint="eastAsia"/>
          <w:bCs/>
          <w:sz w:val="32"/>
          <w:szCs w:val="32"/>
        </w:rPr>
        <w:t>为常规性项目支出，具体内容</w:t>
      </w:r>
      <w:r>
        <w:rPr>
          <w:rFonts w:ascii="Times New Roman" w:eastAsia="仿宋_GB2312" w:hAnsi="Times New Roman" w:hint="eastAsia"/>
          <w:sz w:val="32"/>
          <w:szCs w:val="32"/>
        </w:rPr>
        <w:t>详见附件。</w:t>
      </w:r>
    </w:p>
    <w:p w:rsidR="00E0465E" w:rsidRDefault="00E0465E">
      <w:pPr>
        <w:pStyle w:val="Default"/>
        <w:overflowPunct w:val="0"/>
        <w:autoSpaceDE/>
        <w:autoSpaceDN/>
        <w:spacing w:line="600" w:lineRule="exact"/>
        <w:ind w:firstLineChars="200" w:firstLine="1440"/>
        <w:jc w:val="both"/>
        <w:rPr>
          <w:rFonts w:ascii="Times New Roman" w:eastAsia="仿宋_GB2312" w:hAnsi="Times New Roman" w:cs="Times New Roman"/>
          <w:color w:val="auto"/>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000000">
      <w:pPr>
        <w:pStyle w:val="Default"/>
        <w:numPr>
          <w:ilvl w:val="0"/>
          <w:numId w:val="1"/>
        </w:numPr>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 xml:space="preserve">   </w:t>
      </w:r>
    </w:p>
    <w:p w:rsidR="00E0465E" w:rsidRDefault="00000000">
      <w:pPr>
        <w:pStyle w:val="Default"/>
        <w:spacing w:line="360" w:lineRule="auto"/>
        <w:ind w:firstLineChars="600" w:firstLine="3120"/>
        <w:jc w:val="both"/>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名词解释</w:t>
      </w:r>
    </w:p>
    <w:p w:rsidR="00E0465E" w:rsidRDefault="00E0465E">
      <w:pPr>
        <w:widowControl/>
        <w:jc w:val="left"/>
        <w:rPr>
          <w:rFonts w:ascii="Times New Roman" w:hAnsi="Times New Roman" w:cs="Times New Roman"/>
          <w:color w:val="000000"/>
          <w:kern w:val="0"/>
          <w:sz w:val="32"/>
          <w:szCs w:val="32"/>
        </w:rPr>
      </w:pPr>
    </w:p>
    <w:p w:rsidR="00E0465E" w:rsidRDefault="00E0465E">
      <w:pPr>
        <w:pStyle w:val="ab"/>
        <w:rPr>
          <w:rFonts w:ascii="Times New Roman" w:hAnsi="Times New Roman" w:cs="Times New Roman"/>
          <w:color w:val="000000"/>
          <w:kern w:val="0"/>
          <w:sz w:val="32"/>
          <w:szCs w:val="32"/>
        </w:rPr>
      </w:pPr>
    </w:p>
    <w:p w:rsidR="00E0465E" w:rsidRDefault="00E0465E">
      <w:pPr>
        <w:pStyle w:val="2"/>
        <w:ind w:firstLine="640"/>
        <w:rPr>
          <w:rFonts w:ascii="Times New Roman" w:hAnsi="Times New Roman" w:cs="Times New Roman"/>
          <w:color w:val="000000"/>
          <w:sz w:val="32"/>
          <w:szCs w:val="32"/>
        </w:rPr>
      </w:pPr>
    </w:p>
    <w:p w:rsidR="00E0465E" w:rsidRDefault="00E0465E">
      <w:pPr>
        <w:rPr>
          <w:rFonts w:ascii="Times New Roman" w:hAnsi="Times New Roman" w:cs="Times New Roman"/>
          <w:color w:val="000000"/>
          <w:kern w:val="0"/>
          <w:sz w:val="32"/>
          <w:szCs w:val="32"/>
        </w:rPr>
      </w:pPr>
    </w:p>
    <w:p w:rsidR="00E0465E" w:rsidRDefault="00E0465E">
      <w:pPr>
        <w:pStyle w:val="ab"/>
        <w:rPr>
          <w:rFonts w:ascii="Times New Roman" w:hAnsi="Times New Roman" w:cs="Times New Roman"/>
          <w:color w:val="000000"/>
          <w:kern w:val="0"/>
          <w:sz w:val="32"/>
          <w:szCs w:val="32"/>
        </w:rPr>
      </w:pPr>
    </w:p>
    <w:p w:rsidR="00E0465E" w:rsidRDefault="00E0465E">
      <w:pPr>
        <w:pStyle w:val="2"/>
        <w:ind w:firstLine="640"/>
        <w:rPr>
          <w:rFonts w:ascii="Times New Roman" w:hAnsi="Times New Roman" w:cs="Times New Roman"/>
          <w:color w:val="000000"/>
          <w:sz w:val="32"/>
          <w:szCs w:val="32"/>
        </w:rPr>
      </w:pPr>
    </w:p>
    <w:p w:rsidR="00E0465E" w:rsidRDefault="00E0465E">
      <w:pPr>
        <w:rPr>
          <w:rFonts w:ascii="Times New Roman" w:hAnsi="Times New Roman" w:cs="Times New Roman"/>
          <w:color w:val="000000"/>
          <w:kern w:val="0"/>
          <w:sz w:val="32"/>
          <w:szCs w:val="32"/>
        </w:rPr>
      </w:pPr>
    </w:p>
    <w:p w:rsidR="00E0465E" w:rsidRDefault="00E0465E">
      <w:pPr>
        <w:pStyle w:val="ab"/>
        <w:rPr>
          <w:rFonts w:ascii="Times New Roman" w:hAnsi="Times New Roman" w:cs="Times New Roman"/>
          <w:color w:val="000000"/>
          <w:kern w:val="0"/>
          <w:sz w:val="32"/>
          <w:szCs w:val="32"/>
        </w:rPr>
      </w:pPr>
    </w:p>
    <w:p w:rsidR="00E0465E" w:rsidRDefault="00E0465E">
      <w:pPr>
        <w:pStyle w:val="2"/>
        <w:ind w:firstLine="640"/>
        <w:rPr>
          <w:rFonts w:ascii="Times New Roman" w:hAnsi="Times New Roman" w:cs="Times New Roman"/>
          <w:color w:val="000000"/>
          <w:sz w:val="32"/>
          <w:szCs w:val="32"/>
        </w:rPr>
      </w:pPr>
    </w:p>
    <w:p w:rsidR="00E0465E" w:rsidRDefault="00E0465E">
      <w:pPr>
        <w:pStyle w:val="2"/>
        <w:ind w:leftChars="0" w:left="0" w:firstLineChars="0" w:firstLine="0"/>
        <w:rPr>
          <w:rFonts w:ascii="Times New Roman" w:hAnsi="Times New Roman" w:cs="Times New Roman"/>
          <w:color w:val="000000"/>
          <w:sz w:val="32"/>
          <w:szCs w:val="32"/>
        </w:rPr>
      </w:pPr>
    </w:p>
    <w:p w:rsidR="00E0465E" w:rsidRDefault="00E0465E"/>
    <w:p w:rsidR="00E0465E" w:rsidRDefault="00E0465E">
      <w:pPr>
        <w:pStyle w:val="ab"/>
      </w:pPr>
    </w:p>
    <w:p w:rsidR="00E0465E"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lastRenderedPageBreak/>
        <w:t>一、收入科目</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二、支出科目</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、工资福利支出：反映单位开支的在职职工和编制外长期聘用人员的各类劳动报酬，以及为上述人员缴纳的各项社会保险费等。</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E0465E"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E0465E"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单位公务用车车辆购置支出（含车辆购置税），以及燃料费、维修费、</w:t>
      </w:r>
      <w:r>
        <w:rPr>
          <w:rFonts w:ascii="仿宋" w:eastAsia="仿宋" w:hAnsi="仿宋" w:cs="仿宋" w:hint="eastAsia"/>
          <w:color w:val="000000"/>
          <w:sz w:val="32"/>
          <w:szCs w:val="32"/>
          <w:shd w:val="clear" w:color="auto" w:fill="FFFFFF"/>
        </w:rPr>
        <w:t>过路过桥费、保险费等支出。</w:t>
      </w: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E0465E">
      <w:pPr>
        <w:pStyle w:val="Default"/>
        <w:jc w:val="center"/>
        <w:rPr>
          <w:rFonts w:ascii="Times New Roman" w:hAnsi="Times New Roman" w:cs="Times New Roman"/>
          <w:sz w:val="72"/>
          <w:szCs w:val="72"/>
        </w:rPr>
      </w:pPr>
    </w:p>
    <w:p w:rsidR="00E0465E" w:rsidRDefault="00E0465E">
      <w:pPr>
        <w:pStyle w:val="Default"/>
        <w:jc w:val="both"/>
        <w:rPr>
          <w:rFonts w:ascii="Times New Roman" w:hAnsi="Times New Roman" w:cs="Times New Roman"/>
          <w:sz w:val="72"/>
          <w:szCs w:val="72"/>
        </w:rPr>
      </w:pPr>
    </w:p>
    <w:p w:rsidR="00E0465E" w:rsidRDefault="00000000">
      <w:pPr>
        <w:pStyle w:val="Default"/>
        <w:numPr>
          <w:ilvl w:val="0"/>
          <w:numId w:val="2"/>
        </w:numPr>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 xml:space="preserve"> </w:t>
      </w:r>
    </w:p>
    <w:p w:rsidR="00E0465E" w:rsidRDefault="00E0465E">
      <w:pPr>
        <w:pStyle w:val="Default"/>
        <w:spacing w:line="360" w:lineRule="auto"/>
        <w:ind w:firstLineChars="600" w:firstLine="3120"/>
        <w:jc w:val="both"/>
        <w:rPr>
          <w:rFonts w:ascii="Times New Roman" w:eastAsia="方正小标宋_GBK" w:hAnsi="Times New Roman" w:cs="Times New Roman"/>
          <w:sz w:val="52"/>
          <w:szCs w:val="52"/>
        </w:rPr>
      </w:pPr>
    </w:p>
    <w:p w:rsidR="00E0465E" w:rsidRDefault="00E0465E">
      <w:pPr>
        <w:pStyle w:val="Default"/>
        <w:spacing w:line="360" w:lineRule="auto"/>
        <w:ind w:firstLineChars="600" w:firstLine="3120"/>
        <w:jc w:val="both"/>
        <w:rPr>
          <w:rFonts w:ascii="Times New Roman" w:eastAsia="方正小标宋_GBK" w:hAnsi="Times New Roman" w:cs="Times New Roman"/>
          <w:sz w:val="52"/>
          <w:szCs w:val="52"/>
        </w:rPr>
      </w:pPr>
    </w:p>
    <w:p w:rsidR="00E0465E" w:rsidRDefault="00000000">
      <w:pPr>
        <w:pStyle w:val="Default"/>
        <w:spacing w:line="360" w:lineRule="auto"/>
        <w:ind w:firstLineChars="600" w:firstLine="3120"/>
        <w:jc w:val="both"/>
        <w:rPr>
          <w:rFonts w:ascii="Times New Roman" w:eastAsia="方正小标宋_GBK" w:hAnsi="Times New Roman" w:cs="Times New Roman"/>
          <w:sz w:val="52"/>
          <w:szCs w:val="52"/>
        </w:rPr>
      </w:pPr>
      <w:r>
        <w:rPr>
          <w:rFonts w:ascii="Times New Roman" w:eastAsia="方正小标宋_GBK" w:hAnsi="Times New Roman" w:cs="Times New Roman"/>
          <w:sz w:val="52"/>
          <w:szCs w:val="52"/>
        </w:rPr>
        <w:t xml:space="preserve"> </w:t>
      </w:r>
      <w:r>
        <w:rPr>
          <w:rFonts w:ascii="Times New Roman" w:eastAsia="方正小标宋_GBK" w:hAnsi="Times New Roman" w:cs="Times New Roman" w:hint="eastAsia"/>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E0465E" w:rsidRDefault="00E0465E">
      <w:pPr>
        <w:rPr>
          <w:rFonts w:ascii="Times New Roman" w:hAnsi="Times New Roman" w:cs="Times New Roman"/>
          <w:sz w:val="72"/>
          <w:szCs w:val="72"/>
        </w:rPr>
      </w:pPr>
    </w:p>
    <w:p w:rsidR="00E0465E" w:rsidRDefault="00E0465E">
      <w:pPr>
        <w:pStyle w:val="ab"/>
        <w:rPr>
          <w:rFonts w:ascii="Times New Roman" w:hAnsi="Times New Roman" w:cs="Times New Roman"/>
          <w:sz w:val="72"/>
          <w:szCs w:val="72"/>
        </w:rPr>
      </w:pPr>
    </w:p>
    <w:p w:rsidR="00E0465E" w:rsidRDefault="00E0465E">
      <w:pPr>
        <w:rPr>
          <w:rFonts w:ascii="Times New Roman" w:hAnsi="Times New Roman" w:cs="Times New Roman"/>
          <w:sz w:val="72"/>
          <w:szCs w:val="72"/>
        </w:rPr>
      </w:pPr>
    </w:p>
    <w:p w:rsidR="00E0465E" w:rsidRDefault="00E0465E">
      <w:pPr>
        <w:pStyle w:val="ab"/>
        <w:rPr>
          <w:rFonts w:ascii="Times New Roman" w:hAnsi="Times New Roman" w:cs="Times New Roman"/>
          <w:sz w:val="72"/>
          <w:szCs w:val="72"/>
        </w:rPr>
      </w:pPr>
    </w:p>
    <w:p w:rsidR="00E0465E" w:rsidRDefault="00E0465E">
      <w:pPr>
        <w:pStyle w:val="2"/>
        <w:ind w:firstLine="480"/>
        <w:rPr>
          <w:rFonts w:hint="eastAsia"/>
        </w:rPr>
      </w:pPr>
    </w:p>
    <w:p w:rsidR="00E0465E" w:rsidRDefault="00E0465E">
      <w:pPr>
        <w:pStyle w:val="ab"/>
        <w:rPr>
          <w:rFonts w:ascii="Times New Roman" w:hAnsi="Times New Roman" w:cs="Times New Roman"/>
          <w:sz w:val="72"/>
          <w:szCs w:val="72"/>
        </w:rPr>
      </w:pPr>
    </w:p>
    <w:p w:rsidR="00E0465E" w:rsidRDefault="00E0465E">
      <w:pPr>
        <w:pStyle w:val="2"/>
        <w:ind w:firstLine="1440"/>
        <w:rPr>
          <w:rFonts w:ascii="Times New Roman" w:hAnsi="Times New Roman" w:cs="Times New Roman"/>
          <w:sz w:val="72"/>
          <w:szCs w:val="72"/>
        </w:rPr>
      </w:pPr>
    </w:p>
    <w:p w:rsidR="00E0465E" w:rsidRDefault="00E0465E">
      <w:pPr>
        <w:pStyle w:val="2"/>
        <w:ind w:leftChars="0" w:left="0" w:firstLineChars="0" w:firstLine="0"/>
        <w:rPr>
          <w:rFonts w:hint="eastAsia"/>
        </w:rPr>
      </w:pPr>
    </w:p>
    <w:p w:rsidR="00E0465E" w:rsidRDefault="00000000">
      <w:pPr>
        <w:ind w:firstLineChars="200" w:firstLine="723"/>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lastRenderedPageBreak/>
        <w:t>2024</w:t>
      </w:r>
      <w:r>
        <w:rPr>
          <w:rFonts w:ascii="Times New Roman" w:eastAsia="仿宋_GB2312" w:hAnsi="Times New Roman" w:cs="黑体" w:hint="eastAsia"/>
          <w:b/>
          <w:color w:val="000000"/>
          <w:kern w:val="0"/>
          <w:sz w:val="36"/>
          <w:szCs w:val="36"/>
        </w:rPr>
        <w:t>年度祁阳市机关事务服务中心整体支出绩效自评报告</w:t>
      </w:r>
    </w:p>
    <w:p w:rsidR="00E0465E" w:rsidRDefault="00E0465E">
      <w:pPr>
        <w:pStyle w:val="Default"/>
        <w:spacing w:line="580" w:lineRule="exact"/>
        <w:ind w:firstLineChars="200" w:firstLine="643"/>
        <w:rPr>
          <w:rFonts w:ascii="楷体" w:eastAsia="楷体" w:hAnsi="楷体" w:cs="楷体" w:hint="eastAsia"/>
          <w:b/>
          <w:bCs/>
          <w:sz w:val="32"/>
          <w:szCs w:val="32"/>
        </w:rPr>
      </w:pPr>
    </w:p>
    <w:p w:rsidR="00E0465E" w:rsidRDefault="00000000">
      <w:pPr>
        <w:pStyle w:val="Default"/>
        <w:numPr>
          <w:ilvl w:val="0"/>
          <w:numId w:val="3"/>
        </w:num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绩效管理工作开展情况</w:t>
      </w:r>
    </w:p>
    <w:p w:rsidR="00E0465E" w:rsidRDefault="00000000">
      <w:pPr>
        <w:pStyle w:val="Default"/>
        <w:spacing w:line="580" w:lineRule="exact"/>
        <w:ind w:firstLineChars="200" w:firstLine="640"/>
        <w:rPr>
          <w:rFonts w:ascii="楷体" w:eastAsia="楷体" w:hAnsi="楷体" w:cs="楷体" w:hint="eastAsia"/>
          <w:b/>
          <w:bCs/>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在市委、市政府的正确领导下，在市财政局的直接指导下，严格遵守《行政事业单位会计制度》，祁阳市机关事务服务中心牢固树立创新、协调、绿色、开放、共享发展理念，以“管理上层次、服务上水平、工作创一流”为指导思想，狠抓作风转变，切实履行管理保障服务职能，年度各项任务圆满完成，为党政机关高效有序运转提供了有力保障。</w:t>
      </w:r>
    </w:p>
    <w:p w:rsidR="00E0465E"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（二）部门（单位）整体支出绩效情况</w:t>
      </w:r>
    </w:p>
    <w:p w:rsidR="00E0465E" w:rsidRDefault="00000000">
      <w:pPr>
        <w:pStyle w:val="ac"/>
        <w:spacing w:before="0" w:beforeAutospacing="0" w:after="0" w:afterAutospacing="0" w:line="600" w:lineRule="exact"/>
        <w:ind w:firstLineChars="200" w:firstLine="643"/>
        <w:rPr>
          <w:rFonts w:ascii="Times New Roman" w:eastAsia="仿宋_GB2312" w:hAnsi="Times New Roman" w:cs="黑体"/>
          <w:color w:val="000000"/>
          <w:sz w:val="32"/>
          <w:szCs w:val="32"/>
        </w:rPr>
      </w:pPr>
      <w:r>
        <w:rPr>
          <w:rFonts w:ascii="Times New Roman" w:eastAsia="仿宋_GB2312" w:hAnsi="Times New Roman" w:cs="黑体" w:hint="eastAsia"/>
          <w:b/>
          <w:bCs/>
          <w:color w:val="000000"/>
          <w:sz w:val="32"/>
          <w:szCs w:val="32"/>
        </w:rPr>
        <w:t>1</w:t>
      </w:r>
      <w:r>
        <w:rPr>
          <w:rFonts w:ascii="Times New Roman" w:eastAsia="仿宋_GB2312" w:hAnsi="Times New Roman" w:cs="黑体" w:hint="eastAsia"/>
          <w:b/>
          <w:bCs/>
          <w:color w:val="000000"/>
          <w:sz w:val="32"/>
          <w:szCs w:val="32"/>
        </w:rPr>
        <w:t>、</w:t>
      </w:r>
      <w:r>
        <w:rPr>
          <w:rFonts w:ascii="Times New Roman" w:eastAsia="仿宋_GB2312" w:hAnsi="Times New Roman" w:cs="黑体"/>
          <w:b/>
          <w:bCs/>
          <w:color w:val="000000"/>
          <w:sz w:val="32"/>
          <w:szCs w:val="32"/>
        </w:rPr>
        <w:t>严格执行财务管理制度。</w:t>
      </w:r>
      <w:r>
        <w:rPr>
          <w:rFonts w:ascii="Times New Roman" w:eastAsia="仿宋_GB2312" w:hAnsi="Times New Roman" w:cs="黑体"/>
          <w:color w:val="000000"/>
          <w:sz w:val="32"/>
          <w:szCs w:val="32"/>
        </w:rPr>
        <w:t>严格执行中央和上级有关部门出台的财经纪律相关规定，严控</w:t>
      </w:r>
      <w:r w:rsidR="00C14054">
        <w:rPr>
          <w:rFonts w:ascii="Times New Roman" w:eastAsia="仿宋_GB2312" w:hAnsi="Times New Roman" w:cs="黑体" w:hint="eastAsia"/>
          <w:color w:val="000000"/>
          <w:sz w:val="32"/>
          <w:szCs w:val="32"/>
        </w:rPr>
        <w:t>“</w:t>
      </w:r>
      <w:r w:rsidR="00C14054">
        <w:rPr>
          <w:rFonts w:ascii="Times New Roman" w:eastAsia="仿宋_GB2312" w:hAnsi="Times New Roman" w:cs="黑体"/>
          <w:color w:val="000000"/>
          <w:sz w:val="32"/>
          <w:szCs w:val="32"/>
        </w:rPr>
        <w:t>三公</w:t>
      </w:r>
      <w:r w:rsidR="00C14054">
        <w:rPr>
          <w:rFonts w:ascii="Times New Roman" w:eastAsia="仿宋_GB2312" w:hAnsi="Times New Roman" w:cs="黑体" w:hint="eastAsia"/>
          <w:color w:val="000000"/>
          <w:sz w:val="32"/>
          <w:szCs w:val="32"/>
        </w:rPr>
        <w:t>”</w:t>
      </w:r>
      <w:r>
        <w:rPr>
          <w:rFonts w:ascii="Times New Roman" w:eastAsia="仿宋_GB2312" w:hAnsi="Times New Roman" w:cs="黑体"/>
          <w:color w:val="000000"/>
          <w:sz w:val="32"/>
          <w:szCs w:val="32"/>
        </w:rPr>
        <w:t>经费、会议费、培训费、差旅费等支出。严格报账程序，严把票据审核关，减少现金支付。认真做好会计核算，做到账账相符、账实相符。强化内控建设，防范防控岗位风险</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确保各项工作有序运转。</w:t>
      </w:r>
    </w:p>
    <w:p w:rsidR="00E0465E" w:rsidRDefault="00000000">
      <w:pPr>
        <w:pStyle w:val="ac"/>
        <w:spacing w:before="0" w:beforeAutospacing="0" w:after="0" w:afterAutospacing="0" w:line="600" w:lineRule="exact"/>
        <w:ind w:firstLineChars="200" w:firstLine="643"/>
        <w:rPr>
          <w:rFonts w:ascii="Times New Roman" w:eastAsia="仿宋_GB2312" w:hAnsi="Times New Roman" w:cs="黑体"/>
          <w:color w:val="000000"/>
          <w:sz w:val="32"/>
          <w:szCs w:val="32"/>
        </w:rPr>
      </w:pPr>
      <w:r>
        <w:rPr>
          <w:rFonts w:ascii="Times New Roman" w:eastAsia="仿宋_GB2312" w:hAnsi="Times New Roman" w:cs="黑体" w:hint="eastAsia"/>
          <w:b/>
          <w:bCs/>
          <w:color w:val="000000"/>
          <w:sz w:val="32"/>
          <w:szCs w:val="32"/>
        </w:rPr>
        <w:t>2</w:t>
      </w:r>
      <w:r>
        <w:rPr>
          <w:rFonts w:ascii="Times New Roman" w:eastAsia="仿宋_GB2312" w:hAnsi="Times New Roman" w:cs="黑体" w:hint="eastAsia"/>
          <w:b/>
          <w:bCs/>
          <w:color w:val="000000"/>
          <w:sz w:val="32"/>
          <w:szCs w:val="32"/>
        </w:rPr>
        <w:t>、</w:t>
      </w:r>
      <w:r>
        <w:rPr>
          <w:rFonts w:ascii="Times New Roman" w:eastAsia="仿宋_GB2312" w:hAnsi="Times New Roman" w:cs="黑体"/>
          <w:b/>
          <w:bCs/>
          <w:color w:val="000000"/>
          <w:sz w:val="32"/>
          <w:szCs w:val="32"/>
        </w:rPr>
        <w:t>加强政府采购管理。</w:t>
      </w:r>
      <w:r>
        <w:rPr>
          <w:rFonts w:ascii="Times New Roman" w:eastAsia="仿宋_GB2312" w:hAnsi="Times New Roman" w:cs="黑体"/>
          <w:color w:val="000000"/>
          <w:sz w:val="32"/>
          <w:szCs w:val="32"/>
        </w:rPr>
        <w:t>严格按照《政府采购法》和《政府采购法实施条例》等相关管理规定，根据省采购目录和财政部门预算管理要求，编制政府采购计划，将采购项目全部纳入部门预算管理。采购前</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与财政做好相关事前沟通</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做好采购政策咨询，了解相关业务规范；采购中</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合理选择采购方式，确保采购流程合理合规，做好采购项目信息的公开公示工作；采购后</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抓好采购项目的监管工作，严把质量关力求实效。</w:t>
      </w:r>
    </w:p>
    <w:p w:rsidR="00E0465E" w:rsidRDefault="00000000">
      <w:pPr>
        <w:pStyle w:val="ac"/>
        <w:spacing w:before="0" w:beforeAutospacing="0" w:after="0" w:afterAutospacing="0" w:line="600" w:lineRule="exact"/>
        <w:ind w:firstLineChars="200" w:firstLine="643"/>
        <w:rPr>
          <w:rFonts w:ascii="Times New Roman" w:eastAsia="仿宋_GB2312" w:hAnsi="Times New Roman" w:cs="黑体"/>
          <w:color w:val="000000"/>
          <w:sz w:val="32"/>
          <w:szCs w:val="32"/>
        </w:rPr>
      </w:pPr>
      <w:r>
        <w:rPr>
          <w:rFonts w:ascii="Times New Roman" w:eastAsia="仿宋_GB2312" w:hAnsi="Times New Roman" w:cs="黑体" w:hint="eastAsia"/>
          <w:b/>
          <w:bCs/>
          <w:color w:val="000000"/>
          <w:sz w:val="32"/>
          <w:szCs w:val="32"/>
        </w:rPr>
        <w:lastRenderedPageBreak/>
        <w:t>3</w:t>
      </w:r>
      <w:r>
        <w:rPr>
          <w:rFonts w:ascii="Times New Roman" w:eastAsia="仿宋_GB2312" w:hAnsi="Times New Roman" w:cs="黑体" w:hint="eastAsia"/>
          <w:b/>
          <w:bCs/>
          <w:color w:val="000000"/>
          <w:sz w:val="32"/>
          <w:szCs w:val="32"/>
        </w:rPr>
        <w:t>、</w:t>
      </w:r>
      <w:r>
        <w:rPr>
          <w:rFonts w:ascii="Times New Roman" w:eastAsia="仿宋_GB2312" w:hAnsi="Times New Roman" w:cs="黑体"/>
          <w:b/>
          <w:bCs/>
          <w:color w:val="000000"/>
          <w:sz w:val="32"/>
          <w:szCs w:val="32"/>
        </w:rPr>
        <w:t>加强固定资产管理。</w:t>
      </w:r>
      <w:r>
        <w:rPr>
          <w:rFonts w:ascii="Times New Roman" w:eastAsia="仿宋_GB2312" w:hAnsi="Times New Roman" w:cs="黑体"/>
          <w:color w:val="000000"/>
          <w:sz w:val="32"/>
          <w:szCs w:val="32"/>
        </w:rPr>
        <w:t>严格按照资产管理家具配置标准、新增资产配置流程、处置审批制度等相关文件要求，做好固定资产采买、报废、调整等相关管理工作。部门资产录入固定资产管理系统</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建资产管理卡片</w:t>
      </w:r>
      <w:r>
        <w:rPr>
          <w:rFonts w:ascii="Times New Roman" w:eastAsia="仿宋_GB2312" w:hAnsi="Times New Roman" w:cs="黑体"/>
          <w:color w:val="000000"/>
          <w:sz w:val="32"/>
          <w:szCs w:val="32"/>
        </w:rPr>
        <w:t xml:space="preserve">, </w:t>
      </w:r>
      <w:r>
        <w:rPr>
          <w:rFonts w:ascii="Times New Roman" w:eastAsia="仿宋_GB2312" w:hAnsi="Times New Roman" w:cs="黑体"/>
          <w:color w:val="000000"/>
          <w:sz w:val="32"/>
          <w:szCs w:val="32"/>
        </w:rPr>
        <w:t>及时更新资产管理信息系统数据，做到账实相符、账卡相符。</w:t>
      </w:r>
    </w:p>
    <w:p w:rsidR="00E0465E" w:rsidRDefault="00000000">
      <w:pPr>
        <w:pStyle w:val="Default"/>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（三）存在的问题及原因分析</w:t>
      </w:r>
    </w:p>
    <w:p w:rsidR="00E0465E" w:rsidRDefault="00000000">
      <w:pPr>
        <w:pStyle w:val="ac"/>
        <w:widowControl/>
        <w:spacing w:line="240" w:lineRule="atLeast"/>
        <w:ind w:firstLineChars="200" w:firstLine="640"/>
        <w:jc w:val="both"/>
        <w:rPr>
          <w:rFonts w:ascii="Times New Roman" w:eastAsia="仿宋_GB2312" w:hAnsi="Times New Roman" w:cs="黑体"/>
          <w:color w:val="000000"/>
          <w:sz w:val="32"/>
          <w:szCs w:val="32"/>
        </w:rPr>
      </w:pPr>
      <w:r>
        <w:rPr>
          <w:rFonts w:ascii="Times New Roman" w:eastAsia="仿宋_GB2312" w:hAnsi="Times New Roman" w:cs="黑体"/>
          <w:color w:val="000000"/>
          <w:sz w:val="32"/>
          <w:szCs w:val="32"/>
        </w:rPr>
        <w:t>20</w:t>
      </w:r>
      <w:r>
        <w:rPr>
          <w:rFonts w:ascii="Times New Roman" w:eastAsia="仿宋_GB2312" w:hAnsi="Times New Roman" w:cs="黑体" w:hint="eastAsia"/>
          <w:color w:val="000000"/>
          <w:sz w:val="32"/>
          <w:szCs w:val="32"/>
        </w:rPr>
        <w:t>24</w:t>
      </w:r>
      <w:r>
        <w:rPr>
          <w:rFonts w:ascii="Times New Roman" w:eastAsia="仿宋_GB2312" w:hAnsi="Times New Roman" w:cs="黑体"/>
          <w:color w:val="000000"/>
          <w:sz w:val="32"/>
          <w:szCs w:val="32"/>
        </w:rPr>
        <w:t>年，我</w:t>
      </w:r>
      <w:r>
        <w:rPr>
          <w:rFonts w:ascii="Times New Roman" w:eastAsia="仿宋_GB2312" w:hAnsi="Times New Roman" w:cs="黑体" w:hint="eastAsia"/>
          <w:color w:val="000000"/>
          <w:sz w:val="32"/>
          <w:szCs w:val="32"/>
        </w:rPr>
        <w:t>单位</w:t>
      </w:r>
      <w:r>
        <w:rPr>
          <w:rFonts w:ascii="Times New Roman" w:eastAsia="仿宋_GB2312" w:hAnsi="Times New Roman" w:cs="黑体"/>
          <w:color w:val="000000"/>
          <w:sz w:val="32"/>
          <w:szCs w:val="32"/>
        </w:rPr>
        <w:t>严格按照年初预算批复认真组织实施</w:t>
      </w:r>
      <w:r>
        <w:rPr>
          <w:rFonts w:ascii="Times New Roman" w:eastAsia="仿宋_GB2312" w:hAnsi="Times New Roman" w:cs="黑体"/>
          <w:color w:val="000000"/>
          <w:sz w:val="32"/>
          <w:szCs w:val="32"/>
        </w:rPr>
        <w:t xml:space="preserve">, </w:t>
      </w:r>
      <w:r>
        <w:rPr>
          <w:rFonts w:ascii="Times New Roman" w:eastAsia="仿宋_GB2312" w:hAnsi="Times New Roman" w:cs="黑体"/>
          <w:color w:val="000000"/>
          <w:sz w:val="32"/>
          <w:szCs w:val="32"/>
        </w:rPr>
        <w:t>严格执行财经纪律相关管理规定，做到各项收支安排使用符合事业发展计划和财政政策的要求，确保了单位正常运行和重大项目的实施，较好地完成了</w:t>
      </w:r>
      <w:r>
        <w:rPr>
          <w:rFonts w:ascii="Times New Roman" w:eastAsia="仿宋_GB2312" w:hAnsi="Times New Roman" w:cs="黑体"/>
          <w:color w:val="000000"/>
          <w:sz w:val="32"/>
          <w:szCs w:val="32"/>
        </w:rPr>
        <w:t>20</w:t>
      </w:r>
      <w:r>
        <w:rPr>
          <w:rFonts w:ascii="Times New Roman" w:eastAsia="仿宋_GB2312" w:hAnsi="Times New Roman" w:cs="黑体" w:hint="eastAsia"/>
          <w:color w:val="000000"/>
          <w:sz w:val="32"/>
          <w:szCs w:val="32"/>
        </w:rPr>
        <w:t>24</w:t>
      </w:r>
      <w:r>
        <w:rPr>
          <w:rFonts w:ascii="Times New Roman" w:eastAsia="仿宋_GB2312" w:hAnsi="Times New Roman" w:cs="黑体"/>
          <w:color w:val="000000"/>
          <w:sz w:val="32"/>
          <w:szCs w:val="32"/>
        </w:rPr>
        <w:t>年部门预算编制和决算汇总工作</w:t>
      </w:r>
      <w:r>
        <w:rPr>
          <w:rFonts w:ascii="Times New Roman" w:eastAsia="仿宋_GB2312" w:hAnsi="Times New Roman" w:cs="黑体"/>
          <w:color w:val="000000"/>
          <w:sz w:val="32"/>
          <w:szCs w:val="32"/>
        </w:rPr>
        <w:t>, 20</w:t>
      </w:r>
      <w:r>
        <w:rPr>
          <w:rFonts w:ascii="Times New Roman" w:eastAsia="仿宋_GB2312" w:hAnsi="Times New Roman" w:cs="黑体" w:hint="eastAsia"/>
          <w:color w:val="000000"/>
          <w:sz w:val="32"/>
          <w:szCs w:val="32"/>
        </w:rPr>
        <w:t>24</w:t>
      </w:r>
      <w:r>
        <w:rPr>
          <w:rFonts w:ascii="Times New Roman" w:eastAsia="仿宋_GB2312" w:hAnsi="Times New Roman" w:cs="黑体"/>
          <w:color w:val="000000"/>
          <w:sz w:val="32"/>
          <w:szCs w:val="32"/>
        </w:rPr>
        <w:t>年目标任务基本完成，预算执行情况较好。但仍存在预算编制不够完善</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个别项目进度缓慢、绩效管理工作有待加强等问题。</w:t>
      </w:r>
      <w:r>
        <w:rPr>
          <w:rFonts w:ascii="Times New Roman" w:eastAsia="仿宋_GB2312" w:hAnsi="Times New Roman" w:cs="黑体" w:hint="eastAsia"/>
          <w:color w:val="000000"/>
          <w:sz w:val="32"/>
          <w:szCs w:val="32"/>
        </w:rPr>
        <w:t>一是预算执行进度有待进一步提高。我中心</w:t>
      </w:r>
      <w:r>
        <w:rPr>
          <w:rFonts w:ascii="Times New Roman" w:eastAsia="仿宋_GB2312" w:hAnsi="Times New Roman" w:cs="黑体" w:hint="eastAsia"/>
          <w:color w:val="000000"/>
          <w:sz w:val="32"/>
          <w:szCs w:val="32"/>
        </w:rPr>
        <w:t>2024</w:t>
      </w:r>
      <w:r>
        <w:rPr>
          <w:rFonts w:ascii="Times New Roman" w:eastAsia="仿宋_GB2312" w:hAnsi="Times New Roman" w:cs="黑体" w:hint="eastAsia"/>
          <w:color w:val="000000"/>
          <w:sz w:val="32"/>
          <w:szCs w:val="32"/>
        </w:rPr>
        <w:t>年度支出预算执行进度较</w:t>
      </w:r>
      <w:r>
        <w:rPr>
          <w:rFonts w:ascii="Times New Roman" w:eastAsia="仿宋_GB2312" w:hAnsi="Times New Roman" w:cs="黑体" w:hint="eastAsia"/>
          <w:color w:val="000000"/>
          <w:sz w:val="32"/>
          <w:szCs w:val="32"/>
        </w:rPr>
        <w:t>2023</w:t>
      </w:r>
      <w:r>
        <w:rPr>
          <w:rFonts w:ascii="Times New Roman" w:eastAsia="仿宋_GB2312" w:hAnsi="Times New Roman" w:cs="黑体" w:hint="eastAsia"/>
          <w:color w:val="000000"/>
          <w:sz w:val="32"/>
          <w:szCs w:val="32"/>
        </w:rPr>
        <w:t>年度有所加快，但仍不够理想，有待进一步提高。二是预算编制科学化、精细化程度不够高。工作计划较预算编制滞后，部分预算编制不够精确，导致执行中的预算调整和执行后的资金结余。</w:t>
      </w:r>
    </w:p>
    <w:p w:rsidR="00E0465E" w:rsidRDefault="00000000">
      <w:pPr>
        <w:pStyle w:val="ac"/>
        <w:widowControl/>
        <w:spacing w:line="240" w:lineRule="atLeast"/>
        <w:ind w:firstLineChars="200" w:firstLine="640"/>
        <w:jc w:val="both"/>
        <w:rPr>
          <w:rFonts w:ascii="Times New Roman" w:hAnsi="Times New Roman"/>
          <w:color w:val="000000"/>
          <w:sz w:val="32"/>
          <w:szCs w:val="32"/>
        </w:rPr>
      </w:pPr>
      <w:r>
        <w:rPr>
          <w:rFonts w:ascii="Times New Roman" w:eastAsia="仿宋_GB2312" w:hAnsi="Times New Roman" w:cs="黑体"/>
          <w:color w:val="000000"/>
          <w:sz w:val="32"/>
          <w:szCs w:val="32"/>
        </w:rPr>
        <w:t>在今后的工作中</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我</w:t>
      </w:r>
      <w:r>
        <w:rPr>
          <w:rFonts w:ascii="Times New Roman" w:eastAsia="仿宋_GB2312" w:hAnsi="Times New Roman" w:cs="黑体" w:hint="eastAsia"/>
          <w:color w:val="000000"/>
          <w:sz w:val="32"/>
          <w:szCs w:val="32"/>
        </w:rPr>
        <w:t>单位</w:t>
      </w:r>
      <w:r>
        <w:rPr>
          <w:rFonts w:ascii="Times New Roman" w:eastAsia="仿宋_GB2312" w:hAnsi="Times New Roman" w:cs="黑体"/>
          <w:color w:val="000000"/>
          <w:sz w:val="32"/>
          <w:szCs w:val="32"/>
        </w:rPr>
        <w:t>将严格按照新《预算法》的要求，加强预算编制的科学性、合理性</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让预算编制更贴合实际，使项目预算与工作结合更加紧密。严格按照批复预算执行，并按照项目开展进度有计划申请资金及时支付。加强预算绩效管理，</w:t>
      </w:r>
      <w:r>
        <w:rPr>
          <w:rFonts w:ascii="Times New Roman" w:eastAsia="仿宋_GB2312" w:hAnsi="Times New Roman" w:cs="黑体"/>
          <w:color w:val="000000"/>
          <w:sz w:val="32"/>
          <w:szCs w:val="32"/>
        </w:rPr>
        <w:lastRenderedPageBreak/>
        <w:t>增强预算约束力，做好预算项目支出绩效目标及各项绩效指标的细化、量化工作</w:t>
      </w:r>
      <w:r>
        <w:rPr>
          <w:rFonts w:ascii="Times New Roman" w:eastAsia="仿宋_GB2312" w:hAnsi="Times New Roman" w:cs="黑体"/>
          <w:color w:val="000000"/>
          <w:sz w:val="32"/>
          <w:szCs w:val="32"/>
        </w:rPr>
        <w:t>,</w:t>
      </w:r>
      <w:r>
        <w:rPr>
          <w:rFonts w:ascii="Times New Roman" w:eastAsia="仿宋_GB2312" w:hAnsi="Times New Roman" w:cs="黑体"/>
          <w:color w:val="000000"/>
          <w:sz w:val="32"/>
          <w:szCs w:val="32"/>
        </w:rPr>
        <w:t>用好用活各类财政资金，提高财政资金的使用效益。</w:t>
      </w:r>
    </w:p>
    <w:sectPr w:rsidR="00E0465E">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6F0" w:rsidRDefault="006006F0">
      <w:r>
        <w:separator/>
      </w:r>
    </w:p>
  </w:endnote>
  <w:endnote w:type="continuationSeparator" w:id="0">
    <w:p w:rsidR="006006F0" w:rsidRDefault="0060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hakuyoxingshu7000"/>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65E" w:rsidRDefault="00E046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65E" w:rsidRDefault="00E0465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465E"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465E"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0465E"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6F0" w:rsidRDefault="006006F0">
      <w:r>
        <w:separator/>
      </w:r>
    </w:p>
  </w:footnote>
  <w:footnote w:type="continuationSeparator" w:id="0">
    <w:p w:rsidR="006006F0" w:rsidRDefault="00600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3C5B3"/>
    <w:multiLevelType w:val="singleLevel"/>
    <w:tmpl w:val="9933C5B3"/>
    <w:lvl w:ilvl="0">
      <w:start w:val="1"/>
      <w:numFmt w:val="chineseCounting"/>
      <w:suff w:val="nothing"/>
      <w:lvlText w:val="（%1）"/>
      <w:lvlJc w:val="left"/>
      <w:rPr>
        <w:rFonts w:hint="eastAsia"/>
      </w:rPr>
    </w:lvl>
  </w:abstractNum>
  <w:abstractNum w:abstractNumId="1" w15:restartNumberingAfterBreak="0">
    <w:nsid w:val="B7AB7814"/>
    <w:multiLevelType w:val="singleLevel"/>
    <w:tmpl w:val="B7AB7814"/>
    <w:lvl w:ilvl="0">
      <w:start w:val="4"/>
      <w:numFmt w:val="chineseCounting"/>
      <w:suff w:val="space"/>
      <w:lvlText w:val="第%1部分"/>
      <w:lvlJc w:val="left"/>
      <w:rPr>
        <w:rFonts w:hint="eastAsia"/>
      </w:rPr>
    </w:lvl>
  </w:abstractNum>
  <w:abstractNum w:abstractNumId="2" w15:restartNumberingAfterBreak="0">
    <w:nsid w:val="C95EA304"/>
    <w:multiLevelType w:val="singleLevel"/>
    <w:tmpl w:val="C95EA304"/>
    <w:lvl w:ilvl="0">
      <w:start w:val="5"/>
      <w:numFmt w:val="chineseCounting"/>
      <w:suff w:val="space"/>
      <w:lvlText w:val="第%1部分"/>
      <w:lvlJc w:val="left"/>
      <w:rPr>
        <w:rFonts w:hint="eastAsia"/>
      </w:rPr>
    </w:lvl>
  </w:abstractNum>
  <w:num w:numId="1" w16cid:durableId="1342781155">
    <w:abstractNumId w:val="1"/>
  </w:num>
  <w:num w:numId="2" w16cid:durableId="242760261">
    <w:abstractNumId w:val="2"/>
  </w:num>
  <w:num w:numId="3" w16cid:durableId="29472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C74C9"/>
    <w:rsid w:val="005D4D55"/>
    <w:rsid w:val="005E0E6C"/>
    <w:rsid w:val="005E2CFB"/>
    <w:rsid w:val="005F2103"/>
    <w:rsid w:val="005F3D1C"/>
    <w:rsid w:val="005F4189"/>
    <w:rsid w:val="006006F0"/>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4054"/>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0465E"/>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72F1FA5"/>
    <w:rsid w:val="2B446F33"/>
    <w:rsid w:val="2FDF85B8"/>
    <w:rsid w:val="2FFFEE04"/>
    <w:rsid w:val="34DF85B0"/>
    <w:rsid w:val="3B8F36BC"/>
    <w:rsid w:val="491FF225"/>
    <w:rsid w:val="4C526EBC"/>
    <w:rsid w:val="4DEE6272"/>
    <w:rsid w:val="4E2A241D"/>
    <w:rsid w:val="4FFD214C"/>
    <w:rsid w:val="5777D4F5"/>
    <w:rsid w:val="59DD8326"/>
    <w:rsid w:val="5DEF592A"/>
    <w:rsid w:val="5FC6BB1E"/>
    <w:rsid w:val="5FF720F1"/>
    <w:rsid w:val="62D82927"/>
    <w:rsid w:val="67FF5C0B"/>
    <w:rsid w:val="6EFC0924"/>
    <w:rsid w:val="6FB74722"/>
    <w:rsid w:val="6FEF8B7E"/>
    <w:rsid w:val="71A6591B"/>
    <w:rsid w:val="728666B7"/>
    <w:rsid w:val="737D59BA"/>
    <w:rsid w:val="740924A3"/>
    <w:rsid w:val="77BD072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44C7"/>
  <w15:docId w15:val="{2FA9387F-76BD-40EB-A930-EE0A7844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2426</Words>
  <Characters>13830</Characters>
  <Application>Microsoft Office Word</Application>
  <DocSecurity>0</DocSecurity>
  <Lines>115</Lines>
  <Paragraphs>32</Paragraphs>
  <ScaleCrop>false</ScaleCrop>
  <Company>Microsoft</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cp:revision>
  <cp:lastPrinted>2025-09-24T07:19:00Z</cp:lastPrinted>
  <dcterms:created xsi:type="dcterms:W3CDTF">2025-08-18T10:17:00Z</dcterms:created>
  <dcterms:modified xsi:type="dcterms:W3CDTF">2025-09-25T01:48:00Z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BB7B6AA21D207914D6FDA268992A22D6</vt:lpwstr>
  </property>
  <property fmtid="{D5CDD505-2E9C-101B-9397-08002B2CF9AE}" pid="4" name="KSOTemplateDocerSaveRecord">
    <vt:lpwstr>eyJoZGlkIjoiMGYxY2RlZmU5YWU4NDk5MGMxNzg0MjAwMTU4ZWE2ZTUiLCJ1c2VySWQiOiIxMjc4MDk2NjkzIn0=</vt:lpwstr>
  </property>
</Properties>
</file>