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Ansi="黑体"/>
          <w:sz w:val="36"/>
          <w:szCs w:val="36"/>
        </w:rPr>
      </w:pPr>
    </w:p>
    <w:p>
      <w:pPr>
        <w:pStyle w:val="15"/>
        <w:jc w:val="center"/>
        <w:rPr>
          <w:rFonts w:ascii="Times New Roman" w:hAnsi="Times New Roman" w:cs="Times New Roman"/>
          <w:sz w:val="56"/>
          <w:szCs w:val="56"/>
        </w:rPr>
      </w:pPr>
    </w:p>
    <w:p>
      <w:pPr>
        <w:pStyle w:val="15"/>
        <w:jc w:val="center"/>
        <w:rPr>
          <w:rFonts w:ascii="Times New Roman" w:hAnsi="Times New Roman" w:cs="Times New Roman"/>
          <w:sz w:val="84"/>
          <w:szCs w:val="84"/>
        </w:rPr>
      </w:pPr>
    </w:p>
    <w:p>
      <w:pPr>
        <w:pStyle w:val="15"/>
        <w:jc w:val="center"/>
        <w:rPr>
          <w:rFonts w:ascii="Times New Roman" w:hAnsi="Times New Roman" w:cs="Times New Roman"/>
          <w:sz w:val="84"/>
          <w:szCs w:val="84"/>
        </w:rPr>
      </w:pPr>
    </w:p>
    <w:p>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祁阳市红十字会</w:t>
      </w:r>
      <w:r>
        <w:rPr>
          <w:rFonts w:ascii="Times New Roman" w:hAnsi="Times New Roman" w:eastAsia="方正小标宋简体" w:cs="Times New Roman"/>
          <w:sz w:val="72"/>
          <w:szCs w:val="72"/>
        </w:rPr>
        <w:t>部门决算</w:t>
      </w:r>
    </w:p>
    <w:p>
      <w:pPr>
        <w:pStyle w:val="15"/>
        <w:jc w:val="center"/>
        <w:rPr>
          <w:rFonts w:ascii="Times New Roman" w:hAnsi="Times New Roman" w:eastAsia="方正小标宋_GBK" w:cs="Times New Roman"/>
          <w:sz w:val="56"/>
          <w:szCs w:val="56"/>
        </w:rPr>
      </w:pPr>
    </w:p>
    <w:p>
      <w:pPr>
        <w:pStyle w:val="15"/>
        <w:jc w:val="center"/>
        <w:rPr>
          <w:rFonts w:ascii="Times New Roman" w:hAnsi="Times New Roman" w:cs="Times New Roman"/>
          <w:sz w:val="56"/>
          <w:szCs w:val="56"/>
        </w:rPr>
      </w:pPr>
    </w:p>
    <w:p>
      <w:pPr>
        <w:pStyle w:val="15"/>
        <w:rPr>
          <w:rFonts w:ascii="Times New Roman" w:hAnsi="Times New Roman" w:cs="Times New Roman"/>
          <w:sz w:val="56"/>
          <w:szCs w:val="56"/>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pStyle w:val="15"/>
        <w:jc w:val="center"/>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5"/>
        <w:spacing w:line="600" w:lineRule="exact"/>
        <w:jc w:val="both"/>
        <w:rPr>
          <w:rFonts w:ascii="Times New Roman" w:hAnsi="Times New Roman" w:cs="Times New Roman"/>
          <w:b/>
          <w:sz w:val="36"/>
          <w:szCs w:val="28"/>
        </w:rPr>
      </w:pPr>
    </w:p>
    <w:p>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5"/>
        <w:spacing w:line="600" w:lineRule="exact"/>
        <w:jc w:val="center"/>
        <w:rPr>
          <w:rFonts w:ascii="Times New Roman" w:hAnsi="Times New Roman" w:cs="Times New Roman"/>
          <w:b/>
          <w:sz w:val="36"/>
          <w:szCs w:val="28"/>
        </w:rPr>
      </w:pPr>
    </w:p>
    <w:p>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祁阳市红十字会</w:t>
      </w:r>
      <w:r>
        <w:rPr>
          <w:rFonts w:ascii="Times New Roman" w:hAnsi="Times New Roman" w:cs="Times New Roman"/>
          <w:bCs/>
          <w:sz w:val="32"/>
          <w:szCs w:val="32"/>
        </w:rPr>
        <w:t>概况</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5"/>
        <w:spacing w:line="600" w:lineRule="exact"/>
        <w:rPr>
          <w:rFonts w:ascii="Times New Roman" w:hAnsi="Times New Roman" w:cs="Times New Roman"/>
          <w:bCs/>
          <w:sz w:val="28"/>
          <w:szCs w:val="28"/>
        </w:rPr>
        <w:sectPr>
          <w:footerReference r:id="rId4" w:type="default"/>
          <w:pgSz w:w="11906" w:h="16838"/>
          <w:pgMar w:top="1417" w:right="1588" w:bottom="1417" w:left="1588" w:header="851" w:footer="992" w:gutter="0"/>
          <w:pgNumType w:start="1"/>
          <w:cols w:space="425" w:num="1"/>
          <w:docGrid w:type="lines" w:linePitch="312" w:charSpace="0"/>
        </w:sect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祁阳市红十字会</w:t>
      </w:r>
      <w:r>
        <w:rPr>
          <w:rFonts w:ascii="Times New Roman" w:hAnsi="Times New Roman" w:eastAsia="方正小标宋_GBK" w:cs="Times New Roman"/>
          <w:sz w:val="52"/>
          <w:szCs w:val="52"/>
        </w:rPr>
        <w:t>概况</w:t>
      </w:r>
    </w:p>
    <w:p>
      <w:pPr>
        <w:pStyle w:val="5"/>
        <w:ind w:left="0" w:leftChars="0" w:firstLine="0" w:firstLineChars="0"/>
        <w:rPr>
          <w:rFonts w:ascii="Times New Roman" w:hAnsi="Times New Roman" w:cs="Times New Roman"/>
        </w:rPr>
      </w:pPr>
    </w:p>
    <w:p>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市红十字会依照《中华人民共和国红十字会法》，是以保护人的生命和健康，保障人的尊严，促进人与人之间的交流、友谊与合作，促进人类社会和谐和平宗旨，从事人道主义工作的社会救助团体，是党和政府在人道领域联系群众的桥梁和纽带，其主要工作任务有：开展宣传和发动无偿献血、造血干细胞捐献、人体器官（遗体）捐献，参与应急救援、应急救护、人道救助，培育和发展红十字青少年和志愿者，开展对外交流及完成政府委托事宜等。</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sz w:val="32"/>
          <w:szCs w:val="32"/>
          <w:lang w:val="en-US" w:eastAsia="zh-CN"/>
        </w:rPr>
        <w:t>祁阳市</w:t>
      </w:r>
      <w:r>
        <w:rPr>
          <w:rFonts w:ascii="Times New Roman" w:hAnsi="Times New Roman" w:eastAsia="仿宋_GB2312" w:cs="Times New Roman"/>
          <w:sz w:val="32"/>
          <w:szCs w:val="32"/>
        </w:rPr>
        <w:t>红十字会机关内设综合部、筹资与财务部和赈济救护部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祁阳市</w:t>
      </w:r>
      <w:r>
        <w:rPr>
          <w:rFonts w:ascii="Times New Roman" w:hAnsi="Times New Roman" w:eastAsia="仿宋_GB2312" w:cs="Times New Roman"/>
          <w:sz w:val="32"/>
          <w:szCs w:val="32"/>
        </w:rPr>
        <w:t>红十字会是参照公务员管理的全额拨款事业单位，其中参公编制</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人，在职</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工勤</w:t>
      </w:r>
      <w:r>
        <w:rPr>
          <w:rFonts w:ascii="Times New Roman" w:hAnsi="Times New Roman" w:eastAsia="仿宋_GB2312" w:cs="Times New Roman"/>
          <w:sz w:val="32"/>
          <w:szCs w:val="32"/>
        </w:rPr>
        <w:t>编制</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机构改革后人员只出不进</w:t>
      </w:r>
      <w:r>
        <w:rPr>
          <w:rFonts w:ascii="Times New Roman" w:hAnsi="Times New Roman" w:eastAsia="仿宋_GB2312" w:cs="Times New Roman"/>
          <w:sz w:val="32"/>
          <w:szCs w:val="32"/>
        </w:rPr>
        <w:t>。无公车。</w:t>
      </w:r>
      <w:r>
        <w:rPr>
          <w:rFonts w:hint="eastAsia" w:ascii="Times New Roman" w:hAnsi="Times New Roman" w:eastAsia="仿宋_GB2312" w:cs="Times New Roman"/>
          <w:sz w:val="32"/>
          <w:szCs w:val="32"/>
          <w:lang w:eastAsia="zh-CN"/>
        </w:rPr>
        <w:t>祁</w:t>
      </w:r>
      <w:r>
        <w:rPr>
          <w:rFonts w:hint="eastAsia" w:eastAsia="仿宋_GB2312"/>
          <w:bCs/>
          <w:sz w:val="32"/>
          <w:szCs w:val="32"/>
        </w:rPr>
        <w:t>阳市红十字会于202</w:t>
      </w:r>
      <w:r>
        <w:rPr>
          <w:rFonts w:eastAsia="仿宋_GB2312"/>
          <w:bCs/>
          <w:sz w:val="32"/>
          <w:szCs w:val="32"/>
        </w:rPr>
        <w:t>4</w:t>
      </w:r>
      <w:r>
        <w:rPr>
          <w:rFonts w:hint="eastAsia" w:eastAsia="仿宋_GB2312"/>
          <w:bCs/>
          <w:sz w:val="32"/>
          <w:szCs w:val="32"/>
        </w:rPr>
        <w:t>年遴选调入1人。</w:t>
      </w:r>
    </w:p>
    <w:p>
      <w:pPr>
        <w:widowControl/>
        <w:spacing w:line="600" w:lineRule="exact"/>
        <w:rPr>
          <w:rFonts w:ascii="Times New Roman" w:hAnsi="Times New Roman" w:cs="Times New Roman"/>
          <w:bCs/>
          <w:sz w:val="28"/>
          <w:szCs w:val="28"/>
        </w:rPr>
        <w:sectPr>
          <w:pgSz w:w="11906" w:h="16838"/>
          <w:pgMar w:top="1417" w:right="1588" w:bottom="1417" w:left="1588" w:header="851" w:footer="992" w:gutter="0"/>
          <w:pgNumType w:start="1"/>
          <w:cols w:space="425" w:num="1"/>
          <w:docGrid w:type="lines" w:linePitch="312" w:charSpace="0"/>
        </w:sectPr>
      </w:pPr>
      <w:r>
        <w:rPr>
          <w:rFonts w:ascii="Times New Roman" w:hAnsi="Times New Roman" w:eastAsia="仿宋_GB2312" w:cs="Times New Roman"/>
          <w:bCs/>
          <w:kern w:val="0"/>
          <w:sz w:val="32"/>
          <w:szCs w:val="32"/>
        </w:rPr>
        <w:t>（二）决算单位构成。</w:t>
      </w:r>
      <w:r>
        <w:rPr>
          <w:rFonts w:hint="eastAsia" w:eastAsia="仿宋_GB2312"/>
          <w:b w:val="0"/>
          <w:bCs/>
          <w:sz w:val="32"/>
          <w:szCs w:val="32"/>
          <w:lang w:val="en-US" w:eastAsia="zh-CN"/>
        </w:rPr>
        <w:t>祁阳市红十字会</w:t>
      </w:r>
      <w:r>
        <w:rPr>
          <w:rFonts w:eastAsia="仿宋_GB2312"/>
          <w:sz w:val="32"/>
          <w:szCs w:val="32"/>
        </w:rPr>
        <w:t>只有本级，没有其他预算单位，因此本部门预算仅含本级预算。</w:t>
      </w:r>
    </w:p>
    <w:p>
      <w:pPr>
        <w:jc w:val="center"/>
        <w:rPr>
          <w:rFonts w:ascii="Times New Roman" w:hAnsi="Times New Roman" w:eastAsia="黑体" w:cs="Times New Roman"/>
          <w:sz w:val="28"/>
          <w:szCs w:val="28"/>
        </w:rPr>
      </w:pPr>
    </w:p>
    <w:p>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95.06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2.25</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4.04</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4"/>
                <w:szCs w:val="24"/>
              </w:rPr>
            </w:pPr>
            <w:r>
              <w:rPr>
                <w:rFonts w:hint="eastAsia"/>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0"/>
                <w:szCs w:val="20"/>
              </w:rPr>
            </w:pPr>
            <w:r>
              <w:rPr>
                <w:rFonts w:hint="eastAsia"/>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101.35</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lang w:val="en-US" w:eastAsia="zh-CN"/>
              </w:rPr>
              <w:t>101.35</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302"/>
        <w:gridCol w:w="3925"/>
        <w:gridCol w:w="1350"/>
        <w:gridCol w:w="1545"/>
        <w:gridCol w:w="1410"/>
        <w:gridCol w:w="1200"/>
        <w:gridCol w:w="1275"/>
        <w:gridCol w:w="1276"/>
        <w:gridCol w:w="1383"/>
      </w:tblGrid>
      <w:tr>
        <w:tblPrEx>
          <w:tblCellMar>
            <w:top w:w="0" w:type="dxa"/>
            <w:left w:w="0" w:type="dxa"/>
            <w:bottom w:w="0" w:type="dxa"/>
            <w:right w:w="0" w:type="dxa"/>
          </w:tblCellMar>
        </w:tblPrEx>
        <w:trPr>
          <w:trHeight w:val="450" w:hRule="atLeast"/>
          <w:jc w:val="center"/>
        </w:trPr>
        <w:tc>
          <w:tcPr>
            <w:tcW w:w="522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3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92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392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52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52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101.35</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101.35</w:t>
            </w:r>
            <w:r>
              <w:rPr>
                <w:rFonts w:ascii="Times New Roman" w:hAnsi="Times New Roman" w:eastAsia="仿宋_GB2312" w:cs="Times New Roman"/>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社会保障和就业支出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95.06</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20805</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rPr>
            </w:pPr>
            <w:r>
              <w:rPr>
                <w:rFonts w:ascii="Times New Roman" w:hAnsi="Times New Roman" w:eastAsia="仿宋_GB2312" w:cs="Times New Roman"/>
              </w:rPr>
              <w:t>　</w:t>
            </w:r>
            <w:r>
              <w:rPr>
                <w:rFonts w:hint="eastAsia" w:ascii="Times New Roman" w:hAnsi="Times New Roman" w:eastAsia="仿宋_GB2312" w:cs="Times New Roman"/>
              </w:rPr>
              <w:t>行政事业单位</w:t>
            </w:r>
          </w:p>
          <w:p>
            <w:pPr>
              <w:rPr>
                <w:rFonts w:ascii="Times New Roman" w:hAnsi="Times New Roman" w:eastAsia="仿宋_GB2312" w:cs="Times New Roman"/>
                <w:sz w:val="24"/>
                <w:szCs w:val="24"/>
              </w:rPr>
            </w:pPr>
            <w:r>
              <w:rPr>
                <w:rFonts w:hint="eastAsia" w:ascii="Times New Roman" w:hAnsi="Times New Roman" w:eastAsia="仿宋_GB2312" w:cs="Times New Roman"/>
              </w:rPr>
              <w:t>养老支出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5.64</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2080505</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5.64</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20816</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红十字事业</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89.42</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2081601</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51.42</w:t>
            </w:r>
            <w:r>
              <w:rPr>
                <w:rFonts w:ascii="Times New Roman" w:hAnsi="Times New Roman" w:eastAsia="仿宋_GB2312" w:cs="Times New Roman"/>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2081602</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一般行政管理事务</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23.99</w:t>
            </w:r>
            <w:r>
              <w:rPr>
                <w:rFonts w:ascii="Times New Roman" w:hAnsi="Times New Roman" w:eastAsia="仿宋_GB2312" w:cs="Times New Roman"/>
              </w:rPr>
              <w:t>　</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2081699</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其他红十字事业支出</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14.00</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210</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卫生健康支出</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2.25</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21011</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行政事业单位医疗</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2.25</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2101101</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行政单位医疗</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2.25</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221</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住房保障支出</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4.04</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22102</w:t>
            </w:r>
          </w:p>
        </w:tc>
        <w:tc>
          <w:tcPr>
            <w:tcW w:w="392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住房改革支出</w:t>
            </w:r>
          </w:p>
        </w:tc>
        <w:tc>
          <w:tcPr>
            <w:tcW w:w="135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4.04</w:t>
            </w:r>
          </w:p>
        </w:tc>
        <w:tc>
          <w:tcPr>
            <w:tcW w:w="154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r>
        <w:tblPrEx>
          <w:tblCellMar>
            <w:top w:w="0" w:type="dxa"/>
            <w:left w:w="0" w:type="dxa"/>
            <w:bottom w:w="0" w:type="dxa"/>
            <w:right w:w="0" w:type="dxa"/>
          </w:tblCellMar>
        </w:tblPrEx>
        <w:trPr>
          <w:trHeight w:val="450" w:hRule="atLeast"/>
          <w:jc w:val="center"/>
        </w:trPr>
        <w:tc>
          <w:tcPr>
            <w:tcW w:w="130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2210201</w:t>
            </w:r>
          </w:p>
        </w:tc>
        <w:tc>
          <w:tcPr>
            <w:tcW w:w="39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住房公积金</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color w:val="000000"/>
                <w:sz w:val="22"/>
                <w:lang w:val="en-US" w:eastAsia="zh-CN"/>
              </w:rPr>
              <w:t>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color w:val="000000"/>
                <w:sz w:val="22"/>
                <w:lang w:val="en-US" w:eastAsia="zh-CN"/>
              </w:rPr>
              <w:t>0.00</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358"/>
        <w:gridCol w:w="3836"/>
        <w:gridCol w:w="1725"/>
        <w:gridCol w:w="1449"/>
        <w:gridCol w:w="984"/>
        <w:gridCol w:w="1527"/>
        <w:gridCol w:w="984"/>
        <w:gridCol w:w="2346"/>
      </w:tblGrid>
      <w:tr>
        <w:tblPrEx>
          <w:tblCellMar>
            <w:top w:w="0" w:type="dxa"/>
            <w:left w:w="108" w:type="dxa"/>
            <w:bottom w:w="0" w:type="dxa"/>
            <w:right w:w="108" w:type="dxa"/>
          </w:tblCellMar>
        </w:tblPrEx>
        <w:trPr>
          <w:trHeight w:val="595" w:hRule="atLeast"/>
          <w:jc w:val="center"/>
        </w:trPr>
        <w:tc>
          <w:tcPr>
            <w:tcW w:w="182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3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4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4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3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8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4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82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0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0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37"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25"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82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101.35</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63.36</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37.99</w:t>
            </w:r>
            <w:r>
              <w:rPr>
                <w:rFonts w:ascii="Times New Roman" w:hAnsi="Times New Roman" w:eastAsia="仿宋_GB2312" w:cs="Times New Roman"/>
                <w:kern w:val="0"/>
                <w:sz w:val="24"/>
                <w:szCs w:val="24"/>
              </w:rPr>
              <w:t>　</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社会保障和就业支出</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95.06</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57.07</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20805</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行政事业单位养老支出</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5.64</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5.64</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2080505</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机关事业单位基本养老保险缴费支出</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5.64</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5.64</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红十字事业</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89.42</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51.42</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2081601</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51.42</w:t>
            </w:r>
            <w:r>
              <w:rPr>
                <w:rFonts w:ascii="Times New Roman" w:hAnsi="Times New Roman" w:eastAsia="仿宋_GB2312" w:cs="Times New Roman"/>
                <w:kern w:val="0"/>
                <w:sz w:val="24"/>
                <w:szCs w:val="24"/>
              </w:rPr>
              <w:t>　</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51.42</w:t>
            </w:r>
            <w:r>
              <w:rPr>
                <w:rFonts w:ascii="Times New Roman" w:hAnsi="Times New Roman" w:eastAsia="仿宋_GB2312" w:cs="Times New Roman"/>
                <w:kern w:val="0"/>
                <w:sz w:val="24"/>
                <w:szCs w:val="24"/>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2081602</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一般行政管理事务</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23.99</w:t>
            </w:r>
            <w:r>
              <w:rPr>
                <w:rFonts w:ascii="Times New Roman" w:hAnsi="Times New Roman" w:eastAsia="仿宋_GB2312" w:cs="Times New Roman"/>
                <w:kern w:val="0"/>
                <w:sz w:val="24"/>
                <w:szCs w:val="24"/>
              </w:rPr>
              <w:t>　</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r>
              <w:rPr>
                <w:rFonts w:ascii="Times New Roman" w:hAnsi="Times New Roman" w:eastAsia="仿宋_GB2312" w:cs="Times New Roman"/>
                <w:kern w:val="0"/>
                <w:sz w:val="24"/>
                <w:szCs w:val="24"/>
              </w:rPr>
              <w:t>　</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2081699</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其他红十字事业支出</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14</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卫生健康支出</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2.25</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2.25</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行政事业单位医疗</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rPr>
              <w:t>2.25</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2.25</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2101101</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行政单位医疗</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rPr>
              <w:t>2.25</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2.25</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住房保障支出</w:t>
            </w:r>
          </w:p>
        </w:tc>
        <w:tc>
          <w:tcPr>
            <w:tcW w:w="607" w:type="pct"/>
            <w:tcBorders>
              <w:top w:val="nil"/>
              <w:left w:val="nil"/>
              <w:bottom w:val="nil"/>
              <w:right w:val="single" w:color="auto" w:sz="4" w:space="0"/>
            </w:tcBorders>
            <w:shd w:val="clear" w:color="auto" w:fill="auto"/>
            <w:noWrap/>
            <w:vAlign w:val="center"/>
          </w:tcPr>
          <w:p>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4.04</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4.04</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w:t>
            </w:r>
          </w:p>
        </w:tc>
        <w:tc>
          <w:tcPr>
            <w:tcW w:w="1349" w:type="pct"/>
            <w:tcBorders>
              <w:top w:val="nil"/>
              <w:left w:val="nil"/>
              <w:bottom w:val="nil"/>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住房改革支出</w:t>
            </w:r>
          </w:p>
        </w:tc>
        <w:tc>
          <w:tcPr>
            <w:tcW w:w="60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4.04</w:t>
            </w:r>
          </w:p>
        </w:tc>
        <w:tc>
          <w:tcPr>
            <w:tcW w:w="509"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4.04</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nil"/>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595"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2210201</w:t>
            </w:r>
          </w:p>
        </w:tc>
        <w:tc>
          <w:tcPr>
            <w:tcW w:w="1349" w:type="pct"/>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住房公积金</w:t>
            </w:r>
          </w:p>
        </w:tc>
        <w:tc>
          <w:tcPr>
            <w:tcW w:w="60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4.04</w:t>
            </w:r>
          </w:p>
        </w:tc>
        <w:tc>
          <w:tcPr>
            <w:tcW w:w="50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4.04</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537"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c>
          <w:tcPr>
            <w:tcW w:w="82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sz w:val="22"/>
                <w:lang w:val="en-US" w:eastAsia="zh-CN"/>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autofit"/>
        <w:tblCellMar>
          <w:top w:w="0" w:type="dxa"/>
          <w:left w:w="108" w:type="dxa"/>
          <w:bottom w:w="0" w:type="dxa"/>
          <w:right w:w="108" w:type="dxa"/>
        </w:tblCellMar>
      </w:tblPr>
      <w:tblGrid>
        <w:gridCol w:w="3516"/>
        <w:gridCol w:w="616"/>
        <w:gridCol w:w="821"/>
        <w:gridCol w:w="3516"/>
        <w:gridCol w:w="616"/>
        <w:gridCol w:w="1041"/>
        <w:gridCol w:w="1389"/>
        <w:gridCol w:w="1315"/>
        <w:gridCol w:w="1390"/>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101.35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95.06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95.06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十二、农林水支出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十四、资源勘探工业信息等支出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十六、金融支出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十八、自然资源海洋气象等支出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二十一、国有资本经营预算支出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二十二、灾害防治及应急管理支出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二十三、其他支出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二十四、债务还本支出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二十五、债务付息支出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二十六、抗疫特别国债安排的支出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101.35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101.35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101.35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101.35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101.35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101.35</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hint="eastAsia" w:ascii="Times New Roman" w:hAnsi="Times New Roman" w:eastAsia="仿宋_GB2312" w:cs="Times New Roman"/>
                <w:color w:val="000000"/>
                <w:sz w:val="22"/>
                <w:lang w:val="en-US" w:eastAsia="zh-CN"/>
              </w:rPr>
              <w:t>0.00</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898"/>
        <w:gridCol w:w="2629"/>
        <w:gridCol w:w="3492"/>
        <w:gridCol w:w="3000"/>
      </w:tblGrid>
      <w:tr>
        <w:tblPrEx>
          <w:tblCellMar>
            <w:top w:w="0" w:type="dxa"/>
            <w:left w:w="108" w:type="dxa"/>
            <w:bottom w:w="0" w:type="dxa"/>
            <w:right w:w="108" w:type="dxa"/>
          </w:tblCellMar>
        </w:tblPrEx>
        <w:trPr>
          <w:trHeight w:val="545" w:hRule="atLeast"/>
          <w:jc w:val="center"/>
        </w:trPr>
        <w:tc>
          <w:tcPr>
            <w:tcW w:w="509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2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0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0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101.35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63.36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w:t>
            </w:r>
          </w:p>
        </w:tc>
        <w:tc>
          <w:tcPr>
            <w:tcW w:w="3898"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社会保障和就业支出</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95.06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57.07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37.99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20805</w:t>
            </w:r>
          </w:p>
        </w:tc>
        <w:tc>
          <w:tcPr>
            <w:tcW w:w="3898"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行政事业单位养老支出</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5.64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5.64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2080505</w:t>
            </w:r>
          </w:p>
        </w:tc>
        <w:tc>
          <w:tcPr>
            <w:tcW w:w="3898"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机关事业单位基本养老保险缴费支出</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5.64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5.64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w:t>
            </w:r>
          </w:p>
        </w:tc>
        <w:tc>
          <w:tcPr>
            <w:tcW w:w="3898"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红十字事业</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89.42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51.42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37.99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2081601</w:t>
            </w:r>
          </w:p>
        </w:tc>
        <w:tc>
          <w:tcPr>
            <w:tcW w:w="3898"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行政运行</w:t>
            </w:r>
          </w:p>
        </w:tc>
        <w:tc>
          <w:tcPr>
            <w:tcW w:w="2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51.42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51.42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rPr>
              <w:t>　</w:t>
            </w:r>
            <w:r>
              <w:rPr>
                <w:rFonts w:hint="eastAsia" w:ascii="Times New Roman" w:hAnsi="Times New Roman" w:eastAsia="仿宋_GB2312" w:cs="Times New Roman"/>
              </w:rPr>
              <w:t>2081602</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rPr>
              <w:t>一般行政管理事务</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23.99</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23.99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2081699</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其他红十字事业支出</w:t>
            </w:r>
          </w:p>
        </w:tc>
        <w:tc>
          <w:tcPr>
            <w:tcW w:w="2629" w:type="dxa"/>
            <w:tcBorders>
              <w:top w:val="nil"/>
              <w:left w:val="nil"/>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14</w:t>
            </w:r>
            <w:r>
              <w:rPr>
                <w:rFonts w:hint="eastAsia" w:ascii="Times New Roman" w:hAnsi="Times New Roman" w:eastAsia="仿宋_GB2312" w:cs="Times New Roman"/>
                <w:kern w:val="0"/>
                <w:sz w:val="24"/>
                <w:szCs w:val="24"/>
                <w:lang w:val="en-US" w:eastAsia="zh-CN"/>
              </w:rPr>
              <w:t>.00</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卫生健康支出</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2.25</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2.25</w:t>
            </w:r>
          </w:p>
        </w:tc>
        <w:tc>
          <w:tcPr>
            <w:tcW w:w="3000" w:type="dxa"/>
            <w:tcBorders>
              <w:top w:val="nil"/>
              <w:left w:val="nil"/>
              <w:bottom w:val="nil"/>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行政事业单位医疗</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rPr>
              <w:t>2.25</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2.25</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2101101</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行政单位医疗</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rPr>
              <w:t>2.25</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2.25</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住房保障支出</w:t>
            </w:r>
          </w:p>
        </w:tc>
        <w:tc>
          <w:tcPr>
            <w:tcW w:w="2629" w:type="dxa"/>
            <w:tcBorders>
              <w:top w:val="nil"/>
              <w:left w:val="nil"/>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住房改革支出</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ind w:firstLine="210" w:firstLineChars="100"/>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2210201</w:t>
            </w:r>
          </w:p>
        </w:tc>
        <w:tc>
          <w:tcPr>
            <w:tcW w:w="3898" w:type="dxa"/>
            <w:tcBorders>
              <w:top w:val="nil"/>
              <w:left w:val="nil"/>
              <w:bottom w:val="nil"/>
              <w:right w:val="single" w:color="auto" w:sz="4" w:space="0"/>
            </w:tcBorders>
            <w:shd w:val="clear" w:color="auto" w:fill="auto"/>
            <w:vAlign w:val="center"/>
          </w:tcPr>
          <w:p>
            <w:pP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住房公积金</w:t>
            </w:r>
          </w:p>
        </w:tc>
        <w:tc>
          <w:tcPr>
            <w:tcW w:w="2629"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492" w:type="dxa"/>
            <w:tcBorders>
              <w:top w:val="nil"/>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4.04</w:t>
            </w:r>
          </w:p>
        </w:tc>
        <w:tc>
          <w:tcPr>
            <w:tcW w:w="3000" w:type="dxa"/>
            <w:tcBorders>
              <w:top w:val="nil"/>
              <w:left w:val="nil"/>
              <w:bottom w:val="nil"/>
              <w:right w:val="single" w:color="auto" w:sz="8" w:space="0"/>
            </w:tcBorders>
            <w:shd w:val="clear" w:color="auto" w:fill="auto"/>
            <w:vAlign w:val="center"/>
          </w:tcPr>
          <w:p>
            <w:pPr>
              <w:widowControl/>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color w:val="000000"/>
                <w:sz w:val="22"/>
                <w:lang w:val="en-US" w:eastAsia="zh-CN"/>
              </w:rPr>
              <w:t>0.00</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63.36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23.88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15.5</w:t>
            </w:r>
            <w:r>
              <w:rPr>
                <w:rFonts w:hint="eastAsia" w:ascii="Times New Roman" w:hAnsi="Times New Roman" w:eastAsia="仿宋_GB2312" w:cs="Times New Roman"/>
                <w:color w:val="000000"/>
                <w:kern w:val="0"/>
                <w:szCs w:val="20"/>
                <w:lang w:val="en-US" w:eastAsia="zh-CN"/>
              </w:rPr>
              <w:t>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10.13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6.59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2.75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0.19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4.33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sz w:val="22"/>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63.36</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eastAsia="zh-CN"/>
              </w:rPr>
            </w:pPr>
            <w:r>
              <w:rPr>
                <w:rFonts w:hint="eastAsia"/>
                <w:lang w:val="en-US" w:eastAsia="zh-CN"/>
              </w:rPr>
              <w:t>0.</w:t>
            </w:r>
            <w:r>
              <w:rPr>
                <w:rFonts w:hint="eastAsia" w:ascii="Times New Roman" w:hAnsi="Times New Roman" w:eastAsia="仿宋_GB2312" w:cs="Times New Roman"/>
                <w:color w:val="000000"/>
                <w:sz w:val="22"/>
                <w:lang w:val="en-US" w:eastAsia="zh-CN"/>
              </w:rPr>
              <w:t>37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0.37</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0.37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0.37</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footerReference r:id="rId5" w:type="default"/>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eastAsia="方正小标宋_GBK"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一、收入支出决算总体情况说明</w:t>
      </w:r>
    </w:p>
    <w:p>
      <w:pPr>
        <w:snapToGrid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2024年度收、支总计</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万元。与上年相比，增加（减少）</w:t>
      </w:r>
      <w:r>
        <w:rPr>
          <w:rFonts w:hint="eastAsia" w:ascii="Times New Roman" w:hAnsi="Times New Roman" w:eastAsia="仿宋_GB2312" w:cs="Times New Roman"/>
          <w:color w:val="auto"/>
          <w:sz w:val="32"/>
          <w:szCs w:val="32"/>
          <w:lang w:val="en-US" w:eastAsia="zh-CN"/>
        </w:rPr>
        <w:t>27.85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37.89</w:t>
      </w:r>
      <w:r>
        <w:rPr>
          <w:rFonts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lang w:eastAsia="zh-CN"/>
        </w:rPr>
        <w:t>因为</w:t>
      </w:r>
      <w:r>
        <w:rPr>
          <w:rFonts w:hint="eastAsia" w:ascii="Times New Roman" w:hAnsi="Times New Roman" w:eastAsia="仿宋_GB2312" w:cs="Times New Roman"/>
          <w:color w:val="auto"/>
          <w:sz w:val="32"/>
          <w:szCs w:val="32"/>
        </w:rPr>
        <w:t>祁阳市红十字会于202</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年新调入1人，人员经费增加和争取省红会博爱家园项目资金。</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二、收入决算情况说明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2024年度收入合计</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三、支出决算情况说明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2024年度支出合计</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63.36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62.5</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37.99</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37.5</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%；对附属单位补助支出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四、财政拨款收入支出决算总体情况说明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2024年度财政拨款收、支总计</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万元，与上年相比，增加</w:t>
      </w:r>
      <w:r>
        <w:rPr>
          <w:rFonts w:hint="eastAsia" w:ascii="Times New Roman" w:hAnsi="Times New Roman" w:eastAsia="仿宋_GB2312" w:cs="Times New Roman"/>
          <w:color w:val="auto"/>
          <w:sz w:val="32"/>
          <w:szCs w:val="32"/>
          <w:lang w:val="en-US" w:eastAsia="zh-CN"/>
        </w:rPr>
        <w:t>27.85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37.89</w:t>
      </w:r>
      <w:r>
        <w:rPr>
          <w:rFonts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lang w:eastAsia="zh-CN"/>
        </w:rPr>
        <w:t>因为</w:t>
      </w:r>
      <w:r>
        <w:rPr>
          <w:rFonts w:hint="eastAsia" w:ascii="Times New Roman" w:hAnsi="Times New Roman" w:eastAsia="仿宋_GB2312" w:cs="Times New Roman"/>
          <w:color w:val="auto"/>
          <w:sz w:val="32"/>
          <w:szCs w:val="32"/>
        </w:rPr>
        <w:t>祁阳市红十字会于202</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年新调入1人，人员经费增加和争取省红会博爱家园项目资金。</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五、一般公共预算财政拨款支出决算情况说明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（一）一般公共预算财政拨款支出决算总体情况</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%，与上年相比，财政拨款支出增加</w:t>
      </w:r>
      <w:r>
        <w:rPr>
          <w:rFonts w:hint="eastAsia" w:ascii="Times New Roman" w:hAnsi="Times New Roman" w:eastAsia="仿宋_GB2312" w:cs="Times New Roman"/>
          <w:color w:val="auto"/>
          <w:sz w:val="32"/>
          <w:szCs w:val="32"/>
          <w:lang w:val="en-US" w:eastAsia="zh-CN"/>
        </w:rPr>
        <w:t>27.85</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37.89</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rPr>
        <w:t>祁阳市红十字会于202</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年新调入1人，人员经费增加和争取省红会博爱家园项目资金。</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（二）一般公共预算财政拨款支出决算结构情况</w:t>
      </w:r>
    </w:p>
    <w:p>
      <w:pPr>
        <w:pStyle w:val="15"/>
        <w:spacing w:line="600" w:lineRule="exact"/>
        <w:ind w:firstLine="640" w:firstLineChars="200"/>
        <w:rPr>
          <w:rFonts w:hint="eastAsia" w:ascii="Times New Roman" w:hAnsi="Times New Roman" w:eastAsia="仿宋_GB2312"/>
          <w:color w:val="auto"/>
          <w:sz w:val="32"/>
          <w:szCs w:val="32"/>
          <w:lang w:eastAsia="zh-CN"/>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sz w:val="32"/>
          <w:szCs w:val="32"/>
        </w:rPr>
        <w:t>万元，主要用于以下方面：</w:t>
      </w: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lang w:val="en-US" w:eastAsia="zh-CN"/>
        </w:rPr>
        <w:t>208</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lang w:val="en-US" w:eastAsia="zh-CN"/>
        </w:rPr>
        <w:t>95.06</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93.79</w:t>
      </w:r>
      <w:r>
        <w:rPr>
          <w:rFonts w:hint="eastAsia" w:ascii="Times New Roman" w:hAnsi="Times New Roman" w:eastAsia="仿宋_GB2312"/>
          <w:color w:val="auto"/>
          <w:sz w:val="32"/>
          <w:szCs w:val="32"/>
          <w:lang w:eastAsia="zh-CN"/>
        </w:rPr>
        <w:t>%；卫生健康（</w:t>
      </w:r>
      <w:r>
        <w:rPr>
          <w:rFonts w:hint="eastAsia" w:ascii="Times New Roman" w:hAnsi="Times New Roman" w:eastAsia="仿宋_GB2312"/>
          <w:color w:val="auto"/>
          <w:sz w:val="32"/>
          <w:szCs w:val="32"/>
          <w:lang w:val="en-US" w:eastAsia="zh-CN"/>
        </w:rPr>
        <w:t>210</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2.22</w:t>
      </w:r>
      <w:r>
        <w:rPr>
          <w:rFonts w:hint="eastAsia" w:ascii="Times New Roman" w:hAnsi="Times New Roman" w:eastAsia="仿宋_GB2312"/>
          <w:color w:val="auto"/>
          <w:sz w:val="32"/>
          <w:szCs w:val="32"/>
          <w:lang w:eastAsia="zh-CN"/>
        </w:rPr>
        <w:t>%；住房保障（221）支出</w:t>
      </w:r>
      <w:r>
        <w:rPr>
          <w:rFonts w:hint="eastAsia" w:ascii="Times New Roman" w:hAnsi="Times New Roman" w:eastAsia="仿宋_GB2312"/>
          <w:color w:val="auto"/>
          <w:sz w:val="32"/>
          <w:szCs w:val="32"/>
          <w:lang w:val="en-US" w:eastAsia="zh-CN"/>
        </w:rPr>
        <w:t>4.04</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3.99</w:t>
      </w:r>
      <w:r>
        <w:rPr>
          <w:rFonts w:hint="eastAsia" w:ascii="Times New Roman" w:hAnsi="Times New Roman" w:eastAsia="仿宋_GB2312"/>
          <w:color w:val="auto"/>
          <w:sz w:val="32"/>
          <w:szCs w:val="32"/>
          <w:lang w:eastAsia="zh-CN"/>
        </w:rPr>
        <w:t>%。</w:t>
      </w:r>
      <w:r>
        <w:rPr>
          <w:rFonts w:hint="eastAsia" w:ascii="楷体" w:hAnsi="楷体" w:eastAsia="楷体" w:cs="楷体"/>
          <w:b/>
          <w:bCs/>
          <w:i/>
          <w:color w:val="auto"/>
          <w:sz w:val="32"/>
          <w:szCs w:val="32"/>
          <w:lang w:val="en-US" w:eastAsia="zh-CN"/>
        </w:rPr>
        <w:t xml:space="preserve"> </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（三）一般公共预算财政拨款支出决算具体情况</w:t>
      </w:r>
    </w:p>
    <w:p>
      <w:pPr>
        <w:pStyle w:val="15"/>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2024年度财政拨款支出年初预算数为</w:t>
      </w:r>
      <w:r>
        <w:rPr>
          <w:rFonts w:hint="eastAsia" w:ascii="Times New Roman" w:hAnsi="Times New Roman" w:eastAsia="仿宋_GB2312"/>
          <w:color w:val="auto"/>
          <w:sz w:val="32"/>
          <w:szCs w:val="32"/>
          <w:lang w:val="en-US" w:eastAsia="zh-CN"/>
        </w:rPr>
        <w:t>78.51</w:t>
      </w:r>
      <w:r>
        <w:rPr>
          <w:rFonts w:hint="eastAsia" w:ascii="Times New Roman" w:hAnsi="Times New Roman" w:eastAsia="仿宋_GB2312"/>
          <w:color w:val="auto"/>
          <w:sz w:val="32"/>
          <w:szCs w:val="32"/>
          <w:lang w:eastAsia="zh-CN"/>
        </w:rPr>
        <w:t>万元，支出决算数为</w:t>
      </w:r>
      <w:r>
        <w:rPr>
          <w:rFonts w:hint="eastAsia" w:ascii="Times New Roman" w:hAnsi="Times New Roman" w:eastAsia="仿宋_GB2312"/>
          <w:color w:val="auto"/>
          <w:sz w:val="32"/>
          <w:szCs w:val="32"/>
          <w:lang w:val="en-US" w:eastAsia="zh-CN"/>
        </w:rPr>
        <w:t>101.35</w:t>
      </w:r>
      <w:r>
        <w:rPr>
          <w:rFonts w:hint="eastAsia" w:ascii="Times New Roman" w:hAnsi="Times New Roman" w:eastAsia="仿宋_GB2312"/>
          <w:color w:val="auto"/>
          <w:sz w:val="32"/>
          <w:szCs w:val="32"/>
          <w:lang w:eastAsia="zh-CN"/>
        </w:rPr>
        <w:t>万元，完成年初预算的</w:t>
      </w:r>
      <w:r>
        <w:rPr>
          <w:rFonts w:hint="eastAsia" w:ascii="Times New Roman" w:hAnsi="Times New Roman" w:eastAsia="仿宋_GB2312"/>
          <w:color w:val="auto"/>
          <w:sz w:val="32"/>
          <w:szCs w:val="32"/>
          <w:lang w:val="en-US" w:eastAsia="zh-CN"/>
        </w:rPr>
        <w:t>129.09</w:t>
      </w:r>
      <w:r>
        <w:rPr>
          <w:rFonts w:hint="eastAsia" w:ascii="Times New Roman" w:hAnsi="Times New Roman" w:eastAsia="仿宋_GB2312"/>
          <w:color w:val="auto"/>
          <w:sz w:val="32"/>
          <w:szCs w:val="32"/>
          <w:lang w:eastAsia="zh-CN"/>
        </w:rPr>
        <w:t>%，其中：</w:t>
      </w:r>
    </w:p>
    <w:p>
      <w:pPr>
        <w:pStyle w:val="15"/>
        <w:numPr>
          <w:ilvl w:val="0"/>
          <w:numId w:val="1"/>
        </w:numPr>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社会保障和就业支出（类）红十字事业（款）行政运行（项）。</w:t>
      </w:r>
    </w:p>
    <w:p>
      <w:pPr>
        <w:pStyle w:val="15"/>
        <w:numPr>
          <w:ilvl w:val="0"/>
          <w:numId w:val="0"/>
        </w:numPr>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70.62</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51.42</w:t>
      </w:r>
      <w:r>
        <w:rPr>
          <w:rFonts w:hint="eastAsia" w:ascii="Times New Roman" w:hAnsi="Times New Roman" w:eastAsia="仿宋_GB2312"/>
          <w:color w:val="auto"/>
          <w:sz w:val="32"/>
          <w:szCs w:val="32"/>
          <w:lang w:eastAsia="zh-CN"/>
        </w:rPr>
        <w:t>万元，完成年初预算的</w:t>
      </w:r>
      <w:r>
        <w:rPr>
          <w:rFonts w:hint="eastAsia" w:ascii="Times New Roman" w:hAnsi="Times New Roman" w:eastAsia="仿宋_GB2312"/>
          <w:color w:val="auto"/>
          <w:sz w:val="32"/>
          <w:szCs w:val="32"/>
          <w:lang w:val="en-US" w:eastAsia="zh-CN"/>
        </w:rPr>
        <w:t>72.81</w:t>
      </w:r>
      <w:r>
        <w:rPr>
          <w:rFonts w:hint="eastAsia" w:ascii="Times New Roman" w:hAnsi="Times New Roman" w:eastAsia="仿宋_GB2312"/>
          <w:color w:val="auto"/>
          <w:sz w:val="32"/>
          <w:szCs w:val="32"/>
          <w:lang w:eastAsia="zh-CN"/>
        </w:rPr>
        <w:t>%，决算数小于年初预算数的主要原因是：年初预算专项公用经费纳入了行政运行，实际支出计入了一般行政管理事务</w:t>
      </w:r>
      <w:r>
        <w:rPr>
          <w:rFonts w:hint="eastAsia" w:ascii="Times New Roman" w:hAnsi="Times New Roman" w:eastAsia="仿宋_GB2312"/>
          <w:color w:val="auto"/>
          <w:sz w:val="32"/>
          <w:szCs w:val="32"/>
          <w:lang w:val="en-US" w:eastAsia="zh-CN"/>
        </w:rPr>
        <w:t>。</w:t>
      </w:r>
    </w:p>
    <w:p>
      <w:pPr>
        <w:pStyle w:val="15"/>
        <w:numPr>
          <w:ilvl w:val="0"/>
          <w:numId w:val="1"/>
        </w:numPr>
        <w:spacing w:line="600" w:lineRule="exact"/>
        <w:ind w:left="0" w:leftChars="0"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社会保障和就业支出（类）红十字事业（款）一般行政事务管理（项）。</w:t>
      </w:r>
    </w:p>
    <w:p>
      <w:pPr>
        <w:pStyle w:val="15"/>
        <w:numPr>
          <w:ilvl w:val="0"/>
          <w:numId w:val="0"/>
        </w:numPr>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23.99</w:t>
      </w:r>
      <w:r>
        <w:rPr>
          <w:rFonts w:hint="eastAsia" w:ascii="Times New Roman" w:hAnsi="Times New Roman" w:eastAsia="仿宋_GB2312"/>
          <w:color w:val="auto"/>
          <w:sz w:val="32"/>
          <w:szCs w:val="32"/>
          <w:lang w:eastAsia="zh-CN"/>
        </w:rPr>
        <w:t>万元，决算数大于年初预算数的主要原因是：年初预算专项公用经费纳入了行政运行，实际支出计入了一般行政管理事务</w:t>
      </w:r>
      <w:r>
        <w:rPr>
          <w:rFonts w:hint="eastAsia" w:ascii="Times New Roman" w:hAnsi="Times New Roman" w:eastAsia="仿宋_GB2312"/>
          <w:color w:val="auto"/>
          <w:sz w:val="32"/>
          <w:szCs w:val="32"/>
          <w:lang w:val="en-US" w:eastAsia="zh-CN"/>
        </w:rPr>
        <w:t>。</w:t>
      </w:r>
    </w:p>
    <w:p>
      <w:pPr>
        <w:pStyle w:val="15"/>
        <w:numPr>
          <w:ilvl w:val="0"/>
          <w:numId w:val="2"/>
        </w:numPr>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社会保障和就业支出（类）红十字事业（款）行政运行（项）。</w:t>
      </w:r>
    </w:p>
    <w:p>
      <w:pPr>
        <w:pStyle w:val="15"/>
        <w:numPr>
          <w:ilvl w:val="0"/>
          <w:numId w:val="0"/>
        </w:numPr>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eastAsia="zh-CN"/>
        </w:rPr>
        <w:t>万元，决算数大于年初预算数的主要原因是：</w:t>
      </w:r>
      <w:r>
        <w:rPr>
          <w:rFonts w:hint="eastAsia" w:ascii="Times New Roman" w:hAnsi="Times New Roman" w:eastAsia="仿宋_GB2312" w:cs="Times New Roman"/>
          <w:color w:val="auto"/>
          <w:sz w:val="32"/>
          <w:szCs w:val="32"/>
        </w:rPr>
        <w:t>争取省红会博爱家园项目资金</w:t>
      </w:r>
      <w:r>
        <w:rPr>
          <w:rFonts w:hint="eastAsia" w:ascii="Times New Roman" w:hAnsi="Times New Roman" w:eastAsia="仿宋_GB2312"/>
          <w:color w:val="auto"/>
          <w:sz w:val="32"/>
          <w:szCs w:val="32"/>
          <w:lang w:val="en-US" w:eastAsia="zh-CN"/>
        </w:rPr>
        <w:t>。</w:t>
      </w:r>
    </w:p>
    <w:p>
      <w:pPr>
        <w:pStyle w:val="15"/>
        <w:spacing w:line="60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社会保障和就业支出（类）行政事业单位养老支出（款）机关事业单位基本养老保险缴费支出（项）。</w:t>
      </w:r>
    </w:p>
    <w:p>
      <w:pPr>
        <w:pStyle w:val="15"/>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5.64</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5.64</w:t>
      </w:r>
      <w:r>
        <w:rPr>
          <w:rFonts w:hint="eastAsia" w:ascii="Times New Roman" w:hAnsi="Times New Roman" w:eastAsia="仿宋_GB2312"/>
          <w:color w:val="auto"/>
          <w:sz w:val="32"/>
          <w:szCs w:val="32"/>
          <w:lang w:eastAsia="zh-CN"/>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lang w:eastAsia="zh-CN"/>
        </w:rPr>
        <w:t>%。</w:t>
      </w:r>
    </w:p>
    <w:p>
      <w:pPr>
        <w:pStyle w:val="15"/>
        <w:spacing w:line="60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卫生健康支出（类）行政事业单位医疗（款）行政单位医疗（项）。</w:t>
      </w:r>
    </w:p>
    <w:p>
      <w:pPr>
        <w:pStyle w:val="15"/>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lang w:eastAsia="zh-CN"/>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lang w:eastAsia="zh-CN"/>
        </w:rPr>
        <w:t>%。</w:t>
      </w:r>
    </w:p>
    <w:p>
      <w:pPr>
        <w:pStyle w:val="15"/>
        <w:spacing w:line="60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住房保障支出（类）住房改革支出（款）住房公积金（项）。</w:t>
      </w:r>
    </w:p>
    <w:p>
      <w:pPr>
        <w:pStyle w:val="15"/>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4.04</w:t>
      </w:r>
      <w:r>
        <w:rPr>
          <w:rFonts w:hint="eastAsia" w:ascii="Times New Roman" w:hAnsi="Times New Roman" w:eastAsia="仿宋_GB2312"/>
          <w:color w:val="auto"/>
          <w:sz w:val="32"/>
          <w:szCs w:val="32"/>
          <w:lang w:eastAsia="zh-CN"/>
        </w:rPr>
        <w:t>万元，决算数大于年初预算数的主要原因是：年初预算住房公积金纳入了行政运行经费</w:t>
      </w:r>
      <w:r>
        <w:rPr>
          <w:rFonts w:hint="eastAsia" w:ascii="Times New Roman" w:hAnsi="Times New Roman" w:eastAsia="仿宋_GB2312"/>
          <w:color w:val="auto"/>
          <w:sz w:val="32"/>
          <w:szCs w:val="32"/>
          <w:lang w:val="en-US" w:eastAsia="zh-CN"/>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六、一般公共预算财政拨款基本支出决算情况说明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2024年度一般公共预算财政拨款基本支出</w:t>
      </w:r>
      <w:r>
        <w:rPr>
          <w:rFonts w:hint="eastAsia" w:ascii="Times New Roman" w:hAnsi="Times New Roman" w:eastAsia="仿宋_GB2312" w:cs="Times New Roman"/>
          <w:color w:val="auto"/>
          <w:sz w:val="32"/>
          <w:szCs w:val="32"/>
          <w:lang w:val="en-US" w:eastAsia="zh-CN"/>
        </w:rPr>
        <w:t>63.36</w:t>
      </w:r>
      <w:r>
        <w:rPr>
          <w:rFonts w:ascii="Times New Roman" w:hAnsi="Times New Roman" w:eastAsia="仿宋_GB2312" w:cs="Times New Roman"/>
          <w:color w:val="auto"/>
          <w:sz w:val="32"/>
          <w:szCs w:val="32"/>
        </w:rPr>
        <w:t>万元，其中：</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人员经费</w:t>
      </w:r>
      <w:r>
        <w:rPr>
          <w:rFonts w:hint="eastAsia" w:ascii="Times New Roman" w:hAnsi="Times New Roman" w:eastAsia="仿宋_GB2312" w:cs="Times New Roman"/>
          <w:color w:val="auto"/>
          <w:sz w:val="32"/>
          <w:szCs w:val="32"/>
          <w:lang w:val="en-US" w:eastAsia="zh-CN"/>
        </w:rPr>
        <w:t>63.36</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s="Times New Roman"/>
          <w:color w:val="auto"/>
          <w:sz w:val="32"/>
          <w:szCs w:val="32"/>
          <w:lang w:eastAsia="zh-CN"/>
        </w:rPr>
        <w:t>等</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eastAsia="仿宋_GB2312" w:cs="Times New Roman"/>
          <w:b/>
          <w:color w:val="auto"/>
          <w:sz w:val="32"/>
          <w:szCs w:val="32"/>
        </w:rPr>
      </w:pPr>
      <w:r>
        <w:rPr>
          <w:rFonts w:ascii="Times New Roman" w:hAnsi="Times New Roman" w:cs="Times New Roman"/>
          <w:bCs/>
          <w:color w:val="auto"/>
          <w:sz w:val="32"/>
          <w:szCs w:val="32"/>
        </w:rPr>
        <w:t>七、财政拨款“三公”经费支出决算情况说明</w:t>
      </w: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（一）“三公”经费财政拨款支出决算总体情况说明</w:t>
      </w:r>
    </w:p>
    <w:p>
      <w:pPr>
        <w:pStyle w:val="15"/>
        <w:spacing w:line="600" w:lineRule="exact"/>
        <w:ind w:firstLine="800" w:firstLineChars="250"/>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2024年度“三公”经费财政拨款支出预算为</w:t>
      </w:r>
      <w:r>
        <w:rPr>
          <w:rFonts w:hint="eastAsia" w:ascii="Times New Roman" w:hAnsi="Times New Roman" w:eastAsia="仿宋_GB2312" w:cs="Times New Roman"/>
          <w:color w:val="auto"/>
          <w:sz w:val="32"/>
          <w:szCs w:val="32"/>
          <w:lang w:val="en-US" w:eastAsia="zh-CN"/>
        </w:rPr>
        <w:t>0.5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0.37</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74</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压缩接待费支出</w:t>
      </w:r>
      <w:r>
        <w:rPr>
          <w:rFonts w:hint="eastAsia" w:ascii="Times New Roman" w:hAnsi="Times New Roman" w:eastAsia="仿宋_GB2312"/>
          <w:color w:val="auto"/>
          <w:sz w:val="32"/>
          <w:szCs w:val="32"/>
          <w:lang w:eastAsia="zh-CN"/>
        </w:rPr>
        <w:t>，</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eastAsia="zh-CN"/>
        </w:rPr>
        <w:t>持平</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其中：</w:t>
      </w:r>
    </w:p>
    <w:p>
      <w:pPr>
        <w:pStyle w:val="15"/>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w:t>
      </w:r>
    </w:p>
    <w:p>
      <w:pPr>
        <w:pStyle w:val="15"/>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0.5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0.37</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74</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压缩接待费支出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持平</w:t>
      </w:r>
      <w:r>
        <w:rPr>
          <w:rFonts w:hint="eastAsia" w:ascii="Times New Roman" w:hAnsi="Times New Roman" w:eastAsia="仿宋_GB2312"/>
          <w:color w:val="auto"/>
          <w:sz w:val="32"/>
          <w:szCs w:val="32"/>
        </w:rPr>
        <w:t>。</w:t>
      </w:r>
    </w:p>
    <w:p>
      <w:pPr>
        <w:pStyle w:val="15"/>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5"/>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p>
    <w:p>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祁阳市红十字会</w:t>
      </w:r>
      <w:r>
        <w:rPr>
          <w:rFonts w:ascii="Times New Roman" w:hAnsi="Times New Roman" w:eastAsia="仿宋_GB2312" w:cs="Times New Roman"/>
          <w:color w:val="auto"/>
          <w:sz w:val="32"/>
          <w:szCs w:val="32"/>
        </w:rPr>
        <w:t>更新公务用车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辆。公务用车运行维护费支出预算为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万元。截止2024年12月31日，我单位开支财政拨款的公务用车保有量为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3.公务接待费支出预算为</w:t>
      </w:r>
      <w:r>
        <w:rPr>
          <w:rFonts w:hint="eastAsia" w:ascii="Times New Roman" w:hAnsi="Times New Roman" w:eastAsia="仿宋_GB2312" w:cs="Times New Roman"/>
          <w:color w:val="auto"/>
          <w:sz w:val="32"/>
          <w:szCs w:val="32"/>
          <w:lang w:val="en-US" w:eastAsia="zh-CN"/>
        </w:rPr>
        <w:t>0.5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0.37</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74</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eastAsia="zh-CN"/>
        </w:rPr>
        <w:t>持平</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压缩接待费支出。</w:t>
      </w:r>
      <w:r>
        <w:rPr>
          <w:rFonts w:ascii="Times New Roman" w:hAnsi="Times New Roman" w:eastAsia="仿宋_GB2312" w:cs="Times New Roman"/>
          <w:color w:val="auto"/>
          <w:sz w:val="32"/>
          <w:szCs w:val="32"/>
        </w:rPr>
        <w:t>2024年度共接待来访团组</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33</w:t>
      </w:r>
      <w:r>
        <w:rPr>
          <w:rFonts w:ascii="Times New Roman" w:hAnsi="Times New Roman" w:eastAsia="仿宋_GB2312" w:cs="Times New Roman"/>
          <w:color w:val="auto"/>
          <w:sz w:val="32"/>
          <w:szCs w:val="32"/>
        </w:rPr>
        <w:t>人次，主要是</w:t>
      </w:r>
      <w:r>
        <w:rPr>
          <w:rFonts w:hint="eastAsia" w:ascii="Times New Roman" w:hAnsi="Times New Roman" w:eastAsia="仿宋_GB2312"/>
          <w:color w:val="auto"/>
          <w:sz w:val="32"/>
          <w:szCs w:val="32"/>
          <w:lang w:val="en-US" w:eastAsia="zh-CN"/>
        </w:rPr>
        <w:t>其他县区红十字会和血站交流</w:t>
      </w:r>
      <w:r>
        <w:rPr>
          <w:rFonts w:hint="eastAsia" w:ascii="Times New Roman" w:hAnsi="Times New Roman" w:eastAsia="仿宋_GB2312"/>
          <w:color w:val="auto"/>
          <w:sz w:val="32"/>
          <w:szCs w:val="32"/>
        </w:rPr>
        <w:t>发生的接待支出</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 xml:space="preserve"> 2024年度</w:t>
      </w:r>
      <w:r>
        <w:rPr>
          <w:rFonts w:hint="eastAsia" w:ascii="Times New Roman" w:hAnsi="Times New Roman" w:eastAsia="仿宋_GB2312"/>
          <w:sz w:val="32"/>
          <w:szCs w:val="32"/>
        </w:rPr>
        <w:t>本单位无政府性基金收支</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5"/>
        <w:overflowPunct w:val="0"/>
        <w:autoSpaceDE/>
        <w:autoSpaceDN/>
        <w:spacing w:line="600" w:lineRule="exact"/>
        <w:ind w:firstLine="640" w:firstLineChars="200"/>
        <w:jc w:val="both"/>
        <w:rPr>
          <w:rFonts w:hint="eastAsia" w:ascii="Times New Roman" w:hAnsi="Times New Roman" w:eastAsia="仿宋_GB2312"/>
          <w:color w:val="auto"/>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万元，比年初预算数（或者上年决算数）减少</w:t>
      </w:r>
      <w:r>
        <w:rPr>
          <w:rFonts w:hint="eastAsia" w:ascii="Times New Roman" w:hAnsi="Times New Roman" w:eastAsia="仿宋_GB2312" w:cs="Times New Roman"/>
          <w:color w:val="auto"/>
          <w:sz w:val="32"/>
          <w:szCs w:val="32"/>
          <w:lang w:val="en-US" w:eastAsia="zh-CN"/>
        </w:rPr>
        <w:t>24.8</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%。主要原因是：</w:t>
      </w:r>
      <w:r>
        <w:rPr>
          <w:rFonts w:hint="eastAsia" w:ascii="Times New Roman" w:hAnsi="Times New Roman" w:eastAsia="仿宋_GB2312"/>
          <w:color w:val="auto"/>
          <w:sz w:val="32"/>
          <w:szCs w:val="32"/>
          <w:lang w:eastAsia="zh-CN"/>
        </w:rPr>
        <w:t>年初预算专项公用经费纳入了行政运行，实际支出计入了一般行政管理事务</w:t>
      </w:r>
      <w:r>
        <w:rPr>
          <w:rFonts w:hint="eastAsia" w:ascii="Times New Roman" w:hAnsi="Times New Roman" w:eastAsia="仿宋_GB2312"/>
          <w:color w:val="auto"/>
          <w:sz w:val="32"/>
          <w:szCs w:val="32"/>
          <w:lang w:val="en-US" w:eastAsia="zh-CN"/>
        </w:rPr>
        <w:t>。</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ascii="Times New Roman" w:hAnsi="Times New Roman" w:eastAsia="仿宋_GB2312" w:cs="Times New Roman"/>
          <w:color w:val="auto"/>
          <w:sz w:val="32"/>
          <w:szCs w:val="32"/>
        </w:rPr>
        <w:t>开支培训费</w:t>
      </w:r>
      <w:r>
        <w:rPr>
          <w:rFonts w:hint="eastAsia" w:ascii="Times New Roman" w:hAnsi="Times New Roman" w:eastAsia="仿宋_GB2312" w:cs="Times New Roman"/>
          <w:color w:val="auto"/>
          <w:sz w:val="32"/>
          <w:szCs w:val="32"/>
          <w:lang w:val="en-US" w:eastAsia="zh-CN"/>
        </w:rPr>
        <w:t>3.3518</w:t>
      </w:r>
      <w:r>
        <w:rPr>
          <w:rFonts w:ascii="Times New Roman" w:hAnsi="Times New Roman" w:eastAsia="仿宋_GB2312" w:cs="Times New Roman"/>
          <w:color w:val="auto"/>
          <w:sz w:val="32"/>
          <w:szCs w:val="32"/>
        </w:rPr>
        <w:t>万元，用于开展</w:t>
      </w:r>
      <w:r>
        <w:rPr>
          <w:rFonts w:hint="eastAsia" w:ascii="Times New Roman" w:hAnsi="Times New Roman" w:eastAsia="仿宋_GB2312" w:cs="Times New Roman"/>
          <w:color w:val="auto"/>
          <w:sz w:val="32"/>
          <w:szCs w:val="32"/>
        </w:rPr>
        <w:t>CPR＋AED、救护员等持证</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511</w:t>
      </w:r>
      <w:r>
        <w:rPr>
          <w:rFonts w:ascii="Times New Roman" w:hAnsi="Times New Roman" w:eastAsia="仿宋_GB2312" w:cs="Times New Roman"/>
          <w:color w:val="auto"/>
          <w:sz w:val="32"/>
          <w:szCs w:val="32"/>
        </w:rPr>
        <w:t>人；</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color w:val="FF000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个，共涉及资金</w:t>
      </w:r>
      <w:r>
        <w:rPr>
          <w:rFonts w:hint="eastAsia" w:ascii="Times New Roman" w:hAnsi="Times New Roman" w:eastAsia="仿宋_GB2312" w:cs="Times New Roman"/>
          <w:color w:val="auto"/>
          <w:sz w:val="32"/>
          <w:szCs w:val="32"/>
          <w:lang w:val="en-US" w:eastAsia="zh-CN"/>
        </w:rPr>
        <w:t>101.35</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sz w:val="32"/>
          <w:szCs w:val="32"/>
          <w:lang w:val="en-US" w:eastAsia="zh-CN"/>
        </w:rPr>
        <w:t>101.35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个项目开展了部门评价，涉及一般公共预算支出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b/>
          <w:bCs/>
          <w:color w:val="auto"/>
          <w:kern w:val="0"/>
          <w:sz w:val="32"/>
          <w:szCs w:val="32"/>
        </w:rPr>
        <w:t>三是事前绩效评估开展情况。</w:t>
      </w:r>
      <w:r>
        <w:rPr>
          <w:rFonts w:ascii="Times New Roman" w:hAnsi="Times New Roman" w:eastAsia="仿宋_GB2312" w:cs="Times New Roman"/>
          <w:color w:val="auto"/>
          <w:kern w:val="0"/>
          <w:sz w:val="32"/>
          <w:szCs w:val="32"/>
        </w:rPr>
        <w:t>组织对2024年度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个新增重大政策和</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个重大项目开展事前绩效评估，共涉及资金</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w:t>
      </w:r>
    </w:p>
    <w:p>
      <w:pPr>
        <w:spacing w:line="560" w:lineRule="exact"/>
        <w:ind w:firstLine="640" w:firstLineChars="200"/>
        <w:rPr>
          <w:rFonts w:ascii="Times New Roman" w:hAnsi="Times New Roman" w:eastAsia="仿宋_GB2312" w:cs="Times New Roman"/>
          <w:bCs/>
          <w:color w:val="FF000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78.51</w:t>
      </w:r>
      <w:r>
        <w:rPr>
          <w:rFonts w:ascii="Times New Roman" w:hAnsi="Times New Roman" w:eastAsia="仿宋_GB2312" w:cs="Times New Roman"/>
          <w:sz w:val="32"/>
          <w:szCs w:val="32"/>
        </w:rPr>
        <w:t>万元，执行数</w:t>
      </w:r>
      <w:r>
        <w:rPr>
          <w:rFonts w:hint="eastAsia" w:ascii="Times New Roman" w:hAnsi="Times New Roman" w:eastAsia="仿宋_GB2312"/>
          <w:sz w:val="32"/>
          <w:szCs w:val="32"/>
          <w:lang w:val="en-US" w:eastAsia="zh-CN"/>
        </w:rPr>
        <w:t>101.35</w:t>
      </w:r>
      <w:r>
        <w:rPr>
          <w:rFonts w:ascii="Times New Roman" w:hAnsi="Times New Roman" w:eastAsia="仿宋_GB2312" w:cs="Times New Roman"/>
          <w:sz w:val="32"/>
          <w:szCs w:val="32"/>
        </w:rPr>
        <w:t>万元，完成预算的</w:t>
      </w:r>
      <w:r>
        <w:rPr>
          <w:rFonts w:hint="eastAsia" w:ascii="Times New Roman" w:hAnsi="Times New Roman" w:eastAsia="仿宋_GB2312"/>
          <w:color w:val="auto"/>
          <w:sz w:val="32"/>
          <w:szCs w:val="32"/>
          <w:lang w:val="en-US" w:eastAsia="zh-CN"/>
        </w:rPr>
        <w:t>129.09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99.97</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优秀</w:t>
      </w:r>
      <w:r>
        <w:rPr>
          <w:rFonts w:ascii="Times New Roman" w:hAnsi="Times New Roman" w:eastAsia="仿宋_GB2312" w:cs="Times New Roman"/>
          <w:color w:val="auto"/>
          <w:sz w:val="32"/>
          <w:szCs w:val="32"/>
        </w:rPr>
        <w:t>”。绩</w:t>
      </w:r>
      <w:r>
        <w:rPr>
          <w:rFonts w:ascii="Times New Roman" w:hAnsi="Times New Roman" w:eastAsia="仿宋_GB2312" w:cs="Times New Roman"/>
          <w:sz w:val="32"/>
          <w:szCs w:val="32"/>
        </w:rPr>
        <w:t>效目标完成情况：一是</w:t>
      </w:r>
      <w:r>
        <w:rPr>
          <w:rFonts w:hint="eastAsia" w:ascii="Times New Roman" w:hAnsi="Times New Roman" w:eastAsia="仿宋_GB2312" w:cs="Times New Roman"/>
          <w:sz w:val="32"/>
          <w:szCs w:val="32"/>
        </w:rPr>
        <w:t>强化政治引领，走中国特色红十字事业发展道路</w:t>
      </w:r>
      <w:r>
        <w:rPr>
          <w:rFonts w:ascii="Times New Roman" w:hAnsi="Times New Roman" w:eastAsia="仿宋_GB2312" w:cs="Times New Roman"/>
          <w:sz w:val="32"/>
          <w:szCs w:val="32"/>
        </w:rPr>
        <w:t>；二是聚焦“三救”，发挥红十字会人道领域助手作用</w:t>
      </w:r>
      <w:r>
        <w:rPr>
          <w:rFonts w:hint="eastAsia" w:ascii="Times New Roman" w:hAnsi="Times New Roman" w:eastAsia="仿宋_GB2312" w:cs="Times New Roman"/>
          <w:sz w:val="32"/>
          <w:szCs w:val="32"/>
          <w:lang w:eastAsia="zh-CN"/>
        </w:rPr>
        <w:t>；三是</w:t>
      </w:r>
      <w:r>
        <w:rPr>
          <w:rFonts w:ascii="Times New Roman" w:hAnsi="Times New Roman" w:eastAsia="仿宋_GB2312" w:cs="Times New Roman"/>
          <w:sz w:val="32"/>
          <w:szCs w:val="32"/>
        </w:rPr>
        <w:t>加强氛围营造，三献工作持续健康发展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发现的主要问题及原因：一是</w:t>
      </w:r>
      <w:r>
        <w:rPr>
          <w:rFonts w:hint="eastAsia" w:ascii="仿宋_GB2312" w:hAnsi="微软雅黑" w:eastAsia="仿宋_GB2312" w:cs="仿宋_GB2312"/>
          <w:color w:val="333333"/>
          <w:sz w:val="31"/>
          <w:szCs w:val="31"/>
          <w:shd w:val="clear" w:color="auto" w:fill="FFFFFF"/>
        </w:rPr>
        <w:t>预算编制不够明确和细化，预算编制的合理性需要提高，预算执行力度还要进一步加强</w:t>
      </w:r>
      <w:r>
        <w:rPr>
          <w:rFonts w:ascii="Times New Roman" w:hAnsi="Times New Roman" w:eastAsia="仿宋_GB2312" w:cs="Times New Roman"/>
          <w:sz w:val="32"/>
          <w:szCs w:val="32"/>
        </w:rPr>
        <w:t>；二是</w:t>
      </w:r>
      <w:r>
        <w:rPr>
          <w:rFonts w:hint="eastAsia" w:ascii="仿宋_GB2312" w:hAnsi="微软雅黑" w:eastAsia="仿宋_GB2312" w:cs="仿宋_GB2312"/>
          <w:color w:val="333333"/>
          <w:sz w:val="31"/>
          <w:szCs w:val="31"/>
          <w:shd w:val="clear" w:color="auto" w:fill="FFFFFF"/>
        </w:rPr>
        <w:t>无偿献血、应急救护培训资金过少，投入不足</w:t>
      </w:r>
      <w:r>
        <w:rPr>
          <w:rFonts w:ascii="Times New Roman" w:hAnsi="Times New Roman" w:eastAsia="仿宋_GB2312" w:cs="Times New Roman"/>
          <w:sz w:val="32"/>
          <w:szCs w:val="32"/>
        </w:rPr>
        <w:t>。下一步改进措施：一是</w:t>
      </w:r>
      <w:r>
        <w:rPr>
          <w:rFonts w:hint="eastAsia" w:ascii="仿宋_GB2312" w:hAnsi="宋体" w:eastAsia="仿宋_GB2312" w:cs="仿宋_GB2312"/>
          <w:color w:val="333333"/>
          <w:sz w:val="31"/>
          <w:szCs w:val="31"/>
          <w:shd w:val="clear" w:color="auto" w:fill="FFFFFF"/>
        </w:rPr>
        <w:t>加强各类财务制度及预算绩效管理工作学习培训</w:t>
      </w:r>
      <w:r>
        <w:rPr>
          <w:rFonts w:ascii="Times New Roman" w:hAnsi="Times New Roman" w:eastAsia="仿宋_GB2312" w:cs="Times New Roman"/>
          <w:sz w:val="32"/>
          <w:szCs w:val="32"/>
        </w:rPr>
        <w:t>；二是</w:t>
      </w:r>
      <w:r>
        <w:rPr>
          <w:rFonts w:hint="eastAsia" w:ascii="仿宋_GB2312" w:hAnsi="宋体" w:eastAsia="仿宋_GB2312" w:cs="仿宋_GB2312"/>
          <w:color w:val="333333"/>
          <w:sz w:val="31"/>
          <w:szCs w:val="31"/>
          <w:shd w:val="clear" w:color="auto" w:fill="FFFFFF"/>
        </w:rPr>
        <w:t>完善管理制度，规范账务处理。进一步加强公共预算支出管理,进一步贯彻落实中央八项规定，建立本单位支出管理制度，加强经费审批和控制，规范支出标准和范围并严格执行</w:t>
      </w:r>
      <w:r>
        <w:rPr>
          <w:rFonts w:hint="eastAsia" w:ascii="仿宋_GB2312" w:hAnsi="宋体" w:eastAsia="仿宋_GB2312" w:cs="仿宋_GB2312"/>
          <w:color w:val="333333"/>
          <w:sz w:val="31"/>
          <w:szCs w:val="31"/>
          <w:shd w:val="clear" w:color="auto" w:fill="FFFFFF"/>
          <w:lang w:eastAsia="zh-CN"/>
        </w:rPr>
        <w:t>；三是</w:t>
      </w:r>
      <w:r>
        <w:rPr>
          <w:rFonts w:ascii="仿宋_GB2312" w:hAnsi="宋体" w:eastAsia="仿宋_GB2312" w:cs="仿宋_GB2312"/>
          <w:color w:val="333333"/>
          <w:sz w:val="31"/>
          <w:szCs w:val="31"/>
          <w:shd w:val="clear" w:color="auto" w:fill="FFFFFF"/>
        </w:rPr>
        <w:t>争取政府领导重视，恳请加大对</w:t>
      </w:r>
      <w:r>
        <w:rPr>
          <w:rFonts w:hint="eastAsia" w:ascii="仿宋_GB2312" w:hAnsi="宋体" w:eastAsia="仿宋_GB2312" w:cs="仿宋_GB2312"/>
          <w:color w:val="333333"/>
          <w:sz w:val="31"/>
          <w:szCs w:val="31"/>
          <w:shd w:val="clear" w:color="auto" w:fill="FFFFFF"/>
        </w:rPr>
        <w:t>无偿献血、应急救护培训</w:t>
      </w:r>
      <w:r>
        <w:rPr>
          <w:rFonts w:ascii="仿宋_GB2312" w:hAnsi="宋体" w:eastAsia="仿宋_GB2312" w:cs="仿宋_GB2312"/>
          <w:color w:val="333333"/>
          <w:sz w:val="31"/>
          <w:szCs w:val="31"/>
          <w:shd w:val="clear" w:color="auto" w:fill="FFFFFF"/>
        </w:rPr>
        <w:t>工作经费的投入</w:t>
      </w:r>
      <w:r>
        <w:rPr>
          <w:rFonts w:hint="eastAsia" w:ascii="仿宋_GB2312" w:hAnsi="宋体" w:eastAsia="仿宋_GB2312" w:cs="仿宋_GB2312"/>
          <w:color w:val="333333"/>
          <w:sz w:val="31"/>
          <w:szCs w:val="31"/>
          <w:shd w:val="clear" w:color="auto" w:fill="FFFFFF"/>
        </w:rPr>
        <w:t>。</w:t>
      </w:r>
      <w:r>
        <w:rPr>
          <w:rFonts w:ascii="Times New Roman" w:hAnsi="Times New Roman" w:eastAsia="仿宋_GB2312" w:cs="Times New Roman"/>
          <w:b/>
          <w:bCs/>
          <w:color w:val="auto"/>
          <w:kern w:val="0"/>
          <w:sz w:val="32"/>
          <w:szCs w:val="32"/>
        </w:rPr>
        <w:t>二是部门评价结果。</w:t>
      </w:r>
      <w:r>
        <w:rPr>
          <w:rFonts w:ascii="Times New Roman" w:hAnsi="Times New Roman" w:eastAsia="仿宋_GB2312" w:cs="Times New Roman"/>
          <w:color w:val="auto"/>
          <w:sz w:val="32"/>
          <w:szCs w:val="32"/>
        </w:rPr>
        <w:t>项目全年预算数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分，</w:t>
      </w: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sz w:val="32"/>
          <w:szCs w:val="32"/>
        </w:rPr>
        <w:t>评价等级。发现的主要问题及原因：</w:t>
      </w: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sz w:val="32"/>
          <w:szCs w:val="32"/>
        </w:rPr>
        <w:t>。下一步改进措施：</w:t>
      </w:r>
      <w:r>
        <w:rPr>
          <w:rFonts w:hint="eastAsia" w:ascii="Times New Roman" w:hAnsi="Times New Roman" w:eastAsia="仿宋_GB2312" w:cs="Times New Roman"/>
          <w:color w:val="auto"/>
          <w:sz w:val="32"/>
          <w:szCs w:val="32"/>
          <w:lang w:eastAsia="zh-CN"/>
        </w:rPr>
        <w:t>无</w:t>
      </w:r>
      <w:r>
        <w:rPr>
          <w:rFonts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三是事前绩效评估结果。</w:t>
      </w:r>
      <w:r>
        <w:rPr>
          <w:rFonts w:ascii="Times New Roman" w:hAnsi="Times New Roman" w:eastAsia="仿宋_GB2312" w:cs="Times New Roman"/>
          <w:color w:val="auto"/>
          <w:kern w:val="0"/>
          <w:sz w:val="32"/>
          <w:szCs w:val="32"/>
        </w:rPr>
        <w:t>2024年度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个重大项目事前绩效评估，其中，</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个项目评估通过，涉及资金</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个项目评估不通过，涉及资金</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根据2024年度绩效自评结果、部门评价结果、财政评价结果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本部门2025年度预算安排，支出结构调整，资金管理，制度建设等方面结果运用</w:t>
      </w:r>
      <w:r>
        <w:rPr>
          <w:rFonts w:hint="eastAsia" w:ascii="Times New Roman" w:hAnsi="Times New Roman" w:eastAsia="仿宋_GB2312" w:cs="Times New Roman"/>
          <w:color w:val="auto"/>
          <w:sz w:val="32"/>
          <w:szCs w:val="32"/>
          <w:lang w:eastAsia="zh-CN"/>
        </w:rPr>
        <w:t>比较合理</w:t>
      </w:r>
      <w:r>
        <w:rPr>
          <w:rFonts w:ascii="Times New Roman" w:hAnsi="Times New Roman" w:eastAsia="仿宋_GB2312" w:cs="Times New Roman"/>
          <w:color w:val="auto"/>
          <w:sz w:val="32"/>
          <w:szCs w:val="32"/>
        </w:rPr>
        <w:t>。</w:t>
      </w: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pStyle w:val="15"/>
        <w:jc w:val="both"/>
        <w:rPr>
          <w:rFonts w:ascii="Times New Roman" w:hAnsi="Times New Roman" w:cs="Times New Roman"/>
          <w:sz w:val="72"/>
          <w:szCs w:val="7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p>
    <w:p>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部门整体支出绩效自评报告</w:t>
      </w:r>
    </w:p>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rPr>
          <w:rFonts w:ascii="方正小标宋简体" w:hAnsi="方正小标宋简体" w:eastAsia="方正小标宋简体" w:cs="方正小标宋简体"/>
          <w:sz w:val="36"/>
          <w:szCs w:val="36"/>
        </w:rPr>
      </w:pPr>
    </w:p>
    <w:p>
      <w:pPr>
        <w:spacing w:after="312" w:afterLines="100"/>
        <w:jc w:val="left"/>
        <w:rPr>
          <w:rFonts w:ascii="仿宋_GB2312" w:hAnsi="仿宋_GB2312" w:eastAsia="仿宋_GB2312" w:cs="仿宋_GB2312"/>
          <w:sz w:val="36"/>
          <w:szCs w:val="36"/>
        </w:rPr>
      </w:pPr>
    </w:p>
    <w:p>
      <w:pPr>
        <w:spacing w:after="312"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部门（单位）名称：祁阳市红十字会         </w:t>
      </w:r>
    </w:p>
    <w:p>
      <w:pPr>
        <w:spacing w:after="312" w:afterLines="100"/>
        <w:jc w:val="left"/>
        <w:rPr>
          <w:rFonts w:ascii="仿宋_GB2312" w:hAnsi="仿宋_GB2312" w:eastAsia="仿宋_GB2312" w:cs="仿宋_GB2312"/>
          <w:sz w:val="36"/>
          <w:szCs w:val="36"/>
        </w:rPr>
      </w:pPr>
    </w:p>
    <w:p>
      <w:pPr>
        <w:spacing w:after="312"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评价方式：部门（单位）绩效自评</w:t>
      </w:r>
    </w:p>
    <w:p>
      <w:pPr>
        <w:spacing w:after="312" w:afterLines="100"/>
        <w:jc w:val="left"/>
        <w:rPr>
          <w:rFonts w:ascii="仿宋_GB2312" w:hAnsi="仿宋_GB2312" w:eastAsia="仿宋_GB2312" w:cs="仿宋_GB2312"/>
          <w:sz w:val="36"/>
          <w:szCs w:val="36"/>
        </w:rPr>
      </w:pPr>
    </w:p>
    <w:p>
      <w:pPr>
        <w:spacing w:after="312" w:afterLines="1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评价机构：部门（单位）评价组</w: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spacing w:after="312" w:afterLines="100"/>
        <w:jc w:val="center"/>
        <w:rPr>
          <w:rFonts w:ascii="仿宋_GB2312" w:hAnsi="仿宋_GB2312" w:eastAsia="仿宋_GB2312" w:cs="仿宋_GB2312"/>
          <w:sz w:val="36"/>
          <w:szCs w:val="36"/>
        </w:rPr>
      </w:pPr>
    </w:p>
    <w:p>
      <w:pPr>
        <w:spacing w:after="312" w:afterLines="100"/>
        <w:jc w:val="center"/>
        <w:rPr>
          <w:rFonts w:ascii="仿宋_GB2312" w:hAnsi="仿宋_GB2312" w:eastAsia="仿宋_GB2312" w:cs="仿宋_GB2312"/>
          <w:sz w:val="36"/>
          <w:szCs w:val="36"/>
        </w:rPr>
      </w:pPr>
    </w:p>
    <w:p>
      <w:pPr>
        <w:spacing w:after="249" w:afterLines="8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报告日期：2025年7月7日</w:t>
      </w:r>
    </w:p>
    <w:p>
      <w:pPr>
        <w:spacing w:after="249" w:afterLines="80"/>
        <w:rPr>
          <w:rFonts w:ascii="仿宋_GB2312" w:hAnsi="仿宋_GB2312" w:eastAsia="仿宋_GB2312" w:cs="仿宋_GB2312"/>
          <w:sz w:val="36"/>
          <w:szCs w:val="36"/>
        </w:rPr>
      </w:pPr>
    </w:p>
    <w:p>
      <w:pPr>
        <w:spacing w:after="249" w:afterLines="80"/>
        <w:jc w:val="center"/>
        <w:rPr>
          <w:sz w:val="44"/>
          <w:szCs w:val="44"/>
        </w:rPr>
      </w:pPr>
      <w:r>
        <w:rPr>
          <w:rFonts w:hint="eastAsia" w:ascii="方正小标宋简体" w:hAnsi="方正小标宋简体" w:eastAsia="方正小标宋简体" w:cs="方正小标宋简体"/>
          <w:sz w:val="44"/>
          <w:szCs w:val="44"/>
        </w:rPr>
        <w:t>自评报告综述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（一）部门（单位）基本情况（包括职能职责、人员）</w:t>
      </w:r>
    </w:p>
    <w:p>
      <w:pPr>
        <w:widowControl/>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阳市红十字会依照《中华人民共和国红十字会法》，是以保护人的生命和健康，保障人的尊严，促进人与人之间的交流、友谊与合作，促进人类社会和谐和平宗旨，从事人道主义工作的社会救助团体，是党和政府在人道领域联系群众的桥梁和纽带，其主要工作任务有：开展宣传和发动无偿献血、造血干细胞捐献、人体器官（遗体）捐献，参与应急救援、应急救护、人道救助，培育和发展红十字青少年和志愿者，开展对外交流及完成政府委托事宜等。</w:t>
      </w:r>
    </w:p>
    <w:p>
      <w:pPr>
        <w:widowControl/>
        <w:spacing w:line="600" w:lineRule="exact"/>
        <w:ind w:firstLine="627"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祁阳市红十字会机关内设综合部、筹资与财务部和赈济救护部。祁阳市红十字会是参照公务员管理的全额拨款事业单位，其中参公编制5人，在职5人。工勤编制2人，机构改革后人员只出不进，在职0人。目前在职实有人数共5人，退休人数1人。无公车。</w:t>
      </w:r>
    </w:p>
    <w:p>
      <w:pPr>
        <w:numPr>
          <w:ilvl w:val="0"/>
          <w:numId w:val="3"/>
        </w:num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部门（单位）整体支出规模、使用方向和主要内容、涉及范围等</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sz w:val="32"/>
          <w:szCs w:val="32"/>
        </w:rPr>
        <w:t>2024年本部门整体支出规模101.35万元，主要是为保障部门正常运转、完成日常工作任务而发生的各项支出，包括用于基本工资、津贴补贴等人员经费以及办公费、印刷费、水电费、办公设备购置、开展无偿献血和救护培训和</w:t>
      </w:r>
      <w:r>
        <w:rPr>
          <w:rFonts w:hint="eastAsia" w:ascii="仿宋_GB2312" w:hAnsi="仿宋_GB2312" w:eastAsia="仿宋_GB2312" w:cs="仿宋_GB2312"/>
          <w:bCs/>
          <w:sz w:val="32"/>
          <w:szCs w:val="32"/>
        </w:rPr>
        <w:t>三联村博爱家园项目</w:t>
      </w:r>
      <w:r>
        <w:rPr>
          <w:rFonts w:hint="eastAsia" w:ascii="仿宋_GB2312" w:hAnsi="仿宋_GB2312" w:eastAsia="仿宋_GB2312" w:cs="仿宋_GB2312"/>
          <w:color w:val="000000"/>
          <w:sz w:val="32"/>
          <w:szCs w:val="32"/>
        </w:rPr>
        <w:t>等公用经费。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二、部门（单位）整体支出管理及使用情况</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1．本单位2024年度基本支出总额为 63.36万元，其中人员经费 63.36万元。</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2．本单位2024年度“三公” 经费总支出0.3652万元，包括公务用车运行维护费 0万元，公务用车购置费0万元，公务接待费0.3652万元，因公出国（境）费用支出为0元。</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（二）项目支出 </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本单位2024年度项目经费37.99，其中一般行政事务管理23.99万元，黄泥塘镇三联村博爱家园项目14万元。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三、部门（单位）整体支出绩效情况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总结归纳本部门整体支出的绩效目标完成情况，实现产出和效益情况。围绕部门职责、行业发展规划，以预算资金管理为主线，总结部门业务开展情况及实施效果。</w:t>
      </w:r>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（一）部门整体支出绩效目标完成情况</w:t>
      </w:r>
    </w:p>
    <w:p>
      <w:pPr>
        <w:overflowPunct w:val="0"/>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一是强化政治引领，走中国特色红十字事业发展道路</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pacing w:val="-6"/>
          <w:sz w:val="32"/>
          <w:szCs w:val="32"/>
        </w:rPr>
        <w:t xml:space="preserve">坚持党对红十字工作的一切领导，始终在思想上政治上行动上同以习近平同志为核心的党中央保持高度一致，牢固树立“四个意识”，坚定“四个自信”，坚决做到“两个维护”，深入学习贯彻落实习近平总书记对中国红十字事业重要讲话精神、中国红十字会第十二次会员代表大会精神、党的二十届三中全会精神、湖南工作的重要讲话和指示批示精神，用党的创新理论指导实践、推动红十字会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b/>
          <w:bCs/>
          <w:spacing w:val="-6"/>
          <w:sz w:val="32"/>
          <w:szCs w:val="32"/>
        </w:rPr>
        <w:t>聚焦“三救”，发挥红十字会人道领域助手作用。一是提升筹资能力，人道救助范围不断扩大。</w:t>
      </w:r>
      <w:r>
        <w:rPr>
          <w:rFonts w:hint="eastAsia" w:ascii="仿宋_GB2312" w:hAnsi="仿宋_GB2312" w:eastAsia="仿宋_GB2312" w:cs="仿宋_GB2312"/>
          <w:spacing w:val="-6"/>
          <w:sz w:val="32"/>
          <w:szCs w:val="32"/>
        </w:rPr>
        <w:t>积极响应省、市红十字会工作部署，积极发动爱心企业、热心市民、志愿者开展“5·8人道公益日”“9·9公益日”网络众筹活动，共筹集到网络募捐款44400.94元；除网络募捐外，收到湖南森霖堂医药有限公司爱心捐赠物资188201.86元；收到省、市红会物资49300元。</w:t>
      </w:r>
      <w:r>
        <w:rPr>
          <w:rFonts w:hint="eastAsia" w:ascii="仿宋_GB2312" w:hAnsi="仿宋_GB2312" w:eastAsia="仿宋_GB2312" w:cs="仿宋_GB2312"/>
          <w:b/>
          <w:bCs/>
          <w:spacing w:val="-6"/>
          <w:sz w:val="32"/>
          <w:szCs w:val="32"/>
        </w:rPr>
        <w:t>二是创新培训模式</w:t>
      </w:r>
      <w:r>
        <w:rPr>
          <w:rFonts w:hint="eastAsia" w:ascii="仿宋_GB2312" w:hAnsi="仿宋_GB2312" w:eastAsia="仿宋_GB2312" w:cs="仿宋_GB2312"/>
          <w:spacing w:val="-6"/>
          <w:sz w:val="32"/>
          <w:szCs w:val="32"/>
        </w:rPr>
        <w:t>。围绕“我为群众办实事”，持续开展“五进”活动，举办应急救护普及培训14期，普及人员达到7100人次以上，CPR＋AED、救护员等持证培训14期、达到511人。联动市直单位街道社区企事业单位开展持证培训扩大覆盖面，力争三年内一半以上的祁阳人学会心肺复苏等急救技能。</w:t>
      </w:r>
      <w:r>
        <w:rPr>
          <w:rFonts w:hint="eastAsia" w:ascii="仿宋_GB2312" w:hAnsi="仿宋_GB2312" w:eastAsia="仿宋_GB2312" w:cs="仿宋_GB2312"/>
          <w:b/>
          <w:bCs/>
          <w:spacing w:val="-6"/>
          <w:sz w:val="32"/>
          <w:szCs w:val="32"/>
        </w:rPr>
        <w:t>三是拓展救助渠道，提升服务惠民水平。</w:t>
      </w:r>
      <w:r>
        <w:rPr>
          <w:rFonts w:hint="eastAsia" w:ascii="仿宋_GB2312" w:hAnsi="仿宋_GB2312" w:eastAsia="仿宋_GB2312" w:cs="仿宋_GB2312"/>
          <w:spacing w:val="-6"/>
          <w:sz w:val="32"/>
          <w:szCs w:val="32"/>
        </w:rPr>
        <w:t>2024年开展“红十字博爱送万家”活动，共计发放大米50包、油、棉被、棉衣、健康包和医用物资等800余份，价值8万余元，共走访救护130户。全年为患重特大疾病的11户困难家庭申请湖南省红十字人道救助金，共计5.5万元；完成9例小天使基金和1例先心病患儿申报救助；黄泥塘镇三联村成功申报湖南省红十字“博爱家园”项目，并举办博爱家园项目现场会。</w:t>
      </w:r>
      <w:r>
        <w:rPr>
          <w:rFonts w:hint="eastAsia" w:ascii="仿宋_GB2312" w:hAnsi="仿宋_GB2312" w:eastAsia="仿宋_GB2312" w:cs="仿宋_GB2312"/>
          <w:sz w:val="32"/>
          <w:szCs w:val="32"/>
        </w:rPr>
        <w:t xml:space="preserve"> </w:t>
      </w:r>
    </w:p>
    <w:p>
      <w:pPr>
        <w:pStyle w:val="2"/>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三是加强氛围营造，三献工作持续健康发展。</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无偿献血、造血干细胞捐献、人体器官遗体捐献工作事关人民群众身体健康和生命安全，关系到社会和谐稳定。我会把保障人民健康放在优先发展的战略位置：</w:t>
      </w:r>
      <w:r>
        <w:rPr>
          <w:rFonts w:hint="eastAsia" w:ascii="仿宋_GB2312" w:hAnsi="仿宋_GB2312" w:eastAsia="仿宋_GB2312" w:cs="仿宋_GB2312"/>
          <w:b/>
          <w:bCs/>
          <w:spacing w:val="-6"/>
          <w:sz w:val="32"/>
          <w:szCs w:val="32"/>
        </w:rPr>
        <w:t>一是</w:t>
      </w:r>
      <w:r>
        <w:rPr>
          <w:rFonts w:hint="eastAsia" w:ascii="仿宋_GB2312" w:hAnsi="仿宋_GB2312" w:eastAsia="仿宋_GB2312" w:cs="仿宋_GB2312"/>
          <w:b/>
          <w:sz w:val="32"/>
          <w:szCs w:val="32"/>
        </w:rPr>
        <w:t>无偿献血方面</w:t>
      </w:r>
      <w:r>
        <w:rPr>
          <w:rFonts w:hint="eastAsia" w:ascii="仿宋_GB2312" w:hAnsi="仿宋_GB2312" w:eastAsia="仿宋_GB2312" w:cs="仿宋_GB2312"/>
          <w:spacing w:val="-6"/>
          <w:sz w:val="32"/>
          <w:szCs w:val="32"/>
        </w:rPr>
        <w:t>结合开展“5·12”全国防灾减灾日、“6.14”世界献血者日等活动的契机，到白竹湖广场、各社区依法开展主题鲜明、内容丰富、形式多样的献血宣传活动，向广大群众发放无偿献血、等宣传资料1万多份，积极动员有2次以上无偿献血经历的群众加入中国造血干细胞捐献者资料库，营造“我为人人，人人为我”的良好社会氛围；全年累计参加无偿献血3337人次，献血量1082000 毫升。</w:t>
      </w:r>
      <w:r>
        <w:rPr>
          <w:rFonts w:hint="eastAsia" w:ascii="仿宋_GB2312" w:hAnsi="仿宋_GB2312" w:eastAsia="仿宋_GB2312" w:cs="仿宋_GB2312"/>
          <w:b/>
          <w:bCs/>
          <w:spacing w:val="-6"/>
          <w:sz w:val="32"/>
          <w:szCs w:val="32"/>
        </w:rPr>
        <w:t>二是</w:t>
      </w:r>
      <w:r>
        <w:rPr>
          <w:rFonts w:hint="eastAsia" w:ascii="仿宋_GB2312" w:hAnsi="仿宋_GB2312" w:eastAsia="仿宋_GB2312" w:cs="仿宋_GB2312"/>
          <w:b/>
          <w:sz w:val="32"/>
          <w:szCs w:val="32"/>
        </w:rPr>
        <w:t>造血干细胞捐献方面</w:t>
      </w:r>
      <w:r>
        <w:rPr>
          <w:rFonts w:hint="eastAsia" w:ascii="仿宋_GB2312" w:hAnsi="仿宋_GB2312" w:eastAsia="仿宋_GB2312" w:cs="仿宋_GB2312"/>
          <w:spacing w:val="-6"/>
          <w:sz w:val="32"/>
          <w:szCs w:val="32"/>
        </w:rPr>
        <w:t>全年有造血干细胞采样入库登记20例；6名救护师资对无偿献血、造血干细胞捐献者深入机关、社区、小区开展面对面微宣讲，红十字志愿者多次到养老中心，残障机构、社区陪伴对象家开展走访慰问。</w:t>
      </w:r>
      <w:r>
        <w:rPr>
          <w:rFonts w:hint="eastAsia" w:ascii="仿宋_GB2312" w:hAnsi="仿宋_GB2312" w:eastAsia="仿宋_GB2312" w:cs="仿宋_GB2312"/>
          <w:b/>
          <w:sz w:val="32"/>
          <w:szCs w:val="32"/>
        </w:rPr>
        <w:t>三是遗体器官捐献方面：</w:t>
      </w:r>
      <w:r>
        <w:rPr>
          <w:rFonts w:hint="eastAsia" w:ascii="仿宋_GB2312" w:hAnsi="仿宋_GB2312" w:eastAsia="仿宋_GB2312" w:cs="仿宋_GB2312"/>
          <w:sz w:val="32"/>
          <w:szCs w:val="32"/>
        </w:rPr>
        <w:t>全年遗体器官捐献志愿者报名登记131人，成功器官捐献1人，遗体捐献1人</w:t>
      </w:r>
      <w:r>
        <w:rPr>
          <w:rFonts w:hint="eastAsia" w:ascii="仿宋_GB2312" w:hAnsi="仿宋_GB2312" w:eastAsia="仿宋_GB2312" w:cs="仿宋_GB2312"/>
          <w:spacing w:val="-6"/>
          <w:sz w:val="32"/>
          <w:szCs w:val="32"/>
        </w:rPr>
        <w:t>。</w:t>
      </w:r>
    </w:p>
    <w:p>
      <w:pPr>
        <w:numPr>
          <w:ilvl w:val="0"/>
          <w:numId w:val="4"/>
        </w:numPr>
        <w:spacing w:line="560" w:lineRule="exact"/>
        <w:ind w:firstLine="627"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部门整体支出效益情况</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1.经济性评价：2024年财政拨款收入101.35万元；基本支出63.36万元，其中人员经费63.36万元；项目经费37.99，其中一般行政事务管理23.99万元，三联村博爱家园项目14万元。年初结转结余0万元。2024年支出 101.35万元，收支平衡。预算保证了人员的基本支出及业务工作所需的必备开支，从而保证了目标任务的顺利完成。</w:t>
      </w:r>
    </w:p>
    <w:p>
      <w:pPr>
        <w:overflowPunct w:val="0"/>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2.社会效益：我会开展的应急救护培训和普及，提高了部分群众急救技能水平和能力。</w:t>
      </w:r>
    </w:p>
    <w:p>
      <w:pPr>
        <w:overflowPunct w:val="0"/>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3.可持续性分析：我会人员不断根据实际提升自身政治修养及业务水平，充分保证了工作的可持续性。但资金的合理使用，政策的变动有一定的不可控性。</w:t>
      </w:r>
    </w:p>
    <w:p>
      <w:pPr>
        <w:overflowPunct w:val="0"/>
        <w:topLinePunc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公众满意度：2024年我会以无偿献血、救护培训等三献三救为根本任务，谋划工作思路、落实工作举措，取得了很好的工作实效：引导红十字会员从实施家庭关爱、开展志愿服务等方面入手做好关爱服务工作；救护培训的组织实施切实提高了参训人员的急救水平。群众满意度达98%。</w:t>
      </w:r>
    </w:p>
    <w:p>
      <w:pPr>
        <w:numPr>
          <w:ilvl w:val="0"/>
          <w:numId w:val="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绩效评价结论</w:t>
      </w:r>
    </w:p>
    <w:p>
      <w:pPr>
        <w:pStyle w:val="10"/>
        <w:widowControl/>
        <w:shd w:val="clear" w:color="auto" w:fill="FFFFFF"/>
        <w:spacing w:beforeAutospacing="0" w:afterAutospacing="0" w:line="450" w:lineRule="atLeast"/>
        <w:ind w:firstLine="645"/>
        <w:jc w:val="both"/>
        <w:rPr>
          <w:rFonts w:hint="eastAsia" w:ascii="仿宋_GB2312" w:hAnsi="仿宋_GB2312" w:eastAsia="仿宋_GB2312" w:cs="仿宋_GB2312"/>
        </w:rPr>
      </w:pPr>
      <w:r>
        <w:rPr>
          <w:rFonts w:hint="eastAsia" w:ascii="仿宋_GB2312" w:hAnsi="仿宋_GB2312" w:eastAsia="仿宋_GB2312" w:cs="仿宋_GB2312"/>
          <w:color w:val="333333"/>
          <w:sz w:val="31"/>
          <w:szCs w:val="31"/>
          <w:shd w:val="clear" w:color="auto" w:fill="FFFFFF"/>
        </w:rPr>
        <w:t>2024年部门整体支出绩效自评结果显示，我单位绩效管理情况较为理想，达到了年初设定的各项绩效目标。所有资金使用严格按审批程序办理、操作规范，会计核算结果真实、准确，各项支出严格按照各项制度执行，按照部门整体支出绩效评价指标体系对照打分得出结果为99.97分，等级为优秀。</w:t>
      </w:r>
    </w:p>
    <w:p>
      <w:pPr>
        <w:numPr>
          <w:ilvl w:val="0"/>
          <w:numId w:val="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存在的问题及原因分析</w:t>
      </w:r>
    </w:p>
    <w:p>
      <w:pPr>
        <w:pStyle w:val="10"/>
        <w:widowControl/>
        <w:shd w:val="clear" w:color="auto" w:fill="FFFFFF"/>
        <w:spacing w:beforeAutospacing="0" w:afterAutospacing="0" w:line="450" w:lineRule="atLeast"/>
        <w:ind w:firstLine="620" w:firstLineChars="200"/>
        <w:jc w:val="both"/>
        <w:rPr>
          <w:rFonts w:hint="eastAsia"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1、预算编制不够明确和细化，预算编制的合理性需要提高，预算执行力度还要进一步加强。</w:t>
      </w:r>
    </w:p>
    <w:p>
      <w:pPr>
        <w:pStyle w:val="10"/>
        <w:widowControl/>
        <w:shd w:val="clear" w:color="auto" w:fill="FFFFFF"/>
        <w:spacing w:beforeAutospacing="0" w:afterAutospacing="0" w:line="450" w:lineRule="atLeast"/>
        <w:ind w:firstLine="620" w:firstLineChars="200"/>
        <w:jc w:val="both"/>
        <w:rPr>
          <w:rFonts w:hint="eastAsia" w:ascii="仿宋" w:hAnsi="仿宋" w:eastAsia="仿宋" w:cs="仿宋"/>
        </w:rPr>
      </w:pPr>
      <w:r>
        <w:rPr>
          <w:rFonts w:hint="eastAsia" w:ascii="仿宋_GB2312" w:hAnsi="仿宋_GB2312" w:eastAsia="仿宋_GB2312" w:cs="仿宋_GB2312"/>
          <w:color w:val="333333"/>
          <w:sz w:val="31"/>
          <w:szCs w:val="31"/>
          <w:shd w:val="clear" w:color="auto" w:fill="FFFFFF"/>
        </w:rPr>
        <w:t xml:space="preserve">2、无偿献血、应急救护培训资金过少，投入不足。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六、改进措施和有关建议</w:t>
      </w:r>
    </w:p>
    <w:p>
      <w:pPr>
        <w:spacing w:line="560" w:lineRule="exact"/>
        <w:ind w:firstLine="620" w:firstLineChars="200"/>
        <w:rPr>
          <w:rFonts w:hint="eastAsia" w:ascii="仿宋_GB2312" w:hAnsi="仿宋_GB2312" w:eastAsia="仿宋_GB2312" w:cs="仿宋_GB2312"/>
          <w:color w:val="333333"/>
          <w:sz w:val="31"/>
          <w:szCs w:val="31"/>
          <w:shd w:val="clear" w:color="auto" w:fill="FFFFFF"/>
        </w:rPr>
      </w:pPr>
      <w:bookmarkStart w:id="3" w:name="_GoBack"/>
      <w:r>
        <w:rPr>
          <w:rFonts w:hint="eastAsia" w:ascii="仿宋_GB2312" w:hAnsi="仿宋_GB2312" w:eastAsia="仿宋_GB2312" w:cs="仿宋_GB2312"/>
          <w:color w:val="333333"/>
          <w:sz w:val="31"/>
          <w:szCs w:val="31"/>
          <w:shd w:val="clear" w:color="auto" w:fill="FFFFFF"/>
        </w:rPr>
        <w:t>1.加强各类财务制度及预算绩效管理工作学习培训。</w:t>
      </w:r>
    </w:p>
    <w:p>
      <w:pPr>
        <w:spacing w:line="560" w:lineRule="exact"/>
        <w:ind w:firstLine="620" w:firstLineChars="200"/>
        <w:rPr>
          <w:rFonts w:hint="eastAsia" w:ascii="仿宋_GB2312" w:hAnsi="仿宋_GB2312" w:eastAsia="仿宋_GB2312" w:cs="仿宋_GB2312"/>
          <w:color w:val="333333"/>
          <w:sz w:val="31"/>
          <w:szCs w:val="31"/>
          <w:shd w:val="clear" w:color="auto" w:fill="FFFFFF"/>
        </w:rPr>
      </w:pPr>
      <w:r>
        <w:rPr>
          <w:rFonts w:hint="eastAsia" w:ascii="仿宋_GB2312" w:hAnsi="仿宋_GB2312" w:eastAsia="仿宋_GB2312" w:cs="仿宋_GB2312"/>
          <w:color w:val="333333"/>
          <w:sz w:val="31"/>
          <w:szCs w:val="31"/>
          <w:shd w:val="clear" w:color="auto" w:fill="FFFFFF"/>
        </w:rPr>
        <w:t>2.完善管理制度，规范账务处理。进一步加强公共预算支出管理,进一步贯彻落实中央八项规定，建立本单位支出管理制度，加强经费审批和控制，规范支出标准和范围并严格执行。</w:t>
      </w:r>
    </w:p>
    <w:p>
      <w:pPr>
        <w:spacing w:line="560" w:lineRule="exact"/>
        <w:ind w:firstLine="620" w:firstLineChars="200"/>
        <w:rPr>
          <w:rFonts w:hint="eastAsia" w:ascii="仿宋_GB2312" w:hAnsi="仿宋_GB2312" w:eastAsia="仿宋_GB2312" w:cs="仿宋_GB2312"/>
        </w:rPr>
      </w:pPr>
      <w:r>
        <w:rPr>
          <w:rFonts w:hint="eastAsia" w:ascii="仿宋_GB2312" w:hAnsi="仿宋_GB2312" w:eastAsia="仿宋_GB2312" w:cs="仿宋_GB2312"/>
          <w:color w:val="333333"/>
          <w:sz w:val="31"/>
          <w:szCs w:val="31"/>
          <w:shd w:val="clear" w:color="auto" w:fill="FFFFFF"/>
        </w:rPr>
        <w:t xml:space="preserve">3.争取政府领导重视，恳请加大对无偿献血、应急救护培训工作经费的投入。 </w:t>
      </w:r>
    </w:p>
    <w:bookmarkEnd w:id="3"/>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spacing w:line="560" w:lineRule="exact"/>
        <w:rPr>
          <w:rFonts w:ascii="仿宋_GB2312" w:hAnsi="仿宋_GB2312" w:eastAsia="仿宋_GB2312" w:cs="仿宋_GB2312"/>
          <w:sz w:val="32"/>
          <w:szCs w:val="32"/>
        </w:rPr>
      </w:pPr>
    </w:p>
    <w:p>
      <w:pPr>
        <w:pStyle w:val="15"/>
        <w:jc w:val="center"/>
        <w:rPr>
          <w:rFonts w:ascii="Times New Roman" w:hAnsi="Times New Roman" w:cs="Times New Roman"/>
          <w:sz w:val="72"/>
          <w:szCs w:val="72"/>
        </w:rPr>
      </w:pPr>
    </w:p>
    <w:p>
      <w:pPr>
        <w:pStyle w:val="15"/>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2312">
    <w:altName w:val="楷体"/>
    <w:panose1 w:val="00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A196D"/>
    <w:multiLevelType w:val="singleLevel"/>
    <w:tmpl w:val="BFCA196D"/>
    <w:lvl w:ilvl="0" w:tentative="0">
      <w:start w:val="3"/>
      <w:numFmt w:val="decimal"/>
      <w:suff w:val="nothing"/>
      <w:lvlText w:val="%1、"/>
      <w:lvlJc w:val="left"/>
    </w:lvl>
  </w:abstractNum>
  <w:abstractNum w:abstractNumId="1">
    <w:nsid w:val="F6FA5645"/>
    <w:multiLevelType w:val="singleLevel"/>
    <w:tmpl w:val="F6FA5645"/>
    <w:lvl w:ilvl="0" w:tentative="0">
      <w:start w:val="2"/>
      <w:numFmt w:val="chineseCounting"/>
      <w:suff w:val="nothing"/>
      <w:lvlText w:val="（%1）"/>
      <w:lvlJc w:val="left"/>
      <w:rPr>
        <w:rFonts w:hint="eastAsia"/>
      </w:rPr>
    </w:lvl>
  </w:abstractNum>
  <w:abstractNum w:abstractNumId="2">
    <w:nsid w:val="2F3AD5E4"/>
    <w:multiLevelType w:val="singleLevel"/>
    <w:tmpl w:val="2F3AD5E4"/>
    <w:lvl w:ilvl="0" w:tentative="0">
      <w:start w:val="4"/>
      <w:numFmt w:val="chineseCounting"/>
      <w:suff w:val="nothing"/>
      <w:lvlText w:val="%1、"/>
      <w:lvlJc w:val="left"/>
      <w:rPr>
        <w:rFonts w:hint="eastAsia"/>
      </w:rPr>
    </w:lvl>
  </w:abstractNum>
  <w:abstractNum w:abstractNumId="3">
    <w:nsid w:val="6BD96B64"/>
    <w:multiLevelType w:val="singleLevel"/>
    <w:tmpl w:val="6BD96B64"/>
    <w:lvl w:ilvl="0" w:tentative="0">
      <w:start w:val="1"/>
      <w:numFmt w:val="decimal"/>
      <w:suff w:val="nothing"/>
      <w:lvlText w:val="%1、"/>
      <w:lvlJc w:val="left"/>
    </w:lvl>
  </w:abstractNum>
  <w:abstractNum w:abstractNumId="4">
    <w:nsid w:val="700BBC8C"/>
    <w:multiLevelType w:val="singleLevel"/>
    <w:tmpl w:val="700BBC8C"/>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AFE550"/>
    <w:rsid w:val="1D97DEFF"/>
    <w:rsid w:val="1DBF7C0F"/>
    <w:rsid w:val="1DFF72E5"/>
    <w:rsid w:val="1EDBEBF0"/>
    <w:rsid w:val="1EFC6F07"/>
    <w:rsid w:val="1FBA6AAA"/>
    <w:rsid w:val="277F3D17"/>
    <w:rsid w:val="27FF3122"/>
    <w:rsid w:val="2EE67F1E"/>
    <w:rsid w:val="2EFE414A"/>
    <w:rsid w:val="2FDF85B8"/>
    <w:rsid w:val="2FFFEE04"/>
    <w:rsid w:val="34DF85B0"/>
    <w:rsid w:val="378562D6"/>
    <w:rsid w:val="387E157E"/>
    <w:rsid w:val="3B8F36BC"/>
    <w:rsid w:val="3DDA57B7"/>
    <w:rsid w:val="3E7FA841"/>
    <w:rsid w:val="3FFB5510"/>
    <w:rsid w:val="47E74251"/>
    <w:rsid w:val="491FF225"/>
    <w:rsid w:val="4BBFECC2"/>
    <w:rsid w:val="4E2A241D"/>
    <w:rsid w:val="4FFD214C"/>
    <w:rsid w:val="57675D38"/>
    <w:rsid w:val="5777D4F5"/>
    <w:rsid w:val="59DD8326"/>
    <w:rsid w:val="5BFFE73C"/>
    <w:rsid w:val="5DEF592A"/>
    <w:rsid w:val="5EF3D896"/>
    <w:rsid w:val="5EFF7617"/>
    <w:rsid w:val="5FC6BB1E"/>
    <w:rsid w:val="5FF720F1"/>
    <w:rsid w:val="5FFB5881"/>
    <w:rsid w:val="64FDA212"/>
    <w:rsid w:val="66F6BFCC"/>
    <w:rsid w:val="67FF5C0B"/>
    <w:rsid w:val="6BF514F6"/>
    <w:rsid w:val="6E7E7809"/>
    <w:rsid w:val="6EBF4818"/>
    <w:rsid w:val="6EFC0924"/>
    <w:rsid w:val="6EFF5A05"/>
    <w:rsid w:val="6FB74722"/>
    <w:rsid w:val="6FEF8B7E"/>
    <w:rsid w:val="6FFB29BA"/>
    <w:rsid w:val="6FFBE9A3"/>
    <w:rsid w:val="71A6591B"/>
    <w:rsid w:val="737D59BA"/>
    <w:rsid w:val="740924A3"/>
    <w:rsid w:val="74DFA67F"/>
    <w:rsid w:val="755A98F3"/>
    <w:rsid w:val="779BD020"/>
    <w:rsid w:val="77A7C112"/>
    <w:rsid w:val="77C37683"/>
    <w:rsid w:val="77CFDF11"/>
    <w:rsid w:val="79D19834"/>
    <w:rsid w:val="79FF515B"/>
    <w:rsid w:val="7A791956"/>
    <w:rsid w:val="7AD75BEC"/>
    <w:rsid w:val="7BBF8365"/>
    <w:rsid w:val="7BD72786"/>
    <w:rsid w:val="7BD72CCB"/>
    <w:rsid w:val="7BFFC6B4"/>
    <w:rsid w:val="7BFFCB95"/>
    <w:rsid w:val="7CD5FA9D"/>
    <w:rsid w:val="7DB3B68F"/>
    <w:rsid w:val="7DF4265B"/>
    <w:rsid w:val="7DF7E8BF"/>
    <w:rsid w:val="7DFDE273"/>
    <w:rsid w:val="7E9E1962"/>
    <w:rsid w:val="7E9F11B4"/>
    <w:rsid w:val="7F37EC1E"/>
    <w:rsid w:val="7F6DC52E"/>
    <w:rsid w:val="7F7DCD9D"/>
    <w:rsid w:val="7F970A6F"/>
    <w:rsid w:val="7F9A2F35"/>
    <w:rsid w:val="7FC1FFF3"/>
    <w:rsid w:val="7FC69637"/>
    <w:rsid w:val="7FD5CAEC"/>
    <w:rsid w:val="7FDF8620"/>
    <w:rsid w:val="7FDFC009"/>
    <w:rsid w:val="7FE77213"/>
    <w:rsid w:val="7FE8C8F7"/>
    <w:rsid w:val="7FEB8688"/>
    <w:rsid w:val="7FF23954"/>
    <w:rsid w:val="7FFB242F"/>
    <w:rsid w:val="7FFBFE0D"/>
    <w:rsid w:val="7FFDB408"/>
    <w:rsid w:val="7FFE4EEB"/>
    <w:rsid w:val="7FFF719B"/>
    <w:rsid w:val="95FB2B98"/>
    <w:rsid w:val="9A639BC2"/>
    <w:rsid w:val="9D3D4022"/>
    <w:rsid w:val="9F7DA020"/>
    <w:rsid w:val="9FF7D786"/>
    <w:rsid w:val="9FFF0F7A"/>
    <w:rsid w:val="A7B4699C"/>
    <w:rsid w:val="ABBFB23D"/>
    <w:rsid w:val="AF320303"/>
    <w:rsid w:val="AFF984BB"/>
    <w:rsid w:val="B155BB09"/>
    <w:rsid w:val="B795E672"/>
    <w:rsid w:val="BDFEA372"/>
    <w:rsid w:val="BE2D117A"/>
    <w:rsid w:val="BE7E4235"/>
    <w:rsid w:val="BF3E0DE2"/>
    <w:rsid w:val="BFEB9BD0"/>
    <w:rsid w:val="C3B4DA5A"/>
    <w:rsid w:val="CBDB5A8B"/>
    <w:rsid w:val="CBFF70E0"/>
    <w:rsid w:val="CFBBE631"/>
    <w:rsid w:val="CFF50B82"/>
    <w:rsid w:val="CFFFAD89"/>
    <w:rsid w:val="D65FEEA7"/>
    <w:rsid w:val="DF7F07E0"/>
    <w:rsid w:val="DFFE359E"/>
    <w:rsid w:val="DFFE4FFD"/>
    <w:rsid w:val="EA37A25E"/>
    <w:rsid w:val="EAFF6CDE"/>
    <w:rsid w:val="EE679578"/>
    <w:rsid w:val="EE7F5AC9"/>
    <w:rsid w:val="EEABED75"/>
    <w:rsid w:val="EFFD53D1"/>
    <w:rsid w:val="F3DF8C86"/>
    <w:rsid w:val="F56FDF51"/>
    <w:rsid w:val="F5E798C0"/>
    <w:rsid w:val="F6B69F17"/>
    <w:rsid w:val="F77F1D61"/>
    <w:rsid w:val="F7E712EA"/>
    <w:rsid w:val="F7FED3A9"/>
    <w:rsid w:val="F7FFA7D2"/>
    <w:rsid w:val="F8C9DB26"/>
    <w:rsid w:val="F97E8EAE"/>
    <w:rsid w:val="FB36E1A6"/>
    <w:rsid w:val="FB3BE134"/>
    <w:rsid w:val="FB6FB586"/>
    <w:rsid w:val="FB95BD80"/>
    <w:rsid w:val="FBAFB14F"/>
    <w:rsid w:val="FBB924D6"/>
    <w:rsid w:val="FBBC05D5"/>
    <w:rsid w:val="FBFAB39A"/>
    <w:rsid w:val="FCFF4275"/>
    <w:rsid w:val="FD7FEEEA"/>
    <w:rsid w:val="FDA54D99"/>
    <w:rsid w:val="FDA9E2FD"/>
    <w:rsid w:val="FDFF0BB0"/>
    <w:rsid w:val="FDFFB577"/>
    <w:rsid w:val="FEEA50FE"/>
    <w:rsid w:val="FF2F32A6"/>
    <w:rsid w:val="FF79F140"/>
    <w:rsid w:val="FF7D47A9"/>
    <w:rsid w:val="FF8FE8FD"/>
    <w:rsid w:val="FFBFA622"/>
    <w:rsid w:val="FFCBC9E5"/>
    <w:rsid w:val="FFCF21CB"/>
    <w:rsid w:val="FFEBB721"/>
    <w:rsid w:val="FFEE2040"/>
    <w:rsid w:val="FFF11737"/>
    <w:rsid w:val="FFF84485"/>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3</TotalTime>
  <ScaleCrop>false</ScaleCrop>
  <LinksUpToDate>false</LinksUpToDate>
  <CharactersWithSpaces>9786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2025-08-21T10:17:00Z</dcterms:created>
  <dc:creator>李航 null</dc:creator>
  <cp:lastModifiedBy>greatwall</cp:lastModifiedBy>
  <cp:lastPrinted>2024-08-11T18:20:00Z</cp:lastPrinted>
  <dcterms:modified xsi:type="dcterms:W3CDTF">2025-09-25T09:30:54Z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BB7B6AA21D207914D6FDA268992A22D6</vt:lpwstr>
  </property>
</Properties>
</file>