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2E8" w:rsidRDefault="00C432E8">
      <w:pPr>
        <w:pStyle w:val="Default"/>
        <w:jc w:val="both"/>
        <w:rPr>
          <w:rFonts w:hAnsi="黑体" w:hint="eastAsia"/>
          <w:sz w:val="36"/>
          <w:szCs w:val="36"/>
        </w:rPr>
      </w:pPr>
    </w:p>
    <w:p w:rsidR="00C432E8" w:rsidRDefault="00C432E8">
      <w:pPr>
        <w:pStyle w:val="Default"/>
        <w:jc w:val="center"/>
        <w:rPr>
          <w:rFonts w:ascii="Times New Roman" w:hAnsi="Times New Roman" w:cs="Times New Roman"/>
          <w:sz w:val="56"/>
          <w:szCs w:val="56"/>
        </w:rPr>
      </w:pPr>
    </w:p>
    <w:p w:rsidR="00C432E8" w:rsidRDefault="00C432E8">
      <w:pPr>
        <w:pStyle w:val="Default"/>
        <w:jc w:val="center"/>
        <w:rPr>
          <w:rFonts w:ascii="Times New Roman" w:hAnsi="Times New Roman" w:cs="Times New Roman"/>
          <w:sz w:val="84"/>
          <w:szCs w:val="84"/>
        </w:rPr>
      </w:pPr>
    </w:p>
    <w:p w:rsidR="00C432E8" w:rsidRDefault="00C432E8">
      <w:pPr>
        <w:pStyle w:val="Default"/>
        <w:jc w:val="center"/>
        <w:rPr>
          <w:rFonts w:ascii="Times New Roman" w:hAnsi="Times New Roman" w:cs="Times New Roman"/>
          <w:sz w:val="84"/>
          <w:szCs w:val="84"/>
        </w:rPr>
      </w:pPr>
    </w:p>
    <w:p w:rsidR="00C432E8"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C432E8"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祁阳市市场监督管理局</w:t>
      </w:r>
      <w:r>
        <w:rPr>
          <w:rFonts w:ascii="Times New Roman" w:eastAsia="方正小标宋简体" w:hAnsi="Times New Roman" w:cs="Times New Roman"/>
          <w:sz w:val="72"/>
          <w:szCs w:val="72"/>
        </w:rPr>
        <w:t>决算</w:t>
      </w:r>
    </w:p>
    <w:p w:rsidR="00C432E8" w:rsidRDefault="00C432E8">
      <w:pPr>
        <w:pStyle w:val="Default"/>
        <w:jc w:val="center"/>
        <w:rPr>
          <w:rFonts w:ascii="Times New Roman" w:eastAsia="方正小标宋_GBK" w:hAnsi="Times New Roman" w:cs="Times New Roman"/>
          <w:sz w:val="56"/>
          <w:szCs w:val="56"/>
        </w:rPr>
      </w:pPr>
    </w:p>
    <w:p w:rsidR="00C432E8" w:rsidRDefault="00C432E8">
      <w:pPr>
        <w:pStyle w:val="Default"/>
        <w:jc w:val="center"/>
        <w:rPr>
          <w:rFonts w:ascii="Times New Roman" w:hAnsi="Times New Roman" w:cs="Times New Roman"/>
          <w:sz w:val="56"/>
          <w:szCs w:val="56"/>
        </w:rPr>
      </w:pPr>
    </w:p>
    <w:p w:rsidR="00C432E8" w:rsidRDefault="00C432E8">
      <w:pPr>
        <w:pStyle w:val="Default"/>
        <w:rPr>
          <w:rFonts w:ascii="Times New Roman" w:hAnsi="Times New Roman" w:cs="Times New Roman"/>
          <w:sz w:val="56"/>
          <w:szCs w:val="56"/>
        </w:rPr>
      </w:pPr>
    </w:p>
    <w:p w:rsidR="00C432E8" w:rsidRDefault="00C432E8">
      <w:pPr>
        <w:pStyle w:val="Default"/>
        <w:jc w:val="center"/>
        <w:rPr>
          <w:rFonts w:ascii="Times New Roman" w:hAnsi="Times New Roman" w:cs="Times New Roman"/>
          <w:sz w:val="32"/>
          <w:szCs w:val="32"/>
        </w:rPr>
      </w:pPr>
    </w:p>
    <w:p w:rsidR="00C432E8" w:rsidRDefault="00C432E8">
      <w:pPr>
        <w:pStyle w:val="Default"/>
        <w:jc w:val="center"/>
        <w:rPr>
          <w:rFonts w:ascii="Times New Roman" w:hAnsi="Times New Roman" w:cs="Times New Roman"/>
          <w:sz w:val="32"/>
          <w:szCs w:val="32"/>
        </w:rPr>
      </w:pPr>
    </w:p>
    <w:p w:rsidR="00C432E8" w:rsidRDefault="00C432E8">
      <w:pPr>
        <w:pStyle w:val="Default"/>
        <w:jc w:val="center"/>
        <w:rPr>
          <w:rFonts w:ascii="Times New Roman" w:hAnsi="Times New Roman" w:cs="Times New Roman"/>
          <w:sz w:val="32"/>
          <w:szCs w:val="32"/>
        </w:rPr>
      </w:pPr>
    </w:p>
    <w:p w:rsidR="00C432E8" w:rsidRDefault="00C432E8">
      <w:pPr>
        <w:pStyle w:val="Default"/>
        <w:jc w:val="center"/>
        <w:rPr>
          <w:rFonts w:ascii="Times New Roman" w:hAnsi="Times New Roman" w:cs="Times New Roman"/>
          <w:sz w:val="32"/>
          <w:szCs w:val="32"/>
        </w:rPr>
      </w:pPr>
    </w:p>
    <w:p w:rsidR="00C432E8" w:rsidRDefault="00C432E8">
      <w:pPr>
        <w:pStyle w:val="Default"/>
        <w:jc w:val="center"/>
        <w:rPr>
          <w:rFonts w:ascii="Times New Roman" w:hAnsi="Times New Roman" w:cs="Times New Roman"/>
          <w:sz w:val="32"/>
          <w:szCs w:val="32"/>
        </w:rPr>
      </w:pPr>
    </w:p>
    <w:p w:rsidR="00C432E8" w:rsidRDefault="00C432E8">
      <w:pPr>
        <w:pStyle w:val="Default"/>
        <w:jc w:val="center"/>
        <w:rPr>
          <w:rFonts w:ascii="Times New Roman" w:hAnsi="Times New Roman" w:cs="Times New Roman"/>
          <w:sz w:val="32"/>
          <w:szCs w:val="32"/>
        </w:rPr>
      </w:pPr>
    </w:p>
    <w:p w:rsidR="00C432E8" w:rsidRDefault="00C432E8">
      <w:pPr>
        <w:rPr>
          <w:rFonts w:ascii="Times New Roman" w:hAnsi="Times New Roman" w:cs="Times New Roman"/>
          <w:b/>
          <w:sz w:val="36"/>
          <w:szCs w:val="28"/>
        </w:rPr>
        <w:sectPr w:rsidR="00C432E8">
          <w:pgSz w:w="11906" w:h="16838"/>
          <w:pgMar w:top="1417" w:right="1588" w:bottom="1417" w:left="1588" w:header="851" w:footer="992" w:gutter="0"/>
          <w:cols w:space="425"/>
          <w:docGrid w:type="lines" w:linePitch="312"/>
        </w:sectPr>
      </w:pPr>
    </w:p>
    <w:p w:rsidR="00C432E8" w:rsidRDefault="00C432E8">
      <w:pPr>
        <w:pStyle w:val="Default"/>
        <w:spacing w:line="600" w:lineRule="exact"/>
        <w:jc w:val="both"/>
        <w:rPr>
          <w:rFonts w:ascii="Times New Roman" w:hAnsi="Times New Roman" w:cs="Times New Roman"/>
          <w:b/>
          <w:sz w:val="36"/>
          <w:szCs w:val="28"/>
        </w:rPr>
      </w:pPr>
    </w:p>
    <w:p w:rsidR="00C432E8" w:rsidRDefault="00000000">
      <w:pPr>
        <w:pStyle w:val="Default"/>
        <w:spacing w:line="600" w:lineRule="exact"/>
        <w:jc w:val="center"/>
        <w:rPr>
          <w:rFonts w:ascii="Times New Roman" w:hAnsi="Times New Roman" w:cs="Times New Roman"/>
          <w:bCs/>
          <w:sz w:val="36"/>
          <w:szCs w:val="28"/>
        </w:rPr>
      </w:pPr>
      <w:proofErr w:type="gramStart"/>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roofErr w:type="gramEnd"/>
    </w:p>
    <w:p w:rsidR="00C432E8" w:rsidRDefault="00C432E8">
      <w:pPr>
        <w:pStyle w:val="Default"/>
        <w:spacing w:line="600" w:lineRule="exact"/>
        <w:jc w:val="center"/>
        <w:rPr>
          <w:rFonts w:ascii="Times New Roman" w:hAnsi="Times New Roman" w:cs="Times New Roman"/>
          <w:b/>
          <w:sz w:val="36"/>
          <w:szCs w:val="28"/>
        </w:rPr>
      </w:pPr>
    </w:p>
    <w:p w:rsidR="00C432E8"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祁阳市市场监督管理局</w:t>
      </w:r>
      <w:r>
        <w:rPr>
          <w:rFonts w:ascii="Times New Roman" w:hAnsi="Times New Roman" w:cs="Times New Roman"/>
          <w:bCs/>
          <w:sz w:val="32"/>
          <w:szCs w:val="32"/>
        </w:rPr>
        <w:t>概况</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C432E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C432E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C432E8"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二、收入决算情况说明</w:t>
      </w:r>
    </w:p>
    <w:p w:rsidR="00C432E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C432E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C432E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C432E8" w:rsidRDefault="00C432E8">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C432E8">
          <w:footerReference w:type="default" r:id="rId7"/>
          <w:pgSz w:w="11906" w:h="16838"/>
          <w:pgMar w:top="1417" w:right="1588" w:bottom="1417" w:left="1588" w:header="851" w:footer="992" w:gutter="0"/>
          <w:pgNumType w:start="1"/>
          <w:cols w:space="425"/>
          <w:docGrid w:type="lines" w:linePitch="312"/>
        </w:sectPr>
      </w:pPr>
    </w:p>
    <w:p w:rsidR="00C432E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C432E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C432E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C432E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C432E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C432E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C432E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C432E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C432E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C432E8" w:rsidRDefault="00C432E8">
      <w:pPr>
        <w:pStyle w:val="Default"/>
        <w:spacing w:line="600" w:lineRule="exact"/>
        <w:rPr>
          <w:rFonts w:ascii="Times New Roman" w:hAnsi="Times New Roman" w:cs="Times New Roman"/>
          <w:bCs/>
          <w:sz w:val="28"/>
          <w:szCs w:val="28"/>
        </w:rPr>
      </w:pPr>
    </w:p>
    <w:p w:rsidR="00C432E8" w:rsidRDefault="00C432E8">
      <w:pPr>
        <w:jc w:val="center"/>
        <w:rPr>
          <w:rFonts w:ascii="Times New Roman" w:hAnsi="Times New Roman" w:cs="Times New Roman"/>
          <w:sz w:val="72"/>
          <w:szCs w:val="72"/>
        </w:rPr>
      </w:pPr>
    </w:p>
    <w:p w:rsidR="00C432E8" w:rsidRDefault="00C432E8">
      <w:pPr>
        <w:jc w:val="center"/>
        <w:rPr>
          <w:rFonts w:ascii="Times New Roman" w:hAnsi="Times New Roman" w:cs="Times New Roman"/>
          <w:sz w:val="72"/>
          <w:szCs w:val="72"/>
        </w:rPr>
      </w:pPr>
    </w:p>
    <w:p w:rsidR="00C432E8" w:rsidRDefault="00C432E8">
      <w:pPr>
        <w:jc w:val="center"/>
        <w:rPr>
          <w:rFonts w:ascii="Times New Roman" w:hAnsi="Times New Roman" w:cs="Times New Roman"/>
          <w:sz w:val="72"/>
          <w:szCs w:val="72"/>
        </w:rPr>
      </w:pPr>
    </w:p>
    <w:p w:rsidR="00C432E8" w:rsidRDefault="00C432E8">
      <w:pPr>
        <w:pStyle w:val="ab"/>
        <w:rPr>
          <w:rFonts w:ascii="Times New Roman" w:hAnsi="Times New Roman" w:cs="Times New Roman"/>
        </w:rPr>
        <w:sectPr w:rsidR="00C432E8">
          <w:footerReference w:type="default" r:id="rId8"/>
          <w:pgSz w:w="11906" w:h="16838"/>
          <w:pgMar w:top="1417" w:right="1588" w:bottom="1417" w:left="1588" w:header="851" w:footer="992" w:gutter="0"/>
          <w:pgNumType w:start="1"/>
          <w:cols w:space="425"/>
          <w:docGrid w:type="lines" w:linePitch="312"/>
        </w:sectPr>
      </w:pPr>
    </w:p>
    <w:p w:rsidR="00C432E8" w:rsidRDefault="00C432E8">
      <w:pPr>
        <w:rPr>
          <w:rFonts w:ascii="Times New Roman" w:eastAsia="方正小标宋_GBK" w:hAnsi="Times New Roman" w:cs="Times New Roman"/>
          <w:sz w:val="72"/>
          <w:szCs w:val="72"/>
        </w:rPr>
      </w:pPr>
    </w:p>
    <w:p w:rsidR="00C432E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C432E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祁阳市市场监督管理局</w:t>
      </w:r>
      <w:r>
        <w:rPr>
          <w:rFonts w:ascii="Times New Roman" w:eastAsia="方正小标宋_GBK" w:hAnsi="Times New Roman" w:cs="Times New Roman"/>
          <w:sz w:val="52"/>
          <w:szCs w:val="52"/>
        </w:rPr>
        <w:t>概况</w:t>
      </w:r>
    </w:p>
    <w:p w:rsidR="00C432E8" w:rsidRDefault="00C432E8">
      <w:pPr>
        <w:pStyle w:val="2"/>
        <w:ind w:leftChars="0" w:left="0" w:firstLineChars="0" w:firstLine="0"/>
        <w:rPr>
          <w:rFonts w:ascii="Times New Roman" w:hAnsi="Times New Roman" w:cs="Times New Roman"/>
        </w:rPr>
      </w:pPr>
    </w:p>
    <w:p w:rsidR="00C432E8"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负责市场综合监督管理。贯彻执行国家、省、市有关市场监督管理的方针政策和法律法规，起草市场监督管理地方性法规、规范性文件草案，组织实施质量强市战略、食品安全战略、标准化战略和知识产权战略，拟订并组织实施有关规划，规范和维护市场秩序，营造诚实守信、公平竞争的市场环境。</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proofErr w:type="gramStart"/>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二</w:t>
      </w:r>
      <w:proofErr w:type="gramEnd"/>
      <w:r>
        <w:rPr>
          <w:rFonts w:ascii="Times New Roman" w:eastAsia="仿宋_GB2312" w:hAnsi="Times New Roman" w:cs="仿宋_GB2312" w:hint="eastAsia"/>
          <w:bCs/>
          <w:kern w:val="0"/>
          <w:sz w:val="32"/>
          <w:szCs w:val="32"/>
        </w:rPr>
        <w:t>）负责市场主体统一登记注册。负责全市各类企业、农民专业合作社和从事经营活动的单位、个体工商户等市场主体的登记注册和监督管理工作。建立市场主体信息公示和共享机制，依法公示和共享有关信息，加强信用监管，推动市场主体信用体系建设。</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proofErr w:type="gramStart"/>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三</w:t>
      </w:r>
      <w:proofErr w:type="gramEnd"/>
      <w:r>
        <w:rPr>
          <w:rFonts w:ascii="Times New Roman" w:eastAsia="仿宋_GB2312" w:hAnsi="Times New Roman" w:cs="仿宋_GB2312" w:hint="eastAsia"/>
          <w:bCs/>
          <w:kern w:val="0"/>
          <w:sz w:val="32"/>
          <w:szCs w:val="32"/>
        </w:rPr>
        <w:t>）负责权限范围内食品、药品、医疗器械、化妆品、特种设备、计量器具的许可管理。负责权限内食品生产、流通和餐饮服务环节的行政许可。负责权限内药品流通环节的行政许</w:t>
      </w:r>
      <w:r>
        <w:rPr>
          <w:rFonts w:ascii="Times New Roman" w:eastAsia="仿宋_GB2312" w:hAnsi="Times New Roman" w:cs="仿宋_GB2312" w:hint="eastAsia"/>
          <w:bCs/>
          <w:kern w:val="0"/>
          <w:sz w:val="32"/>
          <w:szCs w:val="32"/>
        </w:rPr>
        <w:lastRenderedPageBreak/>
        <w:t>可。负责权限内医疗器械备案及医疗器械经营环节的行政许可。负责权限内特种设备、计量器具的行政许可及备案工作。</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proofErr w:type="gramStart"/>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四</w:t>
      </w:r>
      <w:proofErr w:type="gramEnd"/>
      <w:r>
        <w:rPr>
          <w:rFonts w:ascii="Times New Roman" w:eastAsia="仿宋_GB2312" w:hAnsi="Times New Roman" w:cs="仿宋_GB2312" w:hint="eastAsia"/>
          <w:bCs/>
          <w:kern w:val="0"/>
          <w:sz w:val="32"/>
          <w:szCs w:val="32"/>
        </w:rPr>
        <w:t>）负责组织和指导市场监管综合执法工作。指导全市市场监管综合执法队伍整合和建设，推动实行统一的市场监管。组织查处重大违法案件。规范市场监管行政执法行为。</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五）根据上级委托负责反垄断工作。统筹推进竞争政策实施，组织实施公平竞争审查制度。根据委托依法对经营者集中行为进行反垄断审查，根据委托负责承担垄断协议、滥用市场支配地位和滥用行政权力排除、限制竞争等反垄断执法工作。</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六）负责监督管理市场秩序。依法监督管理市场交易、网络商品交易及有关服务的行为。组织指导查处价格收费违法违规、不正当竞争、违法直销、传销、侵犯商标专利知识产权和制售假冒伪劣行为。指导广告业的发展，监督管理广告活动。指导依法查处无照生产经营和相关无证生产经营行为。</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（七）负责宏观质量管理。拟订并组织实施质量强市发展的制度措施，会同有关部门组织实施较大工程设备质量监理制度，组织较大产品质量事故调查，贯彻实施缺陷产品召回制度，监督管理产品防伪工作。</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（八）负责产品质量安全监督管理。管理产品质量安全风险监控、全市监督抽查工作，落实质量分级制度、质量安全追溯制度。负责工业产品生产许可管理。负责纤维质量监督工作。</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lastRenderedPageBreak/>
        <w:t>（九）负责特种设备安全监督管理。综合管理特种设备安全监察、监督工作，监督检查高耗能特种设备节能标准和锅炉环境保护标准的执行情况。按规定权限组织调查处理特种设备事故并进行统计分析。</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十）负责食品安全监督管理综合协调。组织制定食品安全有关政策措施并组织实施。负责食品安全应急体系建设，组织指导较大食品安全事件应急处置和调查处理工作。建立健全食品安全重要信息直报制度。承担市食品安全委员会日常工作。</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十一）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（十二）负责统一管理计量工作。推行法定计量单位和国家计量制度，依职责管理计量器具及量值传递和比对工作。规范、监督商品量和市场计量行为。</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（十三）负责统一管理标准化工作。指导开展标准化试点示范工作。依据法定职责，对标准的制定进行指导监督，对标准的实施进行监督检查。推行采用国际标准。</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lastRenderedPageBreak/>
        <w:t>（十四）负责统一管理检验检测工作。规范检验检测市场，完善检验检测体系，指导协调检验检测行业发展。</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（十五）负责统一管理、监督和综合协调全市认证认可工作。依法监督管理全市认证认可和合格评定有关活动。</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（十六）负责市场监督管理、知识产权领域科技和信息化建设、新闻宣传、对外交流与合作。按规定承担技术性贸易措施有关工作。</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（十七）负责实施知识产权战略，推进知识产权强市建设。组织制定实施知识产权创造、保护、运用的政策措施。负责知识产权公共服务体系建设、推动知识产权信息传播利用。统筹协调涉外知识产权有关事宜。</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（十八）负责保护知识产权。落实严格保护商标、专利、原产地地理标志等相关工作，负责知识产权保护体系建设，组织指导商标、专利执法工作。</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（十九）负责知识产权创造运用。按权限负责商标、专利和原产地地理标志的管理，开展知识产权运营体系建设和知识产权评议工作，规范知识产权交易和无形资产评估，促进知识产权转移转化。</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（二十）负责组织开展有关服务领域消费维权工作，查处制售假冒伪劣等违法行为，指导消费者咨询、申诉、举报受理、处理和网络体系建设等工作，保护经营者、消费者合法权益。</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lastRenderedPageBreak/>
        <w:t>（二十一）负责职责范围内的药品、医疗器械和化妆品的质量管理。监督实施药品、医疗器械、化妆品标准和分类管理制度，配合有关部门实施国家基本药物制度。监督实施药品经营质量管理规范，监督实施医疗器械经营、使用质量管理规范，监督实施化妆品经营、使用卫生标准和技术规范。</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（二十二）负责职责范围内药品、医疗器械和化妆品上市后风险管理。指导开展药品不良反应、医疗器械不良事件的监测和处置工作。依法承担药品、医疗器械和化妆品安全应急管理工作。</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十三）负责组织实施职责范围内药品、医疗器械和化妆品监督检查。制定检查制度，依法查处药品零售、医疗器械和化妆品经营环节违法行为，以及药品、医疗器械使用环节违法行为。依职责组织指导查处其他环节违法行为。</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（二十四）负责市委组织部门安排的小微企业、个体工商户、专业市场的党建工作，指导全市相关工作。</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（二十五）完成市委、市人民政府交办的其他任务。</w:t>
      </w:r>
    </w:p>
    <w:p w:rsidR="00C432E8"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C432E8"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祁阳市市场监督管理局内设机构包括：办公室、人事股、科技和财务股、政策法规股、行政审批股、信用监督管理股、网络交易监督管理股、广告监督管理股、消费者权益保护股（投诉举报办公室）、质量发展与安全管理</w:t>
      </w:r>
      <w:r>
        <w:rPr>
          <w:rFonts w:ascii="Times New Roman" w:eastAsia="仿宋_GB2312" w:hAnsi="Times New Roman" w:cs="仿宋_GB2312" w:hint="eastAsia"/>
          <w:bCs/>
          <w:kern w:val="0"/>
          <w:sz w:val="32"/>
          <w:szCs w:val="32"/>
        </w:rPr>
        <w:lastRenderedPageBreak/>
        <w:t>股、食品安全协调股、食品生产安全监督管理股、餐饮服务食品安全监督管理股、食品流通安全监督管理股、特殊食品安全及化妆品监督管理股、特种设备安全监察股（安全生产办公室）、计量股、标准化与认证认可监督管理股、药品与医疗器械监督管理股、知识产权监督管理股、非公有制经济组织党建办公室共</w:t>
      </w:r>
      <w:r>
        <w:rPr>
          <w:rFonts w:ascii="Times New Roman" w:eastAsia="仿宋_GB2312" w:hAnsi="Times New Roman" w:cs="仿宋_GB2312" w:hint="eastAsia"/>
          <w:bCs/>
          <w:kern w:val="0"/>
          <w:sz w:val="32"/>
          <w:szCs w:val="32"/>
        </w:rPr>
        <w:t>21</w:t>
      </w:r>
      <w:r>
        <w:rPr>
          <w:rFonts w:ascii="Times New Roman" w:eastAsia="仿宋_GB2312" w:hAnsi="Times New Roman" w:cs="仿宋_GB2312" w:hint="eastAsia"/>
          <w:bCs/>
          <w:kern w:val="0"/>
          <w:sz w:val="32"/>
          <w:szCs w:val="32"/>
        </w:rPr>
        <w:t>个职能股室、价格监督检查和反不正当竞争分局（规范直销与打击传销办公室、反垄断办公室）</w:t>
      </w:r>
      <w:r>
        <w:rPr>
          <w:rFonts w:ascii="Times New Roman" w:eastAsia="仿宋_GB2312" w:hAnsi="Times New Roman" w:cs="仿宋_GB2312" w:hint="eastAsia"/>
          <w:bCs/>
          <w:kern w:val="0"/>
          <w:sz w:val="32"/>
          <w:szCs w:val="32"/>
        </w:rPr>
        <w:t>1</w:t>
      </w:r>
      <w:r>
        <w:rPr>
          <w:rFonts w:ascii="Times New Roman" w:eastAsia="仿宋_GB2312" w:hAnsi="Times New Roman" w:cs="仿宋_GB2312" w:hint="eastAsia"/>
          <w:bCs/>
          <w:kern w:val="0"/>
          <w:sz w:val="32"/>
          <w:szCs w:val="32"/>
        </w:rPr>
        <w:t>个直属分局、市食品药品稽查大队等</w:t>
      </w:r>
      <w:r>
        <w:rPr>
          <w:rFonts w:ascii="Times New Roman" w:eastAsia="仿宋_GB2312" w:hAnsi="Times New Roman" w:cs="仿宋_GB2312" w:hint="eastAsia"/>
          <w:bCs/>
          <w:kern w:val="0"/>
          <w:sz w:val="32"/>
          <w:szCs w:val="32"/>
        </w:rPr>
        <w:t>7</w:t>
      </w:r>
      <w:r>
        <w:rPr>
          <w:rFonts w:ascii="Times New Roman" w:eastAsia="仿宋_GB2312" w:hAnsi="Times New Roman" w:cs="仿宋_GB2312" w:hint="eastAsia"/>
          <w:bCs/>
          <w:kern w:val="0"/>
          <w:sz w:val="32"/>
          <w:szCs w:val="32"/>
        </w:rPr>
        <w:t>个事业单位，下设浯溪、长虹、龙山、白水、黎家坪、文明铺、进宝塘、三口塘、潘市</w:t>
      </w:r>
      <w:r>
        <w:rPr>
          <w:rFonts w:ascii="Times New Roman" w:eastAsia="仿宋_GB2312" w:hAnsi="Times New Roman" w:cs="仿宋_GB2312" w:hint="eastAsia"/>
          <w:bCs/>
          <w:kern w:val="0"/>
          <w:sz w:val="32"/>
          <w:szCs w:val="32"/>
        </w:rPr>
        <w:t>9</w:t>
      </w:r>
      <w:r>
        <w:rPr>
          <w:rFonts w:ascii="Times New Roman" w:eastAsia="仿宋_GB2312" w:hAnsi="Times New Roman" w:cs="仿宋_GB2312" w:hint="eastAsia"/>
          <w:bCs/>
          <w:kern w:val="0"/>
          <w:sz w:val="32"/>
          <w:szCs w:val="32"/>
        </w:rPr>
        <w:t>个基层监督管理所。截至</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年底局机关共有人员编制</w:t>
      </w:r>
      <w:r>
        <w:rPr>
          <w:rFonts w:ascii="Times New Roman" w:eastAsia="仿宋_GB2312" w:hAnsi="Times New Roman" w:cs="仿宋_GB2312" w:hint="eastAsia"/>
          <w:bCs/>
          <w:kern w:val="0"/>
          <w:sz w:val="32"/>
          <w:szCs w:val="32"/>
        </w:rPr>
        <w:t>349</w:t>
      </w:r>
      <w:r>
        <w:rPr>
          <w:rFonts w:ascii="Times New Roman" w:eastAsia="仿宋_GB2312" w:hAnsi="Times New Roman" w:cs="仿宋_GB2312" w:hint="eastAsia"/>
          <w:bCs/>
          <w:kern w:val="0"/>
          <w:sz w:val="32"/>
          <w:szCs w:val="32"/>
        </w:rPr>
        <w:t>个，实有在职干部职工</w:t>
      </w:r>
      <w:r>
        <w:rPr>
          <w:rFonts w:ascii="Times New Roman" w:eastAsia="仿宋_GB2312" w:hAnsi="Times New Roman" w:cs="仿宋_GB2312" w:hint="eastAsia"/>
          <w:bCs/>
          <w:kern w:val="0"/>
          <w:sz w:val="32"/>
          <w:szCs w:val="32"/>
        </w:rPr>
        <w:t>289</w:t>
      </w:r>
      <w:r>
        <w:rPr>
          <w:rFonts w:ascii="Times New Roman" w:eastAsia="仿宋_GB2312" w:hAnsi="Times New Roman" w:cs="仿宋_GB2312" w:hint="eastAsia"/>
          <w:bCs/>
          <w:kern w:val="0"/>
          <w:sz w:val="32"/>
          <w:szCs w:val="32"/>
        </w:rPr>
        <w:t>人。</w:t>
      </w:r>
    </w:p>
    <w:p w:rsidR="00C432E8"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r>
        <w:rPr>
          <w:rFonts w:ascii="Times New Roman" w:eastAsia="仿宋_GB2312" w:hAnsi="Times New Roman" w:cs="仿宋_GB2312" w:hint="eastAsia"/>
          <w:bCs/>
          <w:kern w:val="0"/>
          <w:sz w:val="32"/>
          <w:szCs w:val="32"/>
        </w:rPr>
        <w:t>祁阳市市场监督管理局</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Pr>
          <w:rFonts w:ascii="Times New Roman" w:eastAsia="仿宋_GB2312" w:hAnsi="Times New Roman" w:cs="仿宋_GB2312" w:hint="eastAsia"/>
          <w:bCs/>
          <w:kern w:val="0"/>
          <w:sz w:val="32"/>
          <w:szCs w:val="32"/>
        </w:rPr>
        <w:t>祁阳市市场监督管理局本级。</w:t>
      </w:r>
    </w:p>
    <w:p w:rsidR="00C432E8" w:rsidRDefault="00C432E8">
      <w:pPr>
        <w:jc w:val="left"/>
        <w:rPr>
          <w:rFonts w:ascii="Times New Roman" w:eastAsia="仿宋_GB2312" w:hAnsi="Times New Roman" w:cs="Times New Roman"/>
          <w:sz w:val="28"/>
          <w:szCs w:val="32"/>
        </w:rPr>
      </w:pPr>
    </w:p>
    <w:p w:rsidR="00C432E8" w:rsidRDefault="00C432E8">
      <w:pPr>
        <w:jc w:val="center"/>
        <w:rPr>
          <w:rFonts w:ascii="Times New Roman" w:eastAsia="黑体" w:hAnsi="Times New Roman" w:cs="Times New Roman"/>
          <w:sz w:val="28"/>
          <w:szCs w:val="28"/>
        </w:rPr>
      </w:pPr>
    </w:p>
    <w:p w:rsidR="00C432E8" w:rsidRDefault="00C432E8">
      <w:pPr>
        <w:jc w:val="center"/>
        <w:rPr>
          <w:rFonts w:ascii="Times New Roman" w:eastAsia="黑体" w:hAnsi="Times New Roman" w:cs="Times New Roman"/>
          <w:sz w:val="28"/>
          <w:szCs w:val="28"/>
        </w:rPr>
      </w:pPr>
    </w:p>
    <w:p w:rsidR="00C432E8" w:rsidRDefault="00C432E8">
      <w:pPr>
        <w:jc w:val="center"/>
        <w:rPr>
          <w:rFonts w:ascii="Times New Roman" w:eastAsia="黑体" w:hAnsi="Times New Roman" w:cs="Times New Roman"/>
          <w:sz w:val="28"/>
          <w:szCs w:val="28"/>
        </w:rPr>
      </w:pPr>
    </w:p>
    <w:p w:rsidR="00C432E8" w:rsidRDefault="00C432E8">
      <w:pPr>
        <w:jc w:val="center"/>
        <w:rPr>
          <w:rFonts w:ascii="Times New Roman" w:eastAsia="黑体" w:hAnsi="Times New Roman" w:cs="Times New Roman"/>
          <w:sz w:val="28"/>
          <w:szCs w:val="28"/>
        </w:rPr>
      </w:pPr>
    </w:p>
    <w:p w:rsidR="00C432E8" w:rsidRDefault="00C432E8">
      <w:pPr>
        <w:jc w:val="center"/>
        <w:rPr>
          <w:rFonts w:ascii="Times New Roman" w:eastAsia="黑体" w:hAnsi="Times New Roman" w:cs="Times New Roman"/>
          <w:sz w:val="28"/>
          <w:szCs w:val="28"/>
        </w:rPr>
      </w:pPr>
    </w:p>
    <w:p w:rsidR="00C432E8" w:rsidRDefault="00C432E8">
      <w:pPr>
        <w:pStyle w:val="ab"/>
        <w:rPr>
          <w:rFonts w:ascii="Times New Roman" w:hAnsi="Times New Roman" w:cs="Times New Roman"/>
        </w:rPr>
        <w:sectPr w:rsidR="00C432E8">
          <w:footerReference w:type="default" r:id="rId9"/>
          <w:pgSz w:w="11906" w:h="16838"/>
          <w:pgMar w:top="1417" w:right="1588" w:bottom="1417" w:left="1588" w:header="851" w:footer="992" w:gutter="0"/>
          <w:pgNumType w:start="1"/>
          <w:cols w:space="425"/>
          <w:docGrid w:type="lines" w:linePitch="312"/>
        </w:sectPr>
      </w:pPr>
    </w:p>
    <w:p w:rsidR="00C432E8"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C432E8"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C432E8"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C432E8"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祁阳市市场监督管理局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06"/>
        <w:gridCol w:w="880"/>
        <w:gridCol w:w="1329"/>
        <w:gridCol w:w="4806"/>
        <w:gridCol w:w="846"/>
        <w:gridCol w:w="1329"/>
      </w:tblGrid>
      <w:tr w:rsidR="00C432E8">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支出</w:t>
            </w: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Cs w:val="21"/>
                <w:lang w:bidi="ar"/>
              </w:rPr>
              <w:t>项</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项</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Cs w:val="21"/>
                <w:lang w:bidi="ar"/>
              </w:rPr>
              <w:t>决算数</w:t>
            </w: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Cs w:val="21"/>
                <w:lang w:bidi="ar"/>
              </w:rPr>
              <w:t>栏</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C432E8">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Cs w:val="21"/>
                <w:lang w:bidi="ar"/>
              </w:rPr>
              <w:t>栏</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C432E8">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4852.57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4015.53</w:t>
            </w: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二、外交支出</w:t>
            </w:r>
          </w:p>
        </w:tc>
        <w:tc>
          <w:tcPr>
            <w:tcW w:w="8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三、国防支出</w:t>
            </w:r>
          </w:p>
        </w:tc>
        <w:tc>
          <w:tcPr>
            <w:tcW w:w="8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四、公共安全支出</w:t>
            </w:r>
          </w:p>
        </w:tc>
        <w:tc>
          <w:tcPr>
            <w:tcW w:w="8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五、教育支出</w:t>
            </w:r>
          </w:p>
        </w:tc>
        <w:tc>
          <w:tcPr>
            <w:tcW w:w="8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六、科学技术支出</w:t>
            </w:r>
          </w:p>
        </w:tc>
        <w:tc>
          <w:tcPr>
            <w:tcW w:w="8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七、文化旅游体育与传媒支出</w:t>
            </w:r>
          </w:p>
        </w:tc>
        <w:tc>
          <w:tcPr>
            <w:tcW w:w="8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八、社会保障和就业支出</w:t>
            </w:r>
          </w:p>
        </w:tc>
        <w:tc>
          <w:tcPr>
            <w:tcW w:w="8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425.07</w:t>
            </w: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九、卫生健康支出</w:t>
            </w:r>
          </w:p>
        </w:tc>
        <w:tc>
          <w:tcPr>
            <w:tcW w:w="8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149.16</w:t>
            </w: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262.8</w:t>
            </w: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二十六、抗疫特别国债安排的支出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center"/>
              <w:textAlignment w:val="center"/>
              <w:rPr>
                <w:rFonts w:ascii="Times New Roman" w:eastAsia="仿宋_GB2312" w:hAnsi="Times New Roman" w:cs="Times New Roman"/>
                <w:b/>
                <w:color w:val="000000"/>
                <w:szCs w:val="21"/>
              </w:rPr>
            </w:pPr>
            <w:r>
              <w:rPr>
                <w:rFonts w:ascii="Times New Roman" w:eastAsia="仿宋_GB2312" w:hAnsi="Times New Roman" w:cs="Times New Roman"/>
                <w:b/>
                <w:color w:val="000000"/>
                <w:kern w:val="0"/>
                <w:szCs w:val="21"/>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4852.57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center"/>
              <w:textAlignment w:val="center"/>
              <w:rPr>
                <w:rFonts w:ascii="Times New Roman" w:eastAsia="仿宋_GB2312" w:hAnsi="Times New Roman" w:cs="Times New Roman"/>
                <w:b/>
                <w:color w:val="000000"/>
                <w:szCs w:val="21"/>
              </w:rPr>
            </w:pPr>
            <w:r>
              <w:rPr>
                <w:rFonts w:ascii="Times New Roman" w:eastAsia="仿宋_GB2312" w:hAnsi="Times New Roman" w:cs="Times New Roman"/>
                <w:b/>
                <w:color w:val="000000"/>
                <w:kern w:val="0"/>
                <w:szCs w:val="21"/>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4852.57</w:t>
            </w: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C432E8">
            <w:pPr>
              <w:jc w:val="right"/>
              <w:rPr>
                <w:rFonts w:ascii="Times New Roman" w:eastAsia="仿宋_GB2312" w:hAnsi="Times New Roman" w:cs="Times New Roman"/>
                <w:color w:val="000000"/>
                <w:sz w:val="22"/>
              </w:rPr>
            </w:pPr>
          </w:p>
        </w:tc>
      </w:tr>
      <w:tr w:rsidR="00C432E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b/>
                <w:color w:val="000000"/>
                <w:szCs w:val="21"/>
              </w:rPr>
            </w:pPr>
            <w:r>
              <w:rPr>
                <w:rFonts w:ascii="Times New Roman" w:eastAsia="仿宋_GB2312" w:hAnsi="Times New Roman" w:cs="Times New Roman"/>
                <w:b/>
                <w:color w:val="000000"/>
                <w:kern w:val="0"/>
                <w:szCs w:val="21"/>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w:t>
            </w:r>
            <w:r>
              <w:rPr>
                <w:rFonts w:ascii="Times New Roman" w:eastAsia="仿宋_GB2312" w:hAnsi="Times New Roman" w:cs="Times New Roman" w:hint="eastAsia"/>
                <w:color w:val="000000"/>
                <w:kern w:val="0"/>
                <w:sz w:val="22"/>
                <w:lang w:bidi="ar"/>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4852.57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b/>
                <w:color w:val="000000"/>
                <w:szCs w:val="21"/>
              </w:rPr>
            </w:pPr>
            <w:r>
              <w:rPr>
                <w:rFonts w:ascii="Times New Roman" w:eastAsia="仿宋_GB2312" w:hAnsi="Times New Roman" w:cs="Times New Roman"/>
                <w:b/>
                <w:color w:val="000000"/>
                <w:kern w:val="0"/>
                <w:szCs w:val="21"/>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432E8"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4852.57</w:t>
            </w:r>
          </w:p>
        </w:tc>
      </w:tr>
    </w:tbl>
    <w:p w:rsidR="00C432E8" w:rsidRDefault="00C432E8">
      <w:pPr>
        <w:widowControl/>
        <w:jc w:val="left"/>
        <w:textAlignment w:val="center"/>
        <w:rPr>
          <w:rFonts w:ascii="Times New Roman" w:eastAsia="宋体" w:hAnsi="Times New Roman" w:cs="Times New Roman"/>
          <w:color w:val="000000"/>
          <w:kern w:val="0"/>
          <w:sz w:val="24"/>
          <w:szCs w:val="24"/>
          <w:lang w:bidi="ar"/>
        </w:rPr>
      </w:pPr>
    </w:p>
    <w:p w:rsidR="00C432E8" w:rsidRDefault="00000000">
      <w:pPr>
        <w:rPr>
          <w:rFonts w:ascii="Times New Roman" w:eastAsia="华文中宋" w:hAnsi="Times New Roman" w:cs="Times New Roman"/>
          <w:color w:val="000000"/>
          <w:sz w:val="32"/>
          <w:szCs w:val="32"/>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C432E8" w:rsidRDefault="00C432E8">
      <w:pPr>
        <w:widowControl/>
        <w:spacing w:line="400" w:lineRule="exact"/>
        <w:jc w:val="center"/>
        <w:textAlignment w:val="center"/>
        <w:rPr>
          <w:rFonts w:ascii="Times New Roman" w:eastAsia="黑体" w:hAnsi="Times New Roman" w:cs="Times New Roman"/>
          <w:color w:val="000000"/>
          <w:kern w:val="0"/>
          <w:sz w:val="32"/>
          <w:szCs w:val="32"/>
          <w:lang w:bidi="ar"/>
        </w:rPr>
      </w:pPr>
    </w:p>
    <w:p w:rsidR="00C432E8" w:rsidRDefault="00C432E8">
      <w:pPr>
        <w:widowControl/>
        <w:spacing w:afterLines="50" w:after="156"/>
        <w:jc w:val="center"/>
        <w:textAlignment w:val="center"/>
        <w:rPr>
          <w:rFonts w:ascii="Times New Roman" w:eastAsia="黑体" w:hAnsi="Times New Roman" w:cs="Times New Roman"/>
          <w:color w:val="000000"/>
          <w:kern w:val="0"/>
          <w:sz w:val="36"/>
          <w:szCs w:val="36"/>
          <w:lang w:bidi="ar"/>
        </w:rPr>
      </w:pPr>
    </w:p>
    <w:p w:rsidR="00C432E8" w:rsidRDefault="00C432E8">
      <w:pPr>
        <w:pStyle w:val="ab"/>
        <w:rPr>
          <w:rFonts w:ascii="Times New Roman" w:eastAsia="黑体" w:hAnsi="Times New Roman" w:cs="Times New Roman"/>
          <w:color w:val="000000"/>
          <w:kern w:val="0"/>
          <w:sz w:val="36"/>
          <w:szCs w:val="36"/>
          <w:lang w:bidi="ar"/>
        </w:rPr>
      </w:pPr>
    </w:p>
    <w:p w:rsidR="00C432E8" w:rsidRDefault="00C432E8">
      <w:pPr>
        <w:pStyle w:val="2"/>
        <w:ind w:firstLine="720"/>
        <w:rPr>
          <w:rFonts w:ascii="Times New Roman" w:eastAsia="黑体" w:hAnsi="Times New Roman" w:cs="Times New Roman"/>
          <w:color w:val="000000"/>
          <w:sz w:val="36"/>
          <w:szCs w:val="36"/>
          <w:lang w:bidi="ar"/>
        </w:rPr>
      </w:pPr>
    </w:p>
    <w:p w:rsidR="00C432E8" w:rsidRDefault="00C432E8">
      <w:pPr>
        <w:rPr>
          <w:rFonts w:ascii="Times New Roman" w:eastAsia="黑体" w:hAnsi="Times New Roman" w:cs="Times New Roman"/>
          <w:color w:val="000000"/>
          <w:kern w:val="0"/>
          <w:sz w:val="36"/>
          <w:szCs w:val="36"/>
          <w:lang w:bidi="ar"/>
        </w:rPr>
      </w:pPr>
    </w:p>
    <w:p w:rsidR="00C432E8" w:rsidRDefault="00C432E8">
      <w:pPr>
        <w:pStyle w:val="2"/>
        <w:ind w:leftChars="0" w:left="0" w:firstLineChars="0" w:firstLine="0"/>
        <w:rPr>
          <w:rFonts w:hint="eastAsia"/>
        </w:rPr>
      </w:pPr>
    </w:p>
    <w:p w:rsidR="00C432E8" w:rsidRDefault="00C432E8">
      <w:pPr>
        <w:widowControl/>
        <w:spacing w:afterLines="50" w:after="156"/>
        <w:jc w:val="center"/>
        <w:textAlignment w:val="center"/>
        <w:rPr>
          <w:rFonts w:ascii="Times New Roman" w:eastAsia="黑体" w:hAnsi="Times New Roman" w:cs="Times New Roman"/>
          <w:color w:val="000000"/>
          <w:kern w:val="0"/>
          <w:sz w:val="36"/>
          <w:szCs w:val="36"/>
          <w:lang w:bidi="ar"/>
        </w:rPr>
      </w:pPr>
    </w:p>
    <w:p w:rsidR="00C432E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C432E8"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C432E8"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sz w:val="20"/>
          <w:szCs w:val="20"/>
        </w:rPr>
        <w:t>祁阳市市场监督管理局</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300"/>
        <w:gridCol w:w="1640"/>
        <w:gridCol w:w="1640"/>
        <w:gridCol w:w="1640"/>
        <w:gridCol w:w="1640"/>
        <w:gridCol w:w="1640"/>
        <w:gridCol w:w="1897"/>
        <w:gridCol w:w="1383"/>
      </w:tblGrid>
      <w:tr w:rsidR="00C432E8">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C432E8">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r>
      <w:tr w:rsidR="00C432E8">
        <w:trPr>
          <w:trHeight w:val="521"/>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300" w:type="dxa"/>
            <w:vMerge/>
            <w:tcBorders>
              <w:top w:val="nil"/>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C432E8" w:rsidRDefault="00C432E8">
            <w:pPr>
              <w:rPr>
                <w:rFonts w:ascii="Times New Roman" w:eastAsia="仿宋_GB2312" w:hAnsi="Times New Roman" w:cs="Times New Roman"/>
                <w:sz w:val="24"/>
                <w:szCs w:val="24"/>
              </w:rPr>
            </w:pPr>
          </w:p>
        </w:tc>
      </w:tr>
      <w:tr w:rsidR="00C432E8">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C432E8">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4852.57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4852.57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一般公共服务支出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4,015.53</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4,015.53</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20114</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知识产权事务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2011499</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其他知识产权事务支出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组织事务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2.40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2.40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lastRenderedPageBreak/>
              <w:t>2013202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2.40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2.40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市场监督管理事务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4,003.13</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4,003.13</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行政运行</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3,574.24</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3,574.24</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362.94</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362.94</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2013812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药品事务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10.03</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10.03</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2013816</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食品安全监管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6.36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6.36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2013899</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其他市场监督管理事务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49.56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49.56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425.07</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425.07</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20805</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368.26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368.26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2080505</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368.26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368.26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20808</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抚恤</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51.81</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51.81</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lastRenderedPageBreak/>
              <w:t>2080801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死亡抚恤</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51.81</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51.81</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20899</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2089999</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210</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21011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2101101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221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住房保障支出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22102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住房改革支出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2210201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住房公积金</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2E8" w:rsidRDefault="00C432E8">
            <w:pPr>
              <w:jc w:val="right"/>
              <w:rPr>
                <w:rFonts w:ascii="Times New Roman" w:eastAsia="仿宋_GB2312" w:hAnsi="Times New Roman" w:cs="Times New Roman"/>
              </w:rPr>
            </w:pPr>
          </w:p>
        </w:tc>
      </w:tr>
    </w:tbl>
    <w:p w:rsidR="00C432E8" w:rsidRDefault="00000000">
      <w:pPr>
        <w:widowControl/>
        <w:jc w:val="left"/>
        <w:rPr>
          <w:rFonts w:ascii="Times New Roman" w:eastAsia="黑体" w:hAnsi="Times New Roman" w:cs="Times New Roman"/>
          <w:bCs/>
          <w:kern w:val="0"/>
          <w:sz w:val="32"/>
          <w:szCs w:val="32"/>
        </w:rPr>
      </w:pPr>
      <w:r>
        <w:rPr>
          <w:rFonts w:ascii="Times New Roman" w:eastAsia="仿宋_GB2312" w:hAnsi="Times New Roman" w:cs="Times New Roman"/>
        </w:rPr>
        <w:t>注：本表反映部门本年度取得的各项收入情况。</w:t>
      </w:r>
    </w:p>
    <w:p w:rsidR="00C432E8" w:rsidRDefault="00C432E8">
      <w:pPr>
        <w:widowControl/>
        <w:jc w:val="center"/>
        <w:textAlignment w:val="center"/>
        <w:rPr>
          <w:rFonts w:ascii="Times New Roman" w:eastAsia="黑体" w:hAnsi="Times New Roman" w:cs="Times New Roman"/>
          <w:color w:val="000000"/>
          <w:kern w:val="0"/>
          <w:sz w:val="32"/>
          <w:szCs w:val="32"/>
          <w:lang w:bidi="ar"/>
        </w:rPr>
      </w:pPr>
    </w:p>
    <w:p w:rsidR="00C432E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C432E8"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C432E8"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祁阳市市场监督管理局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ook w:val="04A0" w:firstRow="1" w:lastRow="0" w:firstColumn="1" w:lastColumn="0" w:noHBand="0" w:noVBand="1"/>
      </w:tblPr>
      <w:tblGrid>
        <w:gridCol w:w="1976"/>
        <w:gridCol w:w="3581"/>
        <w:gridCol w:w="1427"/>
        <w:gridCol w:w="1333"/>
        <w:gridCol w:w="1333"/>
        <w:gridCol w:w="1427"/>
        <w:gridCol w:w="884"/>
        <w:gridCol w:w="2248"/>
      </w:tblGrid>
      <w:tr w:rsidR="00C432E8">
        <w:trPr>
          <w:trHeight w:val="595"/>
          <w:jc w:val="center"/>
        </w:trPr>
        <w:tc>
          <w:tcPr>
            <w:tcW w:w="195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32E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lastRenderedPageBreak/>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432E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432E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432E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432E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432E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432E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C432E8">
        <w:trPr>
          <w:trHeight w:hRule="exact" w:val="312"/>
          <w:jc w:val="center"/>
        </w:trPr>
        <w:tc>
          <w:tcPr>
            <w:tcW w:w="6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432E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258" w:type="pct"/>
            <w:vMerge w:val="restart"/>
            <w:tcBorders>
              <w:top w:val="nil"/>
              <w:left w:val="single" w:sz="4" w:space="0" w:color="auto"/>
              <w:bottom w:val="single" w:sz="4" w:space="0" w:color="auto"/>
              <w:right w:val="single" w:sz="4" w:space="0" w:color="auto"/>
            </w:tcBorders>
            <w:shd w:val="clear" w:color="000000" w:fill="FFFFFF"/>
            <w:vAlign w:val="center"/>
          </w:tcPr>
          <w:p w:rsidR="00C432E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02"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b/>
                <w:bCs/>
                <w:kern w:val="0"/>
                <w:sz w:val="24"/>
                <w:szCs w:val="24"/>
              </w:rPr>
            </w:pPr>
          </w:p>
        </w:tc>
        <w:tc>
          <w:tcPr>
            <w:tcW w:w="502"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b/>
                <w:bCs/>
                <w:kern w:val="0"/>
                <w:sz w:val="24"/>
                <w:szCs w:val="24"/>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b/>
                <w:bCs/>
                <w:kern w:val="0"/>
                <w:sz w:val="24"/>
                <w:szCs w:val="24"/>
              </w:rPr>
            </w:pPr>
          </w:p>
        </w:tc>
        <w:tc>
          <w:tcPr>
            <w:tcW w:w="790"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b/>
                <w:bCs/>
                <w:kern w:val="0"/>
                <w:sz w:val="24"/>
                <w:szCs w:val="24"/>
              </w:rPr>
            </w:pPr>
          </w:p>
        </w:tc>
      </w:tr>
      <w:tr w:rsidR="00C432E8">
        <w:trPr>
          <w:trHeight w:val="595"/>
          <w:jc w:val="center"/>
        </w:trPr>
        <w:tc>
          <w:tcPr>
            <w:tcW w:w="694"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 w:val="24"/>
                <w:szCs w:val="24"/>
              </w:rPr>
            </w:pPr>
          </w:p>
        </w:tc>
        <w:tc>
          <w:tcPr>
            <w:tcW w:w="1258" w:type="pct"/>
            <w:vMerge/>
            <w:tcBorders>
              <w:top w:val="nil"/>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 w:val="24"/>
                <w:szCs w:val="24"/>
              </w:rPr>
            </w:pPr>
          </w:p>
        </w:tc>
        <w:tc>
          <w:tcPr>
            <w:tcW w:w="502"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 w:val="24"/>
                <w:szCs w:val="24"/>
              </w:rPr>
            </w:pPr>
          </w:p>
        </w:tc>
        <w:tc>
          <w:tcPr>
            <w:tcW w:w="502"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 w:val="24"/>
                <w:szCs w:val="24"/>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 w:val="24"/>
                <w:szCs w:val="24"/>
              </w:rPr>
            </w:pPr>
          </w:p>
        </w:tc>
        <w:tc>
          <w:tcPr>
            <w:tcW w:w="790" w:type="pct"/>
            <w:vMerge/>
            <w:tcBorders>
              <w:top w:val="single" w:sz="4" w:space="0" w:color="auto"/>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 w:val="24"/>
                <w:szCs w:val="24"/>
              </w:rPr>
            </w:pPr>
          </w:p>
        </w:tc>
      </w:tr>
      <w:tr w:rsidR="00C432E8">
        <w:trPr>
          <w:trHeight w:val="595"/>
          <w:jc w:val="center"/>
        </w:trPr>
        <w:tc>
          <w:tcPr>
            <w:tcW w:w="195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02" w:type="pct"/>
            <w:tcBorders>
              <w:top w:val="nil"/>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9" w:type="pct"/>
            <w:tcBorders>
              <w:top w:val="nil"/>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9" w:type="pct"/>
            <w:tcBorders>
              <w:top w:val="nil"/>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02" w:type="pct"/>
            <w:tcBorders>
              <w:top w:val="nil"/>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11" w:type="pct"/>
            <w:tcBorders>
              <w:top w:val="nil"/>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90" w:type="pct"/>
            <w:tcBorders>
              <w:top w:val="nil"/>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C432E8">
        <w:trPr>
          <w:trHeight w:val="595"/>
          <w:jc w:val="center"/>
        </w:trPr>
        <w:tc>
          <w:tcPr>
            <w:tcW w:w="195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4852.57</w:t>
            </w: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4411.27</w:t>
            </w: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441.29</w:t>
            </w:r>
            <w:r>
              <w:rPr>
                <w:rFonts w:ascii="Times New Roman" w:eastAsia="仿宋_GB2312" w:hAnsi="Times New Roman" w:cs="Times New Roman"/>
                <w:kern w:val="0"/>
                <w:sz w:val="24"/>
                <w:szCs w:val="24"/>
              </w:rPr>
              <w:t xml:space="preserve">　</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1"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一般公共服务支出</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4,015.53</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3,574.24</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441.29</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1"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20114</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知识产权事务</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10.00</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10.00</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1"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2011499</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其他知识产权事务支出</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10.00</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10.00</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1"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20132</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组织事务</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2.40</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2.40</w:t>
            </w: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2013202</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2.40</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2.40</w:t>
            </w: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市场监督管理事务</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4,003.13</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3,574.24</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428.89</w:t>
            </w: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2013801</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行政运行</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3,574.24</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3,574.24</w:t>
            </w:r>
          </w:p>
        </w:tc>
        <w:tc>
          <w:tcPr>
            <w:tcW w:w="469" w:type="pct"/>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2013802</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362.94</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362.94</w:t>
            </w: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2013812</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药品事务</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10.03</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10.03</w:t>
            </w: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2013816</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食品安全监管</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6.36</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6.36</w:t>
            </w: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2013899</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其他市场监督管理事务</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49.56</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49.56</w:t>
            </w: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425.07</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425.07</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lastRenderedPageBreak/>
              <w:t>20805</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368.26</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368.26</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2080505</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368.26</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368.26</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20808</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抚恤</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51.81</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51.81</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2080801</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死亡抚恤</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51.81</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51.81</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20899</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2089999</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210</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149.16</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149.16</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21011</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149.16</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149.16</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2101101</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149.16</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149.16</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221</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住房保障支出</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262.80</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262.80</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22102</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住房改革支出</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262.80</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262.80</w:t>
            </w:r>
          </w:p>
        </w:tc>
        <w:tc>
          <w:tcPr>
            <w:tcW w:w="469"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502"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311"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c>
          <w:tcPr>
            <w:tcW w:w="790" w:type="pct"/>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4"/>
                <w:szCs w:val="24"/>
              </w:rPr>
            </w:pPr>
          </w:p>
        </w:tc>
      </w:tr>
      <w:tr w:rsidR="00C432E8">
        <w:trPr>
          <w:trHeight w:val="510"/>
          <w:jc w:val="center"/>
        </w:trPr>
        <w:tc>
          <w:tcPr>
            <w:tcW w:w="6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2210201</w:t>
            </w:r>
          </w:p>
        </w:tc>
        <w:tc>
          <w:tcPr>
            <w:tcW w:w="1258" w:type="pct"/>
            <w:tcBorders>
              <w:top w:val="nil"/>
              <w:left w:val="nil"/>
              <w:bottom w:val="single" w:sz="4" w:space="0" w:color="auto"/>
              <w:right w:val="single" w:sz="4" w:space="0" w:color="auto"/>
            </w:tcBorders>
            <w:shd w:val="clear" w:color="000000" w:fill="FFFFFF"/>
            <w:noWrap/>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住房公积金</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262.80</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262.80</w:t>
            </w:r>
          </w:p>
        </w:tc>
        <w:tc>
          <w:tcPr>
            <w:tcW w:w="469"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02"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1"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C432E8"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C432E8"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C432E8" w:rsidRDefault="00C432E8">
      <w:pPr>
        <w:widowControl/>
        <w:spacing w:line="400" w:lineRule="exact"/>
        <w:jc w:val="center"/>
        <w:textAlignment w:val="center"/>
        <w:rPr>
          <w:rFonts w:ascii="Times New Roman" w:eastAsia="黑体" w:hAnsi="Times New Roman" w:cs="Times New Roman"/>
          <w:color w:val="000000"/>
          <w:kern w:val="0"/>
          <w:sz w:val="32"/>
          <w:szCs w:val="32"/>
          <w:lang w:bidi="ar"/>
        </w:rPr>
      </w:pPr>
    </w:p>
    <w:p w:rsidR="00C432E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rsidR="00C432E8"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C432E8" w:rsidRDefault="00000000">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lastRenderedPageBreak/>
        <w:t>部门：</w:t>
      </w:r>
      <w:r>
        <w:rPr>
          <w:rFonts w:ascii="Times New Roman" w:eastAsia="仿宋_GB2312" w:hAnsi="Times New Roman" w:cs="Times New Roman" w:hint="eastAsia"/>
          <w:color w:val="000000"/>
          <w:kern w:val="0"/>
          <w:sz w:val="20"/>
          <w:szCs w:val="20"/>
        </w:rPr>
        <w:t>祁阳市市场监督管理局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931"/>
        <w:gridCol w:w="2636"/>
        <w:gridCol w:w="616"/>
        <w:gridCol w:w="1151"/>
        <w:gridCol w:w="1660"/>
        <w:gridCol w:w="1495"/>
        <w:gridCol w:w="1599"/>
      </w:tblGrid>
      <w:tr w:rsidR="00C432E8">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C432E8">
        <w:trPr>
          <w:trHeight w:val="630"/>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C432E8">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4852.57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一、一般公共服务支出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33</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4015.53</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4015.53</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二、外交支出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三、国防支出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35</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四、公共安全支出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五、教育支出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六、科学技术支出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38</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七、文化旅游体育与传媒支出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39</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八、社会保障和就业支出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425.07</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425.07</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九、卫生健康支出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149.16</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149.16</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十、节能环保支出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42</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十一、城乡社区支出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43</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十二、农林水支出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十三、交通运输支出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45</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十四、资源勘探工业信息等支出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46</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十五、商业服务业等支出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十六、金融支出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十七、援助其他地区支出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十八、自然资源海洋气象等支出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十九、住房保障支出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262.8</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262.8</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二十、粮油物资储备支出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二十一、国有资本经营预算支出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二十二、灾害防治及应急管理支出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54</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二十三、其他支出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二十四、债务还本支出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56</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二十五、债务付息支出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57</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C432E8">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w:t>
            </w: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rPr>
            </w:pPr>
            <w:r>
              <w:rPr>
                <w:rFonts w:ascii="Times New Roman" w:eastAsia="仿宋_GB2312" w:hAnsi="Times New Roman" w:cs="Times New Roman" w:hint="eastAsia"/>
              </w:rPr>
              <w:t>二十六、抗疫特别国债安排的支出</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58</w:t>
            </w: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C432E8" w:rsidRDefault="00C432E8">
            <w:pPr>
              <w:widowControl/>
              <w:jc w:val="right"/>
              <w:rPr>
                <w:rFonts w:ascii="Times New Roman" w:eastAsia="仿宋_GB2312" w:hAnsi="Times New Roman" w:cs="Times New Roman"/>
                <w:kern w:val="0"/>
                <w:sz w:val="22"/>
              </w:rPr>
            </w:pP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4852.57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4852.57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4852.57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63</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432E8">
        <w:trPr>
          <w:trHeight w:val="403"/>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0" w:type="auto"/>
            <w:tcBorders>
              <w:top w:val="nil"/>
              <w:left w:val="nil"/>
              <w:bottom w:val="single" w:sz="4" w:space="0" w:color="auto"/>
              <w:right w:val="single" w:sz="4" w:space="0" w:color="auto"/>
            </w:tcBorders>
            <w:noWrap/>
            <w:vAlign w:val="center"/>
          </w:tcPr>
          <w:p w:rsidR="00C432E8"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4852.57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64</w:t>
            </w:r>
          </w:p>
        </w:tc>
        <w:tc>
          <w:tcPr>
            <w:tcW w:w="0" w:type="auto"/>
            <w:tcBorders>
              <w:top w:val="nil"/>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4852.57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C432E8"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4852.57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C432E8"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C432E8" w:rsidRDefault="00C432E8">
      <w:pPr>
        <w:widowControl/>
        <w:jc w:val="center"/>
        <w:rPr>
          <w:rFonts w:ascii="Times New Roman" w:eastAsia="方正小标宋_GBK" w:hAnsi="Times New Roman" w:cs="Times New Roman"/>
          <w:kern w:val="0"/>
          <w:sz w:val="36"/>
          <w:szCs w:val="36"/>
        </w:rPr>
      </w:pPr>
    </w:p>
    <w:p w:rsidR="00C432E8" w:rsidRDefault="00C432E8">
      <w:pPr>
        <w:pStyle w:val="ab"/>
        <w:rPr>
          <w:rFonts w:ascii="Times New Roman" w:eastAsia="方正小标宋_GBK" w:hAnsi="Times New Roman" w:cs="Times New Roman"/>
          <w:kern w:val="0"/>
          <w:sz w:val="36"/>
          <w:szCs w:val="36"/>
        </w:rPr>
      </w:pPr>
    </w:p>
    <w:p w:rsidR="00C432E8" w:rsidRDefault="00C432E8">
      <w:pPr>
        <w:pStyle w:val="2"/>
        <w:ind w:firstLine="720"/>
        <w:rPr>
          <w:rFonts w:ascii="Times New Roman" w:eastAsia="方正小标宋_GBK" w:hAnsi="Times New Roman" w:cs="Times New Roman"/>
          <w:sz w:val="36"/>
          <w:szCs w:val="36"/>
        </w:rPr>
      </w:pPr>
    </w:p>
    <w:p w:rsidR="00C432E8" w:rsidRDefault="00C432E8">
      <w:pPr>
        <w:rPr>
          <w:rFonts w:ascii="Times New Roman" w:eastAsia="方正小标宋_GBK" w:hAnsi="Times New Roman" w:cs="Times New Roman"/>
          <w:kern w:val="0"/>
          <w:sz w:val="36"/>
          <w:szCs w:val="36"/>
        </w:rPr>
      </w:pPr>
    </w:p>
    <w:p w:rsidR="00C432E8" w:rsidRDefault="00C432E8">
      <w:pPr>
        <w:pStyle w:val="ab"/>
        <w:rPr>
          <w:rFonts w:ascii="Times New Roman" w:eastAsia="方正小标宋_GBK" w:hAnsi="Times New Roman" w:cs="Times New Roman"/>
          <w:kern w:val="0"/>
          <w:sz w:val="36"/>
          <w:szCs w:val="36"/>
        </w:rPr>
      </w:pPr>
    </w:p>
    <w:p w:rsidR="00C432E8" w:rsidRDefault="00C432E8">
      <w:pPr>
        <w:pStyle w:val="2"/>
        <w:ind w:firstLine="720"/>
        <w:rPr>
          <w:rFonts w:ascii="Times New Roman" w:eastAsia="方正小标宋_GBK" w:hAnsi="Times New Roman" w:cs="Times New Roman"/>
          <w:sz w:val="36"/>
          <w:szCs w:val="36"/>
        </w:rPr>
      </w:pPr>
    </w:p>
    <w:p w:rsidR="00C432E8" w:rsidRDefault="00C432E8">
      <w:pPr>
        <w:rPr>
          <w:rFonts w:ascii="Times New Roman" w:eastAsia="方正小标宋_GBK" w:hAnsi="Times New Roman" w:cs="Times New Roman"/>
          <w:kern w:val="0"/>
          <w:sz w:val="36"/>
          <w:szCs w:val="36"/>
        </w:rPr>
      </w:pPr>
    </w:p>
    <w:p w:rsidR="00C432E8" w:rsidRDefault="00C432E8">
      <w:pPr>
        <w:pStyle w:val="ab"/>
        <w:rPr>
          <w:rFonts w:ascii="Times New Roman" w:eastAsia="方正小标宋_GBK" w:hAnsi="Times New Roman" w:cs="Times New Roman"/>
          <w:kern w:val="0"/>
          <w:sz w:val="36"/>
          <w:szCs w:val="36"/>
        </w:rPr>
      </w:pPr>
    </w:p>
    <w:p w:rsidR="00C432E8" w:rsidRDefault="00C432E8">
      <w:pPr>
        <w:pStyle w:val="2"/>
        <w:ind w:firstLine="720"/>
        <w:rPr>
          <w:rFonts w:ascii="Times New Roman" w:eastAsia="方正小标宋_GBK" w:hAnsi="Times New Roman" w:cs="Times New Roman"/>
          <w:sz w:val="36"/>
          <w:szCs w:val="36"/>
        </w:rPr>
      </w:pPr>
    </w:p>
    <w:p w:rsidR="00C432E8" w:rsidRDefault="00C432E8">
      <w:pPr>
        <w:rPr>
          <w:rFonts w:ascii="Times New Roman" w:eastAsia="方正小标宋_GBK" w:hAnsi="Times New Roman" w:cs="Times New Roman"/>
          <w:kern w:val="0"/>
          <w:sz w:val="36"/>
          <w:szCs w:val="36"/>
        </w:rPr>
      </w:pPr>
    </w:p>
    <w:p w:rsidR="00C432E8" w:rsidRDefault="00C432E8">
      <w:pPr>
        <w:pStyle w:val="ab"/>
      </w:pPr>
    </w:p>
    <w:p w:rsidR="00C432E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rsidR="00C432E8"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C432E8"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祁阳市市场监督管理局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C432E8">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C432E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C432E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C432E8">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C432E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C432E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C432E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C432E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C432E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C432E8">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432E8" w:rsidRDefault="00C432E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432E8" w:rsidRDefault="00C432E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432E8" w:rsidRDefault="00C432E8">
            <w:pPr>
              <w:widowControl/>
              <w:jc w:val="left"/>
              <w:rPr>
                <w:rFonts w:ascii="Times New Roman" w:eastAsia="仿宋_GB2312" w:hAnsi="Times New Roman" w:cs="Times New Roman"/>
                <w:kern w:val="0"/>
                <w:szCs w:val="21"/>
              </w:rPr>
            </w:pPr>
          </w:p>
        </w:tc>
      </w:tr>
      <w:tr w:rsidR="00C432E8">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432E8" w:rsidRDefault="00C432E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432E8" w:rsidRDefault="00C432E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432E8" w:rsidRDefault="00C432E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432E8" w:rsidRDefault="00C432E8">
            <w:pPr>
              <w:widowControl/>
              <w:jc w:val="left"/>
              <w:rPr>
                <w:rFonts w:ascii="Times New Roman" w:eastAsia="仿宋_GB2312" w:hAnsi="Times New Roman" w:cs="Times New Roman"/>
                <w:kern w:val="0"/>
                <w:szCs w:val="21"/>
              </w:rPr>
            </w:pPr>
          </w:p>
        </w:tc>
      </w:tr>
      <w:tr w:rsidR="00C432E8">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C432E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vAlign w:val="center"/>
          </w:tcPr>
          <w:p w:rsidR="00C432E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C432E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C432E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C432E8">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C432E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vAlign w:val="center"/>
          </w:tcPr>
          <w:p w:rsidR="00C432E8"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4852.57</w:t>
            </w:r>
          </w:p>
        </w:tc>
        <w:tc>
          <w:tcPr>
            <w:tcW w:w="3492" w:type="dxa"/>
            <w:tcBorders>
              <w:top w:val="nil"/>
              <w:left w:val="nil"/>
              <w:bottom w:val="single" w:sz="4" w:space="0" w:color="auto"/>
              <w:right w:val="single" w:sz="4" w:space="0" w:color="auto"/>
            </w:tcBorders>
            <w:vAlign w:val="center"/>
          </w:tcPr>
          <w:p w:rsidR="00C432E8" w:rsidRDefault="00000000">
            <w:pPr>
              <w:widowControl/>
              <w:jc w:val="right"/>
              <w:textAlignment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4,411.27</w:t>
            </w:r>
          </w:p>
        </w:tc>
        <w:tc>
          <w:tcPr>
            <w:tcW w:w="3000" w:type="dxa"/>
            <w:tcBorders>
              <w:top w:val="nil"/>
              <w:left w:val="nil"/>
              <w:bottom w:val="single" w:sz="4" w:space="0" w:color="auto"/>
              <w:right w:val="single" w:sz="8" w:space="0" w:color="auto"/>
            </w:tcBorders>
            <w:vAlign w:val="center"/>
          </w:tcPr>
          <w:p w:rsidR="00C432E8" w:rsidRDefault="00000000">
            <w:pPr>
              <w:widowControl/>
              <w:jc w:val="right"/>
              <w:textAlignment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441.29</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一般公共服务支出</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4,015.53</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3,574.24</w:t>
            </w: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441.29</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20114</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知识产权事务</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3492" w:type="dxa"/>
            <w:tcBorders>
              <w:top w:val="nil"/>
              <w:left w:val="nil"/>
              <w:bottom w:val="single" w:sz="4" w:space="0" w:color="auto"/>
              <w:right w:val="single" w:sz="4" w:space="0" w:color="auto"/>
            </w:tcBorders>
            <w:vAlign w:val="center"/>
          </w:tcPr>
          <w:p w:rsidR="00C432E8" w:rsidRDefault="00C432E8">
            <w:pPr>
              <w:jc w:val="right"/>
              <w:rPr>
                <w:rFonts w:ascii="Times New Roman" w:eastAsia="仿宋_GB2312" w:hAnsi="Times New Roman" w:cs="Times New Roman"/>
              </w:rPr>
            </w:pP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10.00</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lastRenderedPageBreak/>
              <w:t>2011499</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其他知识产权事务支出</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3492" w:type="dxa"/>
            <w:tcBorders>
              <w:top w:val="nil"/>
              <w:left w:val="nil"/>
              <w:bottom w:val="single" w:sz="4" w:space="0" w:color="auto"/>
              <w:right w:val="single" w:sz="4" w:space="0" w:color="auto"/>
            </w:tcBorders>
            <w:vAlign w:val="center"/>
          </w:tcPr>
          <w:p w:rsidR="00C432E8" w:rsidRDefault="00C432E8">
            <w:pPr>
              <w:jc w:val="right"/>
              <w:rPr>
                <w:rFonts w:ascii="Times New Roman" w:eastAsia="仿宋_GB2312" w:hAnsi="Times New Roman" w:cs="Times New Roman"/>
              </w:rPr>
            </w:pP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10.00</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20132</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组织事务</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2.40</w:t>
            </w:r>
          </w:p>
        </w:tc>
        <w:tc>
          <w:tcPr>
            <w:tcW w:w="3492" w:type="dxa"/>
            <w:tcBorders>
              <w:top w:val="nil"/>
              <w:left w:val="nil"/>
              <w:bottom w:val="single" w:sz="4" w:space="0" w:color="auto"/>
              <w:right w:val="single" w:sz="4" w:space="0" w:color="auto"/>
            </w:tcBorders>
            <w:vAlign w:val="center"/>
          </w:tcPr>
          <w:p w:rsidR="00C432E8" w:rsidRDefault="00C432E8">
            <w:pPr>
              <w:jc w:val="right"/>
              <w:rPr>
                <w:rFonts w:ascii="Times New Roman" w:eastAsia="仿宋_GB2312" w:hAnsi="Times New Roman" w:cs="Times New Roman"/>
              </w:rPr>
            </w:pP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2.40</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2013202</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2.40</w:t>
            </w:r>
          </w:p>
        </w:tc>
        <w:tc>
          <w:tcPr>
            <w:tcW w:w="3492" w:type="dxa"/>
            <w:tcBorders>
              <w:top w:val="nil"/>
              <w:left w:val="nil"/>
              <w:bottom w:val="single" w:sz="4" w:space="0" w:color="auto"/>
              <w:right w:val="single" w:sz="4" w:space="0" w:color="auto"/>
            </w:tcBorders>
            <w:vAlign w:val="center"/>
          </w:tcPr>
          <w:p w:rsidR="00C432E8" w:rsidRDefault="00C432E8">
            <w:pPr>
              <w:jc w:val="right"/>
              <w:rPr>
                <w:rFonts w:ascii="Times New Roman" w:eastAsia="仿宋_GB2312" w:hAnsi="Times New Roman" w:cs="Times New Roman"/>
              </w:rPr>
            </w:pP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2.40</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市场监督管理事务</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4,003.13</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3,574.24</w:t>
            </w: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428.89</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2013801</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行政运行</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3,574.24</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3,574.24</w:t>
            </w:r>
          </w:p>
        </w:tc>
        <w:tc>
          <w:tcPr>
            <w:tcW w:w="3000" w:type="dxa"/>
            <w:tcBorders>
              <w:top w:val="nil"/>
              <w:left w:val="nil"/>
              <w:bottom w:val="single" w:sz="4" w:space="0" w:color="auto"/>
              <w:right w:val="single" w:sz="8" w:space="0" w:color="auto"/>
            </w:tcBorders>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2013802</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362.94</w:t>
            </w:r>
          </w:p>
        </w:tc>
        <w:tc>
          <w:tcPr>
            <w:tcW w:w="3492" w:type="dxa"/>
            <w:tcBorders>
              <w:top w:val="nil"/>
              <w:left w:val="nil"/>
              <w:bottom w:val="single" w:sz="4" w:space="0" w:color="auto"/>
              <w:right w:val="single" w:sz="4" w:space="0" w:color="auto"/>
            </w:tcBorders>
            <w:vAlign w:val="center"/>
          </w:tcPr>
          <w:p w:rsidR="00C432E8" w:rsidRDefault="00C432E8">
            <w:pPr>
              <w:jc w:val="right"/>
              <w:rPr>
                <w:rFonts w:ascii="Times New Roman" w:eastAsia="仿宋_GB2312" w:hAnsi="Times New Roman" w:cs="Times New Roman"/>
              </w:rPr>
            </w:pP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362.94</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2013812</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药品事务</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10.03</w:t>
            </w:r>
          </w:p>
        </w:tc>
        <w:tc>
          <w:tcPr>
            <w:tcW w:w="3492" w:type="dxa"/>
            <w:tcBorders>
              <w:top w:val="nil"/>
              <w:left w:val="nil"/>
              <w:bottom w:val="single" w:sz="4" w:space="0" w:color="auto"/>
              <w:right w:val="single" w:sz="4" w:space="0" w:color="auto"/>
            </w:tcBorders>
            <w:vAlign w:val="center"/>
          </w:tcPr>
          <w:p w:rsidR="00C432E8" w:rsidRDefault="00C432E8">
            <w:pPr>
              <w:jc w:val="right"/>
              <w:rPr>
                <w:rFonts w:ascii="Times New Roman" w:eastAsia="仿宋_GB2312" w:hAnsi="Times New Roman" w:cs="Times New Roman"/>
              </w:rPr>
            </w:pP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10.03</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2013816</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食品安全监管</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6.36</w:t>
            </w:r>
          </w:p>
        </w:tc>
        <w:tc>
          <w:tcPr>
            <w:tcW w:w="3492" w:type="dxa"/>
            <w:tcBorders>
              <w:top w:val="nil"/>
              <w:left w:val="nil"/>
              <w:bottom w:val="single" w:sz="4" w:space="0" w:color="auto"/>
              <w:right w:val="single" w:sz="4" w:space="0" w:color="auto"/>
            </w:tcBorders>
            <w:vAlign w:val="center"/>
          </w:tcPr>
          <w:p w:rsidR="00C432E8" w:rsidRDefault="00C432E8">
            <w:pPr>
              <w:jc w:val="right"/>
              <w:rPr>
                <w:rFonts w:ascii="Times New Roman" w:eastAsia="仿宋_GB2312" w:hAnsi="Times New Roman" w:cs="Times New Roman"/>
              </w:rPr>
            </w:pP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6.36</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2013899</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其他市场监督管理事务</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49.56</w:t>
            </w:r>
          </w:p>
        </w:tc>
        <w:tc>
          <w:tcPr>
            <w:tcW w:w="3492" w:type="dxa"/>
            <w:tcBorders>
              <w:top w:val="nil"/>
              <w:left w:val="nil"/>
              <w:bottom w:val="single" w:sz="4" w:space="0" w:color="auto"/>
              <w:right w:val="single" w:sz="4" w:space="0" w:color="auto"/>
            </w:tcBorders>
            <w:vAlign w:val="center"/>
          </w:tcPr>
          <w:p w:rsidR="00C432E8" w:rsidRDefault="00C432E8">
            <w:pPr>
              <w:jc w:val="right"/>
              <w:rPr>
                <w:rFonts w:ascii="Times New Roman" w:eastAsia="仿宋_GB2312" w:hAnsi="Times New Roman" w:cs="Times New Roman"/>
              </w:rPr>
            </w:pP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49.56</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425.07</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425.07</w:t>
            </w:r>
          </w:p>
        </w:tc>
        <w:tc>
          <w:tcPr>
            <w:tcW w:w="3000" w:type="dxa"/>
            <w:tcBorders>
              <w:top w:val="nil"/>
              <w:left w:val="nil"/>
              <w:bottom w:val="single" w:sz="4" w:space="0" w:color="auto"/>
              <w:right w:val="single" w:sz="8" w:space="0" w:color="auto"/>
            </w:tcBorders>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20805</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368.26</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368.26</w:t>
            </w:r>
          </w:p>
        </w:tc>
        <w:tc>
          <w:tcPr>
            <w:tcW w:w="3000" w:type="dxa"/>
            <w:tcBorders>
              <w:top w:val="nil"/>
              <w:left w:val="nil"/>
              <w:bottom w:val="single" w:sz="4" w:space="0" w:color="auto"/>
              <w:right w:val="single" w:sz="8" w:space="0" w:color="auto"/>
            </w:tcBorders>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2080505</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368.26</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368.26</w:t>
            </w:r>
          </w:p>
        </w:tc>
        <w:tc>
          <w:tcPr>
            <w:tcW w:w="3000" w:type="dxa"/>
            <w:tcBorders>
              <w:top w:val="nil"/>
              <w:left w:val="nil"/>
              <w:bottom w:val="single" w:sz="4" w:space="0" w:color="auto"/>
              <w:right w:val="single" w:sz="8" w:space="0" w:color="auto"/>
            </w:tcBorders>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20808</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抚恤</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51.81</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51.81</w:t>
            </w:r>
          </w:p>
        </w:tc>
        <w:tc>
          <w:tcPr>
            <w:tcW w:w="3000" w:type="dxa"/>
            <w:tcBorders>
              <w:top w:val="nil"/>
              <w:left w:val="nil"/>
              <w:bottom w:val="single" w:sz="4" w:space="0" w:color="auto"/>
              <w:right w:val="single" w:sz="8" w:space="0" w:color="auto"/>
            </w:tcBorders>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2080801</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死亡抚恤</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51.81</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51.81</w:t>
            </w:r>
          </w:p>
        </w:tc>
        <w:tc>
          <w:tcPr>
            <w:tcW w:w="3000" w:type="dxa"/>
            <w:tcBorders>
              <w:top w:val="nil"/>
              <w:left w:val="nil"/>
              <w:bottom w:val="single" w:sz="4" w:space="0" w:color="auto"/>
              <w:right w:val="single" w:sz="8" w:space="0" w:color="auto"/>
            </w:tcBorders>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20899</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3000" w:type="dxa"/>
            <w:tcBorders>
              <w:top w:val="nil"/>
              <w:left w:val="nil"/>
              <w:bottom w:val="single" w:sz="4" w:space="0" w:color="auto"/>
              <w:right w:val="single" w:sz="8" w:space="0" w:color="auto"/>
            </w:tcBorders>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2089999</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3000" w:type="dxa"/>
            <w:tcBorders>
              <w:top w:val="nil"/>
              <w:left w:val="nil"/>
              <w:bottom w:val="single" w:sz="4" w:space="0" w:color="auto"/>
              <w:right w:val="single" w:sz="8" w:space="0" w:color="auto"/>
            </w:tcBorders>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lastRenderedPageBreak/>
              <w:t>210</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3000" w:type="dxa"/>
            <w:tcBorders>
              <w:top w:val="nil"/>
              <w:left w:val="nil"/>
              <w:bottom w:val="single" w:sz="4" w:space="0" w:color="auto"/>
              <w:right w:val="single" w:sz="8" w:space="0" w:color="auto"/>
            </w:tcBorders>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21011</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3000" w:type="dxa"/>
            <w:tcBorders>
              <w:top w:val="nil"/>
              <w:left w:val="nil"/>
              <w:bottom w:val="single" w:sz="4" w:space="0" w:color="auto"/>
              <w:right w:val="single" w:sz="8" w:space="0" w:color="auto"/>
            </w:tcBorders>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2101101</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149.16</w:t>
            </w:r>
          </w:p>
        </w:tc>
        <w:tc>
          <w:tcPr>
            <w:tcW w:w="3000" w:type="dxa"/>
            <w:tcBorders>
              <w:top w:val="nil"/>
              <w:left w:val="nil"/>
              <w:bottom w:val="single" w:sz="4" w:space="0" w:color="auto"/>
              <w:right w:val="single" w:sz="8" w:space="0" w:color="auto"/>
            </w:tcBorders>
            <w:vAlign w:val="center"/>
          </w:tcPr>
          <w:p w:rsidR="00C432E8" w:rsidRDefault="00C432E8">
            <w:pPr>
              <w:jc w:val="right"/>
              <w:rPr>
                <w:rFonts w:ascii="Times New Roman" w:eastAsia="仿宋_GB2312" w:hAnsi="Times New Roman" w:cs="Times New Roman"/>
              </w:rPr>
            </w:pP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221</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住房保障支出</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 xml:space="preserve">　</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22102</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住房改革支出</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 xml:space="preserve">　</w:t>
            </w:r>
          </w:p>
        </w:tc>
      </w:tr>
      <w:tr w:rsidR="00C432E8">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2210201</w:t>
            </w:r>
          </w:p>
        </w:tc>
        <w:tc>
          <w:tcPr>
            <w:tcW w:w="3527" w:type="dxa"/>
            <w:tcBorders>
              <w:top w:val="nil"/>
              <w:left w:val="nil"/>
              <w:bottom w:val="single" w:sz="4" w:space="0" w:color="auto"/>
              <w:right w:val="single" w:sz="4" w:space="0" w:color="auto"/>
            </w:tcBorders>
            <w:vAlign w:val="center"/>
          </w:tcPr>
          <w:p w:rsidR="00C432E8" w:rsidRDefault="00000000">
            <w:pPr>
              <w:rPr>
                <w:rFonts w:ascii="Times New Roman" w:eastAsia="仿宋_GB2312" w:hAnsi="Times New Roman" w:cs="Times New Roman"/>
              </w:rPr>
            </w:pPr>
            <w:r>
              <w:rPr>
                <w:rFonts w:ascii="Times New Roman" w:eastAsia="仿宋_GB2312" w:hAnsi="Times New Roman" w:cs="Times New Roman" w:hint="eastAsia"/>
              </w:rPr>
              <w:t>住房公积金</w:t>
            </w:r>
          </w:p>
        </w:tc>
        <w:tc>
          <w:tcPr>
            <w:tcW w:w="3000"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3492" w:type="dxa"/>
            <w:tcBorders>
              <w:top w:val="nil"/>
              <w:left w:val="nil"/>
              <w:bottom w:val="single" w:sz="4" w:space="0" w:color="auto"/>
              <w:right w:val="single" w:sz="4"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262.80</w:t>
            </w:r>
          </w:p>
        </w:tc>
        <w:tc>
          <w:tcPr>
            <w:tcW w:w="3000" w:type="dxa"/>
            <w:tcBorders>
              <w:top w:val="nil"/>
              <w:left w:val="nil"/>
              <w:bottom w:val="single" w:sz="4" w:space="0" w:color="auto"/>
              <w:right w:val="single" w:sz="8" w:space="0" w:color="auto"/>
            </w:tcBorders>
            <w:vAlign w:val="center"/>
          </w:tcPr>
          <w:p w:rsidR="00C432E8" w:rsidRDefault="00000000">
            <w:pPr>
              <w:jc w:val="right"/>
              <w:rPr>
                <w:rFonts w:ascii="Times New Roman" w:eastAsia="仿宋_GB2312" w:hAnsi="Times New Roman" w:cs="Times New Roman"/>
              </w:rPr>
            </w:pPr>
            <w:r>
              <w:rPr>
                <w:rFonts w:ascii="Times New Roman" w:eastAsia="仿宋_GB2312" w:hAnsi="Times New Roman" w:cs="Times New Roman" w:hint="eastAsia"/>
              </w:rPr>
              <w:t xml:space="preserve">　</w:t>
            </w:r>
          </w:p>
        </w:tc>
      </w:tr>
    </w:tbl>
    <w:p w:rsidR="00C432E8"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C432E8" w:rsidRDefault="00C432E8">
      <w:pPr>
        <w:widowControl/>
        <w:jc w:val="left"/>
        <w:rPr>
          <w:rFonts w:ascii="Times New Roman" w:eastAsia="仿宋_GB2312" w:hAnsi="Times New Roman" w:cs="Times New Roman"/>
          <w:bCs/>
          <w:kern w:val="0"/>
          <w:szCs w:val="21"/>
        </w:rPr>
      </w:pPr>
    </w:p>
    <w:p w:rsidR="00C432E8"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C432E8"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C432E8"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C432E8" w:rsidRDefault="00000000">
      <w:pPr>
        <w:widowControl/>
        <w:spacing w:line="240" w:lineRule="exac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祁阳市市场监督管理局</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C432E8">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C432E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C432E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C432E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C432E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C432E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C432E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C432E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C432E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C432E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3753.23</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533.01</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1638.49</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41.60</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500.68</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67.03</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811.49</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4.49</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368.26</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19.36</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9.62</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149.16</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0.63</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19.35</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45.73</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262.80</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7.62</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3.00</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8.18</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125.03</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0.39</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4.70</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51.81</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39.97</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36.24</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12.20</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76.92</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55.68</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C432E8" w:rsidRDefault="00C432E8">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C432E8">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C432E8">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C432E8" w:rsidRDefault="00C432E8">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C432E8">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C432E8">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C432E8"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C432E8" w:rsidRDefault="00C432E8">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11.83</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34.75</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33.25</w:t>
            </w: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432E8">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lastRenderedPageBreak/>
              <w:t xml:space="preserve">　</w:t>
            </w:r>
          </w:p>
        </w:tc>
        <w:tc>
          <w:tcPr>
            <w:tcW w:w="2850"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noWrap/>
            <w:vAlign w:val="center"/>
          </w:tcPr>
          <w:p w:rsidR="00C432E8" w:rsidRDefault="00C432E8">
            <w:pPr>
              <w:jc w:val="right"/>
              <w:rPr>
                <w:rFonts w:ascii="Times New Roman" w:eastAsia="仿宋_GB2312" w:hAnsi="Times New Roman" w:cs="Times New Roman"/>
                <w:color w:val="000000"/>
                <w:kern w:val="0"/>
                <w:sz w:val="18"/>
                <w:szCs w:val="18"/>
              </w:rPr>
            </w:pPr>
          </w:p>
        </w:tc>
        <w:tc>
          <w:tcPr>
            <w:tcW w:w="111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96.03</w:t>
            </w:r>
          </w:p>
        </w:tc>
        <w:tc>
          <w:tcPr>
            <w:tcW w:w="12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 xml:space="preserve">　</w:t>
            </w:r>
          </w:p>
        </w:tc>
      </w:tr>
      <w:tr w:rsidR="00C432E8">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3878.26</w:t>
            </w:r>
          </w:p>
        </w:tc>
        <w:tc>
          <w:tcPr>
            <w:tcW w:w="8801" w:type="dxa"/>
            <w:gridSpan w:val="5"/>
            <w:tcBorders>
              <w:top w:val="single" w:sz="4" w:space="0" w:color="auto"/>
              <w:left w:val="nil"/>
              <w:bottom w:val="single" w:sz="4" w:space="0" w:color="auto"/>
              <w:right w:val="single" w:sz="4" w:space="0" w:color="auto"/>
            </w:tcBorders>
            <w:noWrap/>
            <w:vAlign w:val="center"/>
          </w:tcPr>
          <w:p w:rsidR="00C432E8"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noWrap/>
            <w:vAlign w:val="center"/>
          </w:tcPr>
          <w:p w:rsidR="00C432E8"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533.01</w:t>
            </w:r>
          </w:p>
        </w:tc>
      </w:tr>
    </w:tbl>
    <w:p w:rsidR="00C432E8"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C432E8" w:rsidRDefault="00C432E8">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C432E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C432E8"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C432E8"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Cs w:val="21"/>
        </w:rPr>
        <w:t>祁阳市市场监督管理局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C432E8">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C432E8">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widowControl/>
              <w:jc w:val="center"/>
              <w:rPr>
                <w:rFonts w:ascii="Times New Roman" w:eastAsia="仿宋_GB2312" w:hAnsi="Times New Roman" w:cs="Times New Roman"/>
                <w:color w:val="000000"/>
                <w:sz w:val="24"/>
                <w:szCs w:val="24"/>
              </w:rPr>
            </w:pPr>
          </w:p>
        </w:tc>
      </w:tr>
      <w:tr w:rsidR="00C432E8">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r>
      <w:tr w:rsidR="00C432E8">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r>
      <w:tr w:rsidR="00C432E8">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C432E8">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r>
      <w:tr w:rsidR="00C432E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r>
      <w:tr w:rsidR="00C432E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r>
      <w:tr w:rsidR="00C432E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r>
      <w:tr w:rsidR="00C432E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r>
      <w:tr w:rsidR="00C432E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r>
      <w:tr w:rsidR="00C432E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r>
    </w:tbl>
    <w:p w:rsidR="00C432E8"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C432E8" w:rsidRDefault="00C432E8">
      <w:pPr>
        <w:widowControl/>
        <w:jc w:val="left"/>
        <w:textAlignment w:val="center"/>
        <w:rPr>
          <w:rFonts w:ascii="Times New Roman" w:eastAsia="仿宋_GB2312" w:hAnsi="Times New Roman" w:cs="Times New Roman"/>
          <w:color w:val="000000"/>
          <w:kern w:val="0"/>
          <w:sz w:val="24"/>
          <w:szCs w:val="24"/>
          <w:lang w:bidi="ar"/>
        </w:rPr>
      </w:pPr>
    </w:p>
    <w:p w:rsidR="00C432E8" w:rsidRDefault="00000000">
      <w:pPr>
        <w:widowControl/>
        <w:jc w:val="left"/>
        <w:textAlignment w:val="center"/>
        <w:rPr>
          <w:rFonts w:ascii="Times New Roman" w:eastAsia="方正小标宋_GBK" w:hAnsi="Times New Roman" w:cs="Times New Roman"/>
          <w:color w:val="000000"/>
          <w:kern w:val="0"/>
          <w:sz w:val="36"/>
          <w:szCs w:val="36"/>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w:t>
      </w:r>
    </w:p>
    <w:p w:rsidR="00C432E8" w:rsidRDefault="00C432E8">
      <w:pPr>
        <w:widowControl/>
        <w:spacing w:line="400" w:lineRule="exact"/>
        <w:textAlignment w:val="center"/>
        <w:rPr>
          <w:rFonts w:ascii="Times New Roman" w:eastAsia="黑体" w:hAnsi="Times New Roman" w:cs="Times New Roman"/>
          <w:color w:val="000000"/>
          <w:kern w:val="0"/>
          <w:sz w:val="36"/>
          <w:szCs w:val="36"/>
          <w:lang w:bidi="ar"/>
        </w:rPr>
      </w:pPr>
    </w:p>
    <w:p w:rsidR="00C432E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C432E8"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hint="eastAsia"/>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C432E8" w:rsidRDefault="00000000">
      <w:pPr>
        <w:widowControl/>
        <w:tabs>
          <w:tab w:val="left" w:pos="1326"/>
          <w:tab w:val="left" w:pos="2027"/>
          <w:tab w:val="left" w:pos="4319"/>
          <w:tab w:val="left" w:pos="7634"/>
          <w:tab w:val="left" w:pos="10949"/>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Cs w:val="21"/>
        </w:rPr>
        <w:t>祁阳市市场监督管理局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C432E8">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C432E8">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C432E8">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r>
      <w:tr w:rsidR="00C432E8">
        <w:trPr>
          <w:trHeight w:val="521"/>
        </w:trPr>
        <w:tc>
          <w:tcPr>
            <w:tcW w:w="1088"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r>
      <w:tr w:rsidR="00C432E8">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C432E8">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r>
      <w:tr w:rsidR="00C432E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r>
      <w:tr w:rsidR="00C432E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仿宋_GB2312" w:hAnsi="Times New Roman" w:cs="Times New Roman"/>
                <w:color w:val="000000"/>
                <w:sz w:val="24"/>
                <w:szCs w:val="24"/>
              </w:rPr>
            </w:pPr>
          </w:p>
        </w:tc>
      </w:tr>
      <w:tr w:rsidR="00C432E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r>
      <w:tr w:rsidR="00C432E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r>
      <w:tr w:rsidR="00C432E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r>
      <w:tr w:rsidR="00C432E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C432E8" w:rsidRDefault="00C432E8">
            <w:pPr>
              <w:rPr>
                <w:rFonts w:ascii="Times New Roman" w:eastAsia="宋体" w:hAnsi="Times New Roman" w:cs="Times New Roman"/>
                <w:color w:val="000000"/>
                <w:sz w:val="24"/>
                <w:szCs w:val="24"/>
              </w:rPr>
            </w:pPr>
          </w:p>
        </w:tc>
      </w:tr>
    </w:tbl>
    <w:p w:rsidR="00C432E8"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C432E8" w:rsidRDefault="00C432E8">
      <w:pPr>
        <w:widowControl/>
        <w:jc w:val="left"/>
        <w:textAlignment w:val="center"/>
        <w:rPr>
          <w:rFonts w:ascii="Times New Roman" w:eastAsia="宋体" w:hAnsi="Times New Roman" w:cs="Times New Roman"/>
          <w:color w:val="000000"/>
          <w:kern w:val="0"/>
          <w:sz w:val="24"/>
          <w:szCs w:val="24"/>
          <w:lang w:bidi="ar"/>
        </w:rPr>
      </w:pPr>
    </w:p>
    <w:p w:rsidR="00C432E8"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C432E8" w:rsidRDefault="00C432E8">
      <w:pPr>
        <w:widowControl/>
        <w:jc w:val="center"/>
        <w:rPr>
          <w:rFonts w:ascii="Times New Roman" w:eastAsia="方正小标宋_GBK" w:hAnsi="Times New Roman" w:cs="Times New Roman"/>
          <w:color w:val="000000"/>
          <w:kern w:val="0"/>
          <w:sz w:val="36"/>
          <w:szCs w:val="36"/>
        </w:rPr>
      </w:pPr>
    </w:p>
    <w:p w:rsidR="00C432E8" w:rsidRDefault="00C432E8">
      <w:pPr>
        <w:pStyle w:val="ab"/>
        <w:spacing w:line="400" w:lineRule="exact"/>
        <w:rPr>
          <w:rFonts w:ascii="Times New Roman" w:eastAsia="华文中宋" w:hAnsi="Times New Roman" w:cs="Times New Roman"/>
          <w:color w:val="000000"/>
          <w:kern w:val="0"/>
          <w:sz w:val="32"/>
          <w:szCs w:val="32"/>
          <w:lang w:bidi="ar"/>
        </w:rPr>
      </w:pPr>
    </w:p>
    <w:p w:rsidR="00C432E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C432E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C432E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Cs w:val="21"/>
        </w:rPr>
        <w:t>祁阳市市场监督管理局</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C432E8">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C432E8">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C432E8">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C432E8" w:rsidRDefault="00C432E8">
            <w:pPr>
              <w:jc w:val="center"/>
              <w:rPr>
                <w:rFonts w:ascii="Times New Roman" w:eastAsia="仿宋_GB2312" w:hAnsi="Times New Roman" w:cs="Times New Roman"/>
                <w:color w:val="000000"/>
                <w:sz w:val="22"/>
              </w:rPr>
            </w:pPr>
          </w:p>
        </w:tc>
      </w:tr>
      <w:tr w:rsidR="00C432E8">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w:t>
            </w:r>
          </w:p>
        </w:tc>
        <w:tc>
          <w:tcPr>
            <w:tcW w:w="422"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C432E8">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C432E8"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20.6</w:t>
            </w:r>
          </w:p>
        </w:tc>
        <w:tc>
          <w:tcPr>
            <w:tcW w:w="1228"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right"/>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righ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14.10</w:t>
            </w:r>
          </w:p>
        </w:tc>
        <w:tc>
          <w:tcPr>
            <w:tcW w:w="1187"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right"/>
              <w:rPr>
                <w:rFonts w:ascii="Times New Roman" w:eastAsia="仿宋_GB2312" w:hAnsi="Times New Roman" w:cs="Times New Roman"/>
                <w:color w:val="000000"/>
                <w:sz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righ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14.10</w:t>
            </w:r>
          </w:p>
        </w:tc>
        <w:tc>
          <w:tcPr>
            <w:tcW w:w="1379"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righ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6.50</w:t>
            </w:r>
          </w:p>
        </w:tc>
        <w:tc>
          <w:tcPr>
            <w:tcW w:w="1050"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righ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16.53</w:t>
            </w:r>
          </w:p>
        </w:tc>
        <w:tc>
          <w:tcPr>
            <w:tcW w:w="1166"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right"/>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righ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11.83</w:t>
            </w:r>
          </w:p>
        </w:tc>
        <w:tc>
          <w:tcPr>
            <w:tcW w:w="1166" w:type="dxa"/>
            <w:tcBorders>
              <w:top w:val="single" w:sz="4" w:space="0" w:color="000000"/>
              <w:left w:val="single" w:sz="4" w:space="0" w:color="000000"/>
              <w:bottom w:val="single" w:sz="4" w:space="0" w:color="000000"/>
              <w:right w:val="single" w:sz="4" w:space="0" w:color="000000"/>
            </w:tcBorders>
            <w:vAlign w:val="center"/>
          </w:tcPr>
          <w:p w:rsidR="00C432E8" w:rsidRDefault="00C432E8">
            <w:pPr>
              <w:jc w:val="right"/>
              <w:rPr>
                <w:rFonts w:ascii="Times New Roman" w:eastAsia="仿宋_GB2312" w:hAnsi="Times New Roman" w:cs="Times New Roman"/>
                <w:color w:val="000000"/>
                <w:sz w:val="22"/>
              </w:rPr>
            </w:pPr>
          </w:p>
        </w:tc>
        <w:tc>
          <w:tcPr>
            <w:tcW w:w="1358"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righ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11.83</w:t>
            </w:r>
          </w:p>
        </w:tc>
        <w:tc>
          <w:tcPr>
            <w:tcW w:w="1400" w:type="dxa"/>
            <w:tcBorders>
              <w:top w:val="single" w:sz="4" w:space="0" w:color="000000"/>
              <w:left w:val="single" w:sz="4" w:space="0" w:color="000000"/>
              <w:bottom w:val="single" w:sz="4" w:space="0" w:color="000000"/>
              <w:right w:val="single" w:sz="4" w:space="0" w:color="000000"/>
            </w:tcBorders>
            <w:vAlign w:val="center"/>
          </w:tcPr>
          <w:p w:rsidR="00C432E8" w:rsidRDefault="00000000">
            <w:pPr>
              <w:widowControl/>
              <w:jc w:val="righ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4.70</w:t>
            </w:r>
          </w:p>
        </w:tc>
      </w:tr>
    </w:tbl>
    <w:p w:rsidR="00C432E8"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C432E8" w:rsidRDefault="00C432E8">
      <w:pPr>
        <w:autoSpaceDE w:val="0"/>
        <w:autoSpaceDN w:val="0"/>
        <w:adjustRightInd w:val="0"/>
        <w:ind w:leftChars="150" w:left="315"/>
        <w:jc w:val="left"/>
        <w:rPr>
          <w:rFonts w:ascii="Times New Roman" w:eastAsia="宋体" w:hAnsi="Times New Roman" w:cs="Times New Roman"/>
          <w:kern w:val="0"/>
          <w:sz w:val="24"/>
          <w:szCs w:val="24"/>
        </w:rPr>
      </w:pPr>
    </w:p>
    <w:p w:rsidR="00C432E8" w:rsidRDefault="00C432E8">
      <w:pPr>
        <w:autoSpaceDE w:val="0"/>
        <w:autoSpaceDN w:val="0"/>
        <w:adjustRightInd w:val="0"/>
        <w:ind w:leftChars="150" w:left="315"/>
        <w:jc w:val="left"/>
        <w:rPr>
          <w:rFonts w:ascii="Times New Roman" w:eastAsia="宋体" w:hAnsi="Times New Roman" w:cs="Times New Roman"/>
          <w:kern w:val="0"/>
          <w:sz w:val="24"/>
          <w:szCs w:val="24"/>
        </w:rPr>
      </w:pPr>
    </w:p>
    <w:p w:rsidR="00C432E8" w:rsidRDefault="00C432E8">
      <w:pPr>
        <w:autoSpaceDE w:val="0"/>
        <w:autoSpaceDN w:val="0"/>
        <w:adjustRightInd w:val="0"/>
        <w:ind w:leftChars="150" w:left="315"/>
        <w:jc w:val="left"/>
        <w:rPr>
          <w:rFonts w:ascii="Times New Roman" w:eastAsia="宋体" w:hAnsi="Times New Roman" w:cs="Times New Roman"/>
          <w:kern w:val="0"/>
          <w:sz w:val="24"/>
          <w:szCs w:val="24"/>
        </w:rPr>
      </w:pPr>
    </w:p>
    <w:p w:rsidR="00C432E8" w:rsidRDefault="00C432E8">
      <w:pPr>
        <w:autoSpaceDE w:val="0"/>
        <w:autoSpaceDN w:val="0"/>
        <w:adjustRightInd w:val="0"/>
        <w:ind w:leftChars="150" w:left="315"/>
        <w:jc w:val="left"/>
        <w:rPr>
          <w:rFonts w:ascii="Times New Roman" w:eastAsia="宋体" w:hAnsi="Times New Roman" w:cs="Times New Roman"/>
          <w:kern w:val="0"/>
          <w:sz w:val="24"/>
          <w:szCs w:val="24"/>
        </w:rPr>
      </w:pPr>
    </w:p>
    <w:p w:rsidR="00C432E8" w:rsidRDefault="00C432E8">
      <w:pPr>
        <w:autoSpaceDE w:val="0"/>
        <w:autoSpaceDN w:val="0"/>
        <w:adjustRightInd w:val="0"/>
        <w:ind w:leftChars="150" w:left="315"/>
        <w:jc w:val="left"/>
        <w:rPr>
          <w:rFonts w:ascii="Times New Roman" w:eastAsia="宋体" w:hAnsi="Times New Roman" w:cs="Times New Roman"/>
          <w:kern w:val="0"/>
          <w:sz w:val="24"/>
          <w:szCs w:val="24"/>
        </w:rPr>
      </w:pPr>
    </w:p>
    <w:p w:rsidR="00C432E8" w:rsidRDefault="00000000">
      <w:pPr>
        <w:widowControl/>
        <w:rPr>
          <w:rFonts w:ascii="Times New Roman" w:hAnsi="Times New Roman" w:cs="Times New Roman"/>
          <w:sz w:val="72"/>
          <w:szCs w:val="72"/>
        </w:rPr>
        <w:sectPr w:rsidR="00C432E8">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C432E8" w:rsidRDefault="00C432E8">
      <w:pPr>
        <w:pStyle w:val="Default"/>
        <w:rPr>
          <w:rFonts w:ascii="Times New Roman" w:hAnsi="Times New Roman" w:cs="Times New Roman"/>
          <w:sz w:val="72"/>
          <w:szCs w:val="72"/>
        </w:rPr>
      </w:pPr>
    </w:p>
    <w:p w:rsidR="00C432E8" w:rsidRDefault="00C432E8">
      <w:pPr>
        <w:pStyle w:val="Default"/>
        <w:rPr>
          <w:rFonts w:ascii="Times New Roman" w:hAnsi="Times New Roman" w:cs="Times New Roman"/>
          <w:sz w:val="72"/>
          <w:szCs w:val="72"/>
        </w:rPr>
      </w:pPr>
    </w:p>
    <w:p w:rsidR="00C432E8" w:rsidRDefault="00C432E8">
      <w:pPr>
        <w:pStyle w:val="Default"/>
        <w:rPr>
          <w:rFonts w:ascii="Times New Roman" w:hAnsi="Times New Roman" w:cs="Times New Roman"/>
          <w:sz w:val="72"/>
          <w:szCs w:val="72"/>
        </w:rPr>
      </w:pPr>
    </w:p>
    <w:p w:rsidR="00C432E8" w:rsidRDefault="00C432E8">
      <w:pPr>
        <w:pStyle w:val="Default"/>
        <w:jc w:val="center"/>
        <w:rPr>
          <w:rFonts w:ascii="Times New Roman" w:hAnsi="Times New Roman" w:cs="Times New Roman"/>
          <w:sz w:val="72"/>
          <w:szCs w:val="72"/>
        </w:rPr>
      </w:pPr>
    </w:p>
    <w:p w:rsidR="00C432E8" w:rsidRDefault="00C432E8">
      <w:pPr>
        <w:pStyle w:val="Default"/>
        <w:jc w:val="center"/>
        <w:rPr>
          <w:rFonts w:ascii="Times New Roman" w:eastAsia="方正小标宋_GBK" w:hAnsi="Times New Roman" w:cs="Times New Roman"/>
          <w:sz w:val="72"/>
          <w:szCs w:val="72"/>
        </w:rPr>
      </w:pPr>
    </w:p>
    <w:p w:rsidR="00C432E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C432E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C432E8"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4852.57</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276.19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5.69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，主要是因为人员经费增加。</w:t>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4852.57</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4852.57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4852.57</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4411.27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90.91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441.29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4852.57</w:t>
      </w:r>
      <w:r>
        <w:rPr>
          <w:rFonts w:ascii="Times New Roman" w:eastAsia="仿宋_GB2312" w:hAnsi="Times New Roman" w:cs="Times New Roman"/>
          <w:sz w:val="32"/>
          <w:szCs w:val="32"/>
        </w:rPr>
        <w:t>万元，与上年相比，增加</w:t>
      </w:r>
      <w:proofErr w:type="gramStart"/>
      <w:r>
        <w:rPr>
          <w:rFonts w:ascii="Times New Roman" w:eastAsia="仿宋_GB2312" w:hAnsi="Times New Roman" w:cs="Times New Roman" w:hint="eastAsia"/>
          <w:sz w:val="32"/>
          <w:szCs w:val="32"/>
        </w:rPr>
        <w:t>276.19</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5.69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，主要是因为人员经费增加。</w:t>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C432E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4852.57</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276.19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5.69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主要是因为人员经费增加。</w:t>
      </w:r>
    </w:p>
    <w:p w:rsidR="00C432E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4852.57</w:t>
      </w:r>
      <w:r>
        <w:rPr>
          <w:rFonts w:ascii="Times New Roman" w:eastAsia="仿宋_GB2312" w:hAnsi="Times New Roman" w:cs="Times New Roman"/>
          <w:sz w:val="32"/>
          <w:szCs w:val="32"/>
        </w:rPr>
        <w:t>万元，主要用于以下方面：一般公共服务（</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4015.53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82.75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hint="eastAsia"/>
          <w:sz w:val="32"/>
          <w:szCs w:val="32"/>
        </w:rPr>
        <w:t>208</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425.07</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8.76%</w:t>
      </w:r>
      <w:r>
        <w:rPr>
          <w:rFonts w:ascii="Times New Roman" w:eastAsia="仿宋_GB2312" w:hAnsi="Times New Roman" w:cs="Times New Roman" w:hint="eastAsia"/>
          <w:sz w:val="32"/>
          <w:szCs w:val="32"/>
        </w:rPr>
        <w:t>；卫生健康（</w:t>
      </w:r>
      <w:r>
        <w:rPr>
          <w:rFonts w:ascii="Times New Roman" w:eastAsia="仿宋_GB2312" w:hAnsi="Times New Roman" w:cs="Times New Roman" w:hint="eastAsia"/>
          <w:sz w:val="32"/>
          <w:szCs w:val="32"/>
        </w:rPr>
        <w:t>210</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149.16</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3.07%</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221</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262.80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5.42%</w:t>
      </w:r>
    </w:p>
    <w:p w:rsidR="00C432E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4442.53</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4852.57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109.23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市场监督管理事务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2013801</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3417.15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3574.24</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104.60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人员异动及晋升</w:t>
      </w:r>
      <w:r>
        <w:rPr>
          <w:rFonts w:ascii="Times New Roman" w:eastAsia="仿宋_GB2312" w:hAnsi="Times New Roman" w:cs="Times New Roman"/>
          <w:sz w:val="32"/>
          <w:szCs w:val="32"/>
        </w:rPr>
        <w:t>，人员经费增加。</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市场监督管理事务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2013802</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240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362.94</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151.23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Pr>
          <w:rFonts w:ascii="Times New Roman" w:eastAsia="仿宋_GB2312" w:hAnsi="Times New Roman" w:hint="eastAsia"/>
          <w:sz w:val="32"/>
          <w:szCs w:val="32"/>
        </w:rPr>
        <w:t>本年财政追加预算。</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知识产权事务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20114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其他知识产权事务支出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2011499</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sz w:val="32"/>
          <w:szCs w:val="32"/>
        </w:rPr>
        <w:t>决算数大于年初预算数的主要原因是：</w:t>
      </w:r>
      <w:r>
        <w:rPr>
          <w:rFonts w:ascii="Times New Roman" w:eastAsia="仿宋_GB2312" w:hAnsi="Times New Roman" w:hint="eastAsia"/>
          <w:sz w:val="32"/>
          <w:szCs w:val="32"/>
        </w:rPr>
        <w:t>本年财政追加预算。</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组织事务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2013202</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sz w:val="32"/>
          <w:szCs w:val="32"/>
        </w:rPr>
        <w:t>，决算数大于年初预算数的主要原因是：</w:t>
      </w:r>
      <w:r>
        <w:rPr>
          <w:rFonts w:ascii="Times New Roman" w:eastAsia="仿宋_GB2312" w:hAnsi="Times New Roman" w:hint="eastAsia"/>
          <w:sz w:val="32"/>
          <w:szCs w:val="32"/>
        </w:rPr>
        <w:t>本年财政追加预算。</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市场监督管理事务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药品事务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2013812</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10.03</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sz w:val="32"/>
          <w:szCs w:val="32"/>
        </w:rPr>
        <w:t>，决算数大于年初预算数的主要原因是：</w:t>
      </w:r>
      <w:r>
        <w:rPr>
          <w:rFonts w:ascii="Times New Roman" w:eastAsia="仿宋_GB2312" w:hAnsi="Times New Roman" w:hint="eastAsia"/>
          <w:sz w:val="32"/>
          <w:szCs w:val="32"/>
        </w:rPr>
        <w:t>本年财政下达上级指标。</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市场监督管理事务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食品安全监管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2013816</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6.36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sz w:val="32"/>
          <w:szCs w:val="32"/>
        </w:rPr>
        <w:t>，决算数大于年初预算数的主要原因是：</w:t>
      </w:r>
      <w:r>
        <w:rPr>
          <w:rFonts w:ascii="Times New Roman" w:eastAsia="仿宋_GB2312" w:hAnsi="Times New Roman" w:hint="eastAsia"/>
          <w:sz w:val="32"/>
          <w:szCs w:val="32"/>
        </w:rPr>
        <w:t>本年财政下达上级指标。</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市场监督管理事务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w:t>
      </w:r>
      <w:r>
        <w:rPr>
          <w:rFonts w:ascii="Times New Roman" w:eastAsia="仿宋_GB2312" w:hAnsi="Times New Roman" w:cs="Times New Roman" w:hint="eastAsia"/>
          <w:sz w:val="32"/>
          <w:szCs w:val="32"/>
        </w:rPr>
        <w:lastRenderedPageBreak/>
        <w:t>市场监督管理事务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2013899</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49.56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sz w:val="32"/>
          <w:szCs w:val="32"/>
        </w:rPr>
        <w:t>，决算数大于年初预算数的主要原因是：</w:t>
      </w:r>
      <w:r>
        <w:rPr>
          <w:rFonts w:ascii="Times New Roman" w:eastAsia="仿宋_GB2312" w:hAnsi="Times New Roman" w:hint="eastAsia"/>
          <w:sz w:val="32"/>
          <w:szCs w:val="32"/>
        </w:rPr>
        <w:t>本年财政下达上级指标。</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20805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2080505</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368.26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368.26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决算数与年初预算数持平的主要原因是：严格按预算数执行。</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抚恤</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20808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死亡抚恤</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2080801</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51.81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无法计算百分比，决算数大于年初预算数的主要原因是：本年财政追加预算。</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208</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hint="eastAsia"/>
          <w:sz w:val="32"/>
          <w:szCs w:val="32"/>
        </w:rPr>
        <w:t>20899</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hint="eastAsia"/>
          <w:sz w:val="32"/>
          <w:szCs w:val="32"/>
        </w:rPr>
        <w:t>2089999</w:t>
      </w:r>
      <w:r>
        <w:rPr>
          <w:rFonts w:ascii="Times New Roman" w:eastAsia="仿宋_GB2312" w:hAnsi="Times New Roman" w:cs="Times New Roman" w:hint="eastAsia"/>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无法计算百分比，决算数大于年初预算数的主要原因是：本年财政追加预算。</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210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21011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行政单位医疗</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2101101</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149.16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149.16</w:t>
      </w:r>
      <w:r>
        <w:rPr>
          <w:rFonts w:ascii="Times New Roman" w:eastAsia="仿宋_GB2312" w:hAnsi="Times New Roman" w:cs="Times New Roman"/>
          <w:sz w:val="32"/>
          <w:szCs w:val="32"/>
        </w:rPr>
        <w:t>万元，完成年</w:t>
      </w:r>
      <w:r>
        <w:rPr>
          <w:rFonts w:ascii="Times New Roman" w:eastAsia="仿宋_GB2312" w:hAnsi="Times New Roman" w:cs="Times New Roman"/>
          <w:sz w:val="32"/>
          <w:szCs w:val="32"/>
        </w:rPr>
        <w:lastRenderedPageBreak/>
        <w:t>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决算数与年初预算数持平的主要原因是：严格按预算数执行。</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221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住房改革支出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22102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住房公积金</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2210201</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267.96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262.8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98.07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小</w:t>
      </w:r>
      <w:r>
        <w:rPr>
          <w:rFonts w:ascii="Times New Roman" w:eastAsia="仿宋_GB2312" w:hAnsi="Times New Roman" w:cs="Times New Roman"/>
          <w:sz w:val="32"/>
          <w:szCs w:val="32"/>
        </w:rPr>
        <w:t>于年初预算数的主要原因是：</w:t>
      </w:r>
      <w:r>
        <w:rPr>
          <w:rFonts w:ascii="Times New Roman" w:eastAsia="仿宋_GB2312" w:hAnsi="Times New Roman" w:cs="Times New Roman" w:hint="eastAsia"/>
          <w:sz w:val="32"/>
          <w:szCs w:val="32"/>
        </w:rPr>
        <w:t>人员异动及晋升。</w:t>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4411.27</w:t>
      </w:r>
      <w:r>
        <w:rPr>
          <w:rFonts w:ascii="Times New Roman" w:eastAsia="仿宋_GB2312" w:hAnsi="Times New Roman" w:cs="Times New Roman"/>
          <w:sz w:val="32"/>
          <w:szCs w:val="32"/>
        </w:rPr>
        <w:t>万元，其中：</w:t>
      </w:r>
    </w:p>
    <w:p w:rsidR="00C432E8"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3878.26</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87.92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w:t>
      </w:r>
      <w:r>
        <w:rPr>
          <w:rFonts w:ascii="Times New Roman" w:eastAsia="仿宋_GB2312" w:hAnsi="Times New Roman" w:hint="eastAsia"/>
          <w:sz w:val="32"/>
          <w:szCs w:val="32"/>
        </w:rPr>
        <w:t>机关事业单位基本养老保险缴费、职工基本医疗保险缴费、其他社会保障缴费、住房公积金、其他工资福利支出、抚恤金、生活补助、其他对个人和家庭的补助。</w:t>
      </w:r>
    </w:p>
    <w:p w:rsidR="00C432E8" w:rsidRDefault="00000000">
      <w:pPr>
        <w:pStyle w:val="Default"/>
        <w:overflowPunct w:val="0"/>
        <w:autoSpaceDE/>
        <w:autoSpaceDN/>
        <w:spacing w:line="600" w:lineRule="exact"/>
        <w:ind w:firstLineChars="200" w:firstLine="643"/>
        <w:jc w:val="both"/>
        <w:rPr>
          <w:rFonts w:ascii="Times New Roman" w:eastAsia="楷体" w:hAnsi="Times New Roman" w:cs="Times New Roman"/>
          <w:b/>
          <w:bCs/>
          <w:i/>
          <w:color w:val="auto"/>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533.01</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12.08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Pr>
          <w:rFonts w:ascii="Times New Roman" w:eastAsia="仿宋_GB2312" w:hAnsi="Times New Roman" w:cs="Times New Roman" w:hint="eastAsia"/>
          <w:sz w:val="32"/>
          <w:szCs w:val="32"/>
        </w:rPr>
        <w:t>水费、电费、邮电费、物业管理费、</w:t>
      </w:r>
      <w:r>
        <w:rPr>
          <w:rFonts w:ascii="Times New Roman" w:eastAsia="仿宋_GB2312" w:hAnsi="Times New Roman" w:hint="eastAsia"/>
          <w:sz w:val="32"/>
          <w:szCs w:val="32"/>
        </w:rPr>
        <w:t>差旅费、维修（护）费、租赁费、会议费、公务接待费、劳务费、委托业务费、工会经费、福利费、公务用车运行维护费、其他交通费用、其他商品和服务支出。</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C432E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20.6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16.53</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80.24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6.05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26.79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我局</w:t>
      </w:r>
      <w:r>
        <w:rPr>
          <w:rFonts w:ascii="Times New Roman" w:eastAsia="仿宋_GB2312" w:hAnsi="Times New Roman" w:hint="eastAsia"/>
          <w:sz w:val="32"/>
          <w:szCs w:val="32"/>
        </w:rPr>
        <w:t>加强“三公”经费管理，严控“三公”经费支出</w:t>
      </w:r>
      <w:r>
        <w:rPr>
          <w:rFonts w:ascii="Times New Roman" w:eastAsia="仿宋_GB2312" w:hAnsi="Times New Roman" w:cs="Times New Roman"/>
          <w:sz w:val="32"/>
          <w:szCs w:val="32"/>
        </w:rPr>
        <w:t>。决算数小于上年数的主要原因是</w:t>
      </w:r>
      <w:r>
        <w:rPr>
          <w:rFonts w:ascii="Times New Roman" w:eastAsia="仿宋_GB2312" w:hAnsi="Times New Roman" w:hint="eastAsia"/>
          <w:sz w:val="32"/>
          <w:szCs w:val="32"/>
        </w:rPr>
        <w:t>认真贯彻落实中央八项规定精神和厉行节约要求，从严控制“三公”经费支出</w:t>
      </w:r>
      <w:r>
        <w:rPr>
          <w:rFonts w:ascii="Times New Roman" w:eastAsia="仿宋_GB2312" w:hAnsi="Times New Roman" w:cs="Times New Roman"/>
          <w:sz w:val="32"/>
          <w:szCs w:val="32"/>
        </w:rPr>
        <w:t>。</w:t>
      </w:r>
    </w:p>
    <w:p w:rsidR="00C432E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本单位无</w:t>
      </w:r>
      <w:r>
        <w:rPr>
          <w:rFonts w:ascii="Times New Roman" w:eastAsia="仿宋_GB2312" w:hAnsi="Times New Roman" w:cs="Times New Roman"/>
          <w:sz w:val="32"/>
          <w:szCs w:val="32"/>
        </w:rPr>
        <w:t>因公出国（境）费支出。</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Pr>
          <w:rFonts w:ascii="Times New Roman" w:eastAsia="仿宋_GB2312" w:hAnsi="Times New Roman" w:cs="Times New Roman" w:hint="eastAsia"/>
          <w:sz w:val="32"/>
          <w:szCs w:val="32"/>
        </w:rPr>
        <w:t>。</w:t>
      </w:r>
    </w:p>
    <w:p w:rsidR="00C432E8" w:rsidRDefault="00000000">
      <w:pPr>
        <w:pStyle w:val="Default"/>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14.1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11.83</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83.9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与上年相比持平，无增减变化，无变化的主要原因是我局严格</w:t>
      </w:r>
      <w:r>
        <w:rPr>
          <w:rFonts w:ascii="Times New Roman" w:eastAsia="仿宋_GB2312" w:hAnsi="Times New Roman" w:hint="eastAsia"/>
          <w:color w:val="000000" w:themeColor="text1"/>
          <w:sz w:val="32"/>
          <w:szCs w:val="32"/>
        </w:rPr>
        <w:t>控制了公务用车运行维护费支出</w:t>
      </w:r>
      <w:r>
        <w:rPr>
          <w:rFonts w:ascii="Times New Roman" w:eastAsia="仿宋_GB2312" w:hAnsi="Times New Roman" w:hint="eastAsia"/>
          <w:sz w:val="32"/>
          <w:szCs w:val="32"/>
        </w:rPr>
        <w:t>。</w:t>
      </w:r>
      <w:r>
        <w:rPr>
          <w:rFonts w:ascii="Times New Roman" w:eastAsia="仿宋_GB2312" w:hAnsi="Times New Roman" w:cs="Times New Roman"/>
          <w:sz w:val="32"/>
          <w:szCs w:val="32"/>
        </w:rPr>
        <w:t>其中：</w:t>
      </w:r>
    </w:p>
    <w:p w:rsidR="00C432E8" w:rsidRDefault="00000000">
      <w:pPr>
        <w:pStyle w:val="Default"/>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决算数与预算数持平的主要原因是无公务用车购置费支出，与上年相比持平，无增减变化，无变化的主要原因是无公务用车购置费支出。</w:t>
      </w:r>
      <w:r>
        <w:rPr>
          <w:rFonts w:ascii="Times New Roman" w:eastAsia="仿宋_GB2312" w:hAnsi="Times New Roman" w:cs="Times New Roman"/>
          <w:sz w:val="32"/>
          <w:szCs w:val="32"/>
        </w:rPr>
        <w:t>单位本级更新公务用车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color w:val="000000" w:themeColor="text1"/>
          <w:sz w:val="32"/>
          <w:szCs w:val="32"/>
        </w:rPr>
        <w:t>。</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14.1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11.83</w:t>
      </w:r>
      <w:r>
        <w:rPr>
          <w:rFonts w:ascii="Times New Roman" w:eastAsia="仿宋_GB2312" w:hAnsi="Times New Roman" w:cs="Times New Roman"/>
          <w:sz w:val="32"/>
          <w:szCs w:val="32"/>
        </w:rPr>
        <w:t>万元，</w:t>
      </w:r>
    </w:p>
    <w:p w:rsidR="00C432E8"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lastRenderedPageBreak/>
        <w:t>主要是</w:t>
      </w:r>
      <w:r>
        <w:rPr>
          <w:rFonts w:ascii="Times New Roman" w:eastAsia="仿宋_GB2312" w:hAnsi="Times New Roman" w:cs="Times New Roman" w:hint="eastAsia"/>
          <w:sz w:val="32"/>
          <w:szCs w:val="32"/>
        </w:rPr>
        <w:t>车辆维修、保险费、油卡费等</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83.9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w:t>
      </w:r>
      <w:r>
        <w:rPr>
          <w:rFonts w:ascii="Times New Roman" w:eastAsia="仿宋_GB2312" w:hAnsi="Times New Roman" w:hint="eastAsia"/>
          <w:sz w:val="32"/>
          <w:szCs w:val="32"/>
        </w:rPr>
        <w:t>相比持平，无增减变化</w:t>
      </w:r>
      <w:r>
        <w:rPr>
          <w:rFonts w:ascii="Times New Roman" w:eastAsia="仿宋_GB2312" w:hAnsi="Times New Roman" w:cs="Times New Roman"/>
          <w:sz w:val="32"/>
          <w:szCs w:val="32"/>
        </w:rPr>
        <w:t>。决算数小于预算数的主要原因是</w:t>
      </w:r>
      <w:r>
        <w:rPr>
          <w:rFonts w:ascii="Times New Roman" w:eastAsia="仿宋_GB2312" w:hAnsi="Times New Roman" w:hint="eastAsia"/>
          <w:sz w:val="32"/>
          <w:szCs w:val="32"/>
        </w:rPr>
        <w:t>认真贯彻落实中央八项规定精神和厉行节约要求，从严控制公务用车运行维护费支出</w:t>
      </w:r>
      <w:r>
        <w:rPr>
          <w:rFonts w:ascii="Times New Roman" w:eastAsia="仿宋_GB2312" w:hAnsi="Times New Roman" w:cs="Times New Roman"/>
          <w:sz w:val="32"/>
          <w:szCs w:val="32"/>
        </w:rPr>
        <w:t>。决算数</w:t>
      </w:r>
      <w:r>
        <w:rPr>
          <w:rFonts w:ascii="Times New Roman" w:eastAsia="仿宋_GB2312" w:hAnsi="Times New Roman" w:hint="eastAsia"/>
          <w:sz w:val="32"/>
          <w:szCs w:val="32"/>
        </w:rPr>
        <w:t>与上年相比无变化的主要原因是我局严格</w:t>
      </w:r>
      <w:r>
        <w:rPr>
          <w:rFonts w:ascii="Times New Roman" w:eastAsia="仿宋_GB2312" w:hAnsi="Times New Roman" w:hint="eastAsia"/>
          <w:color w:val="000000" w:themeColor="text1"/>
          <w:sz w:val="32"/>
          <w:szCs w:val="32"/>
        </w:rPr>
        <w:t>控制了公务用车运行维护费支出</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p>
    <w:p w:rsidR="00C432E8" w:rsidRDefault="00000000">
      <w:pPr>
        <w:pStyle w:val="Default"/>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6.5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72.31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6.05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56.28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认真贯彻落实中央八项规定精神和厉行节约要求，从严控制公务接待费支出</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实行归口统一管理，先审批后安排，并明确接待地点和接待标准，凡未经批准或超过决算限额的公务接待一律不予报销。</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个、来宾</w:t>
      </w:r>
      <w:r>
        <w:rPr>
          <w:rFonts w:ascii="Times New Roman" w:eastAsia="仿宋_GB2312" w:hAnsi="Times New Roman" w:cs="Times New Roman"/>
          <w:sz w:val="32"/>
          <w:szCs w:val="32"/>
        </w:rPr>
        <w:t>400</w:t>
      </w:r>
      <w:r>
        <w:rPr>
          <w:rFonts w:ascii="Times New Roman" w:eastAsia="仿宋_GB2312" w:hAnsi="Times New Roman" w:cs="Times New Roman"/>
          <w:sz w:val="32"/>
          <w:szCs w:val="32"/>
        </w:rPr>
        <w:t>人次，主要是公务往来发生的接待支出。</w:t>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年度本单位无政府性基金收支。</w:t>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533.01</w:t>
      </w:r>
      <w:r>
        <w:rPr>
          <w:rFonts w:ascii="Times New Roman" w:eastAsia="仿宋_GB2312" w:hAnsi="Times New Roman" w:cs="Times New Roman"/>
          <w:sz w:val="32"/>
          <w:szCs w:val="32"/>
        </w:rPr>
        <w:t>万元，比年初预算数减少</w:t>
      </w:r>
      <w:r>
        <w:rPr>
          <w:rFonts w:ascii="Times New Roman" w:eastAsia="仿宋_GB2312" w:hAnsi="Times New Roman" w:cs="Times New Roman" w:hint="eastAsia"/>
          <w:sz w:val="32"/>
          <w:szCs w:val="32"/>
        </w:rPr>
        <w:t>158.99</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22.98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单位</w:t>
      </w:r>
      <w:r>
        <w:rPr>
          <w:rFonts w:ascii="Times New Roman" w:eastAsia="仿宋_GB2312" w:hAnsi="Times New Roman" w:hint="eastAsia"/>
          <w:sz w:val="32"/>
          <w:szCs w:val="32"/>
        </w:rPr>
        <w:t>按照政府部门过紧日子要求，节省部分经费的开支。</w:t>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十、一般性支出情况说明</w:t>
      </w:r>
    </w:p>
    <w:p w:rsidR="00C432E8"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0.39</w:t>
      </w:r>
      <w:r>
        <w:rPr>
          <w:rFonts w:ascii="Times New Roman" w:eastAsia="仿宋_GB2312" w:hAnsi="Times New Roman" w:cs="Times New Roman"/>
          <w:sz w:val="32"/>
          <w:szCs w:val="32"/>
        </w:rPr>
        <w:t>万元，用于召开全体党员大</w:t>
      </w:r>
      <w:r>
        <w:rPr>
          <w:rFonts w:ascii="Times New Roman" w:eastAsia="仿宋_GB2312" w:hAnsi="Times New Roman" w:cs="Times New Roman" w:hint="eastAsia"/>
          <w:sz w:val="32"/>
          <w:szCs w:val="32"/>
        </w:rPr>
        <w:t>会</w:t>
      </w:r>
      <w:r>
        <w:rPr>
          <w:rFonts w:ascii="Times New Roman" w:eastAsia="仿宋_GB2312" w:hAnsi="Times New Roman" w:cs="Times New Roman"/>
          <w:sz w:val="32"/>
          <w:szCs w:val="32"/>
        </w:rPr>
        <w:t>，人数</w:t>
      </w:r>
      <w:r>
        <w:rPr>
          <w:rFonts w:ascii="Times New Roman" w:eastAsia="仿宋_GB2312" w:hAnsi="Times New Roman" w:cs="Times New Roman"/>
          <w:sz w:val="32"/>
          <w:szCs w:val="32"/>
        </w:rPr>
        <w:t>198</w:t>
      </w:r>
      <w:r>
        <w:rPr>
          <w:rFonts w:ascii="Times New Roman" w:eastAsia="仿宋_GB2312" w:hAnsi="Times New Roman" w:cs="Times New Roman"/>
          <w:sz w:val="32"/>
          <w:szCs w:val="32"/>
        </w:rPr>
        <w:t>人，内容为机关党委换届选举；开支培训费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未开展培训</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未</w:t>
      </w:r>
      <w:r>
        <w:rPr>
          <w:rFonts w:ascii="Times New Roman" w:eastAsia="仿宋_GB2312" w:hAnsi="Times New Roman" w:cs="Times New Roman"/>
          <w:sz w:val="32"/>
          <w:szCs w:val="32"/>
        </w:rPr>
        <w:t>举办节庆、晚会、论坛、赛事</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活动，开支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C432E8"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422</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92.33</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1.51</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328.15</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365.43</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86.59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359.83</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98.47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82.76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C432E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C432E8"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C432E8"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lastRenderedPageBreak/>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4852.57</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40</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0.82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食药品检测能力建设专项经费</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kern w:val="0"/>
          <w:sz w:val="32"/>
          <w:szCs w:val="32"/>
        </w:rPr>
        <w:t>40</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C432E8"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4442.53</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4852.57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109.23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sz w:val="32"/>
          <w:szCs w:val="32"/>
        </w:rPr>
        <w:t>98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。绩效目标完成情况：年度总体目标基本实现，各绩效指标基本完成。发现的主要问题及原因：一是</w:t>
      </w:r>
      <w:r>
        <w:rPr>
          <w:rFonts w:ascii="Times New Roman" w:eastAsia="仿宋_GB2312" w:hAnsi="Times New Roman" w:cs="Times New Roman" w:hint="eastAsia"/>
          <w:sz w:val="32"/>
          <w:szCs w:val="32"/>
        </w:rPr>
        <w:t>部分食品药品、特种设备经营主体安全意识不强，未能按相关规定全面落实企业主体责任，安全监管形势不能掉以轻心</w:t>
      </w:r>
      <w:r>
        <w:rPr>
          <w:rFonts w:ascii="Times New Roman" w:eastAsia="仿宋_GB2312" w:hAnsi="Times New Roman" w:cs="Times New Roman"/>
          <w:sz w:val="32"/>
          <w:szCs w:val="32"/>
        </w:rPr>
        <w:t>。下一步改进措施：</w:t>
      </w:r>
      <w:r>
        <w:rPr>
          <w:rFonts w:ascii="Times New Roman" w:eastAsia="仿宋_GB2312" w:hAnsi="Times New Roman" w:cs="Times New Roman" w:hint="eastAsia"/>
          <w:sz w:val="32"/>
          <w:szCs w:val="32"/>
        </w:rPr>
        <w:t>加强食品、药品安全监管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强化特种设备安全监管，强化重点工业产品安全监管</w:t>
      </w:r>
      <w:r>
        <w:rPr>
          <w:rFonts w:ascii="Times New Roman" w:eastAsia="仿宋_GB2312" w:hAnsi="Times New Roman" w:cs="Times New Roman"/>
          <w:sz w:val="32"/>
          <w:szCs w:val="32"/>
        </w:rPr>
        <w:t>。</w:t>
      </w:r>
      <w:r>
        <w:rPr>
          <w:rFonts w:ascii="Times New Roman" w:eastAsia="仿宋_GB2312" w:hAnsi="Times New Roman" w:cs="Times New Roman"/>
          <w:b/>
          <w:bCs/>
          <w:kern w:val="0"/>
          <w:sz w:val="32"/>
          <w:szCs w:val="32"/>
        </w:rPr>
        <w:t>二是部门评价结果。</w:t>
      </w:r>
      <w:r>
        <w:rPr>
          <w:rFonts w:ascii="Times New Roman" w:eastAsia="仿宋_GB2312" w:hAnsi="Times New Roman" w:cs="Times New Roman" w:hint="eastAsia"/>
          <w:sz w:val="32"/>
          <w:szCs w:val="32"/>
        </w:rPr>
        <w:t>食品药品检测能力建</w:t>
      </w:r>
      <w:r>
        <w:rPr>
          <w:rFonts w:ascii="Times New Roman" w:eastAsia="仿宋_GB2312" w:hAnsi="Times New Roman" w:cs="Times New Roman" w:hint="eastAsia"/>
          <w:sz w:val="32"/>
          <w:szCs w:val="32"/>
        </w:rPr>
        <w:lastRenderedPageBreak/>
        <w:t>设专项经费</w:t>
      </w:r>
      <w:r>
        <w:rPr>
          <w:rFonts w:ascii="Times New Roman" w:eastAsia="仿宋_GB2312" w:hAnsi="Times New Roman" w:cs="Times New Roman"/>
          <w:sz w:val="32"/>
          <w:szCs w:val="32"/>
        </w:rPr>
        <w:t>项目全年预算数</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万元，执行数</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sz w:val="32"/>
          <w:szCs w:val="32"/>
        </w:rPr>
        <w:t>99</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w:t>
      </w:r>
      <w:r>
        <w:rPr>
          <w:rFonts w:ascii="Times New Roman" w:eastAsia="仿宋_GB2312" w:hAnsi="Times New Roman" w:cs="Times New Roman" w:hint="eastAsia"/>
          <w:sz w:val="32"/>
          <w:szCs w:val="32"/>
        </w:rPr>
        <w:t>部分检验验测设备</w:t>
      </w:r>
      <w:r>
        <w:rPr>
          <w:rFonts w:ascii="仿宋_GB2312" w:eastAsia="仿宋_GB2312" w:hAnsi="仿宋_GB2312" w:cs="仿宋_GB2312" w:hint="eastAsia"/>
          <w:sz w:val="30"/>
          <w:szCs w:val="30"/>
        </w:rPr>
        <w:t>老化</w:t>
      </w:r>
      <w:r>
        <w:rPr>
          <w:rFonts w:ascii="仿宋_GB2312" w:eastAsia="仿宋_GB2312" w:hAnsi="仿宋_GB2312" w:cs="仿宋_GB2312"/>
          <w:sz w:val="30"/>
          <w:szCs w:val="30"/>
        </w:rPr>
        <w:t>，</w:t>
      </w:r>
      <w:r>
        <w:rPr>
          <w:rFonts w:ascii="Times New Roman" w:eastAsia="仿宋_GB2312" w:hAnsi="Times New Roman" w:cs="Times New Roman" w:hint="eastAsia"/>
          <w:sz w:val="32"/>
          <w:szCs w:val="32"/>
        </w:rPr>
        <w:t>检验检测能力不足</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技术支撑能力不强</w:t>
      </w:r>
      <w:r>
        <w:rPr>
          <w:rFonts w:ascii="Times New Roman" w:eastAsia="仿宋_GB2312" w:hAnsi="Times New Roman" w:cs="Times New Roman"/>
          <w:sz w:val="32"/>
          <w:szCs w:val="32"/>
        </w:rPr>
        <w:t>。下一步改进措施：更新</w:t>
      </w:r>
      <w:r>
        <w:rPr>
          <w:rFonts w:ascii="Times New Roman" w:eastAsia="仿宋_GB2312" w:hAnsi="Times New Roman" w:cs="Times New Roman" w:hint="eastAsia"/>
          <w:sz w:val="32"/>
          <w:szCs w:val="32"/>
        </w:rPr>
        <w:t>检验验测设备</w:t>
      </w:r>
      <w:r>
        <w:rPr>
          <w:rFonts w:ascii="Times New Roman" w:eastAsia="仿宋_GB2312" w:hAnsi="Times New Roman" w:cs="Times New Roman"/>
          <w:sz w:val="32"/>
          <w:szCs w:val="32"/>
        </w:rPr>
        <w:t>，提高</w:t>
      </w:r>
      <w:r>
        <w:rPr>
          <w:rFonts w:ascii="Times New Roman" w:eastAsia="仿宋_GB2312" w:hAnsi="Times New Roman" w:cs="Times New Roman" w:hint="eastAsia"/>
          <w:sz w:val="32"/>
          <w:szCs w:val="32"/>
        </w:rPr>
        <w:t>检验检测能力</w:t>
      </w:r>
      <w:r>
        <w:rPr>
          <w:rFonts w:ascii="Times New Roman" w:eastAsia="仿宋_GB2312" w:hAnsi="Times New Roman" w:cs="Times New Roman"/>
          <w:sz w:val="32"/>
          <w:szCs w:val="32"/>
        </w:rPr>
        <w:t>。</w:t>
      </w:r>
      <w:r>
        <w:rPr>
          <w:rFonts w:ascii="Times New Roman" w:eastAsia="仿宋_GB2312" w:hAnsi="Times New Roman" w:cs="Times New Roman"/>
          <w:b/>
          <w:bCs/>
          <w:kern w:val="0"/>
          <w:sz w:val="32"/>
          <w:szCs w:val="32"/>
        </w:rPr>
        <w:t>三是事前绩效评估结果。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rsidR="00C432E8"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楷体_GB2312" w:hAnsi="Times New Roman" w:cs="Times New Roman"/>
          <w:b/>
          <w:bCs/>
          <w:color w:val="auto"/>
          <w:kern w:val="2"/>
          <w:sz w:val="32"/>
          <w:szCs w:val="32"/>
        </w:rPr>
        <w:t>（三）评价结果应用情况。</w:t>
      </w:r>
    </w:p>
    <w:p w:rsidR="00C432E8" w:rsidRDefault="00000000">
      <w:pPr>
        <w:pStyle w:val="a0"/>
        <w:spacing w:line="560" w:lineRule="exact"/>
        <w:ind w:firstLineChars="200" w:firstLine="640"/>
        <w:rPr>
          <w:rFonts w:ascii="Times New Roman" w:hAnsi="Times New Roman" w:cs="Times New Roman"/>
          <w:sz w:val="72"/>
          <w:szCs w:val="72"/>
        </w:rPr>
      </w:pPr>
      <w:r>
        <w:rPr>
          <w:rFonts w:ascii="Times New Roman" w:eastAsia="仿宋_GB2312" w:hAnsi="Times New Roman" w:cs="Times New Roman" w:hint="eastAsia"/>
          <w:sz w:val="32"/>
          <w:szCs w:val="32"/>
        </w:rPr>
        <w:t>我局结合单位实际，根据</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年度业务工作报告及</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实际工作情况，开展绩效自评。对于上年度绩效评价结果提出的需要整改的情况，我局领导高度重视，在评价工作结束后，积极开展整改行动抓落实，对照问题清单，认真填写整改报告书，对问题切实改正，用制度的手段规范资金使用，提升了资金使用效益，为</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绩效评价</w:t>
      </w:r>
      <w:r>
        <w:rPr>
          <w:rFonts w:ascii="Times New Roman" w:eastAsia="仿宋_GB2312" w:hAnsi="Times New Roman" w:cs="Times New Roman"/>
          <w:sz w:val="32"/>
          <w:szCs w:val="32"/>
        </w:rPr>
        <w:t>、预算安排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资金管理等方面</w:t>
      </w:r>
      <w:r>
        <w:rPr>
          <w:rFonts w:ascii="Times New Roman" w:eastAsia="仿宋_GB2312" w:hAnsi="Times New Roman" w:cs="Times New Roman" w:hint="eastAsia"/>
          <w:sz w:val="32"/>
          <w:szCs w:val="32"/>
        </w:rPr>
        <w:t>做好准备。</w:t>
      </w:r>
    </w:p>
    <w:p w:rsidR="00C432E8" w:rsidRDefault="00C432E8">
      <w:pPr>
        <w:pStyle w:val="Default"/>
        <w:spacing w:line="360" w:lineRule="auto"/>
        <w:jc w:val="center"/>
        <w:rPr>
          <w:rFonts w:ascii="Times New Roman" w:eastAsia="方正小标宋_GBK" w:hAnsi="Times New Roman" w:cs="Times New Roman"/>
          <w:sz w:val="52"/>
          <w:szCs w:val="52"/>
        </w:rPr>
      </w:pPr>
    </w:p>
    <w:p w:rsidR="00C432E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C432E8" w:rsidRDefault="00C432E8">
      <w:pPr>
        <w:widowControl/>
        <w:jc w:val="left"/>
        <w:rPr>
          <w:rFonts w:ascii="Times New Roman" w:hAnsi="Times New Roman" w:cs="Times New Roman"/>
          <w:color w:val="000000"/>
          <w:kern w:val="0"/>
          <w:sz w:val="32"/>
          <w:szCs w:val="32"/>
        </w:rPr>
      </w:pPr>
    </w:p>
    <w:p w:rsidR="00C432E8"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5</w:t>
      </w:r>
      <w:r>
        <w:rPr>
          <w:rFonts w:ascii="仿宋" w:eastAsia="仿宋" w:hAnsi="仿宋" w:cs="仿宋" w:hint="eastAsia"/>
          <w:color w:val="000000"/>
          <w:sz w:val="32"/>
          <w:szCs w:val="32"/>
          <w:shd w:val="clear" w:color="auto" w:fill="FFFFFF"/>
        </w:rPr>
        <w:t>、对个人和家庭的补助：反映单位用于对个人和家庭的补助支出。</w:t>
      </w:r>
    </w:p>
    <w:p w:rsidR="00C432E8"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C432E8"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四、“三公”经费科目</w:t>
      </w:r>
    </w:p>
    <w:p w:rsidR="00C432E8"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C432E8"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C432E8"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仿宋" w:eastAsia="仿宋" w:hAnsi="仿宋" w:cs="仿宋"/>
          <w:color w:val="000000"/>
          <w:sz w:val="32"/>
          <w:szCs w:val="32"/>
          <w:shd w:val="clear" w:color="auto" w:fill="FFFFFF"/>
        </w:rPr>
        <w:t>3</w:t>
      </w:r>
      <w:r>
        <w:rPr>
          <w:rFonts w:ascii="仿宋" w:eastAsia="仿宋" w:hAnsi="仿宋" w:cs="仿宋" w:hint="eastAsia"/>
          <w:color w:val="000000"/>
          <w:sz w:val="32"/>
          <w:szCs w:val="32"/>
          <w:shd w:val="clear" w:color="auto" w:fill="FFFFFF"/>
        </w:rPr>
        <w:t>、公务用车购置及运行维护费：反映单位公务用车车辆购置支出（含车辆购置税），以及燃料费、维修费、过路过桥费、保险费等支出。</w:t>
      </w:r>
    </w:p>
    <w:p w:rsidR="00C432E8" w:rsidRDefault="00C432E8">
      <w:pPr>
        <w:pStyle w:val="Default"/>
        <w:jc w:val="center"/>
        <w:rPr>
          <w:rFonts w:ascii="Times New Roman" w:hAnsi="Times New Roman" w:cs="Times New Roman"/>
          <w:sz w:val="72"/>
          <w:szCs w:val="72"/>
        </w:rPr>
      </w:pPr>
    </w:p>
    <w:p w:rsidR="00C432E8" w:rsidRDefault="00C432E8">
      <w:pPr>
        <w:pStyle w:val="Default"/>
        <w:jc w:val="center"/>
        <w:rPr>
          <w:rFonts w:ascii="Times New Roman" w:hAnsi="Times New Roman" w:cs="Times New Roman"/>
          <w:sz w:val="72"/>
          <w:szCs w:val="72"/>
        </w:rPr>
      </w:pPr>
    </w:p>
    <w:p w:rsidR="00C432E8" w:rsidRDefault="00C432E8">
      <w:pPr>
        <w:pStyle w:val="Default"/>
        <w:jc w:val="both"/>
        <w:rPr>
          <w:rFonts w:ascii="Times New Roman" w:hAnsi="Times New Roman" w:cs="Times New Roman"/>
          <w:sz w:val="72"/>
          <w:szCs w:val="72"/>
        </w:rPr>
      </w:pPr>
    </w:p>
    <w:p w:rsidR="00C432E8" w:rsidRDefault="00000000">
      <w:pPr>
        <w:pStyle w:val="Default"/>
        <w:spacing w:line="360" w:lineRule="auto"/>
        <w:jc w:val="center"/>
        <w:rPr>
          <w:rFonts w:ascii="Times New Roman" w:hAnsi="Times New Roman" w:cs="Times New Roman"/>
          <w:sz w:val="72"/>
          <w:szCs w:val="7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C432E8" w:rsidRDefault="00C432E8">
      <w:pPr>
        <w:rPr>
          <w:rFonts w:ascii="黑体" w:eastAsia="黑体" w:hAnsi="黑体" w:cs="黑体" w:hint="eastAsia"/>
          <w:sz w:val="32"/>
          <w:szCs w:val="32"/>
        </w:rPr>
      </w:pPr>
    </w:p>
    <w:p w:rsidR="00C432E8" w:rsidRDefault="00C432E8">
      <w:pPr>
        <w:rPr>
          <w:rFonts w:ascii="方正小标宋简体" w:eastAsia="方正小标宋简体" w:hAnsi="方正小标宋简体" w:cs="方正小标宋简体" w:hint="eastAsia"/>
          <w:sz w:val="36"/>
          <w:szCs w:val="36"/>
        </w:rPr>
      </w:pPr>
    </w:p>
    <w:p w:rsidR="00C432E8" w:rsidRDefault="00C432E8">
      <w:pPr>
        <w:jc w:val="center"/>
        <w:rPr>
          <w:rFonts w:ascii="方正小标宋简体" w:eastAsia="方正小标宋简体" w:hAnsi="方正小标宋简体" w:cs="方正小标宋简体" w:hint="eastAsia"/>
          <w:sz w:val="40"/>
          <w:szCs w:val="40"/>
        </w:rPr>
      </w:pPr>
    </w:p>
    <w:p w:rsidR="00C432E8" w:rsidRDefault="00C432E8">
      <w:pPr>
        <w:rPr>
          <w:rFonts w:ascii="方正小标宋简体" w:eastAsia="方正小标宋简体" w:hAnsi="方正小标宋简体" w:cs="方正小标宋简体" w:hint="eastAsia"/>
          <w:sz w:val="36"/>
          <w:szCs w:val="36"/>
        </w:rPr>
      </w:pPr>
    </w:p>
    <w:p w:rsidR="00C432E8" w:rsidRDefault="00000000">
      <w:pPr>
        <w:spacing w:afterLines="100" w:after="312"/>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br w:type="page"/>
      </w:r>
    </w:p>
    <w:p w:rsidR="00C432E8" w:rsidRDefault="00000000">
      <w:pPr>
        <w:spacing w:line="540" w:lineRule="exact"/>
        <w:ind w:firstLineChars="200" w:firstLine="800"/>
        <w:jc w:val="center"/>
        <w:rPr>
          <w:rFonts w:ascii="Times New Roman" w:eastAsia="仿宋_GB2312" w:hAnsi="Times New Roman" w:cs="Times New Roman"/>
          <w:b/>
          <w:color w:val="000000"/>
          <w:kern w:val="0"/>
          <w:sz w:val="36"/>
          <w:szCs w:val="36"/>
        </w:rPr>
      </w:pPr>
      <w:r>
        <w:rPr>
          <w:rFonts w:ascii="方正小标宋简体" w:eastAsia="方正小标宋简体" w:hAnsi="方正小标宋简体" w:cs="方正小标宋简体"/>
          <w:sz w:val="40"/>
          <w:szCs w:val="40"/>
        </w:rPr>
        <w:lastRenderedPageBreak/>
        <w:t>2024年度部门整体支出绩效自评报告</w:t>
      </w:r>
    </w:p>
    <w:p w:rsidR="00C432E8" w:rsidRDefault="00C432E8">
      <w:pPr>
        <w:spacing w:afterLines="80" w:after="249"/>
        <w:jc w:val="center"/>
        <w:rPr>
          <w:sz w:val="40"/>
          <w:szCs w:val="40"/>
        </w:rPr>
      </w:pPr>
    </w:p>
    <w:p w:rsidR="00C432E8"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一、部门概况</w:t>
      </w:r>
    </w:p>
    <w:p w:rsidR="00C432E8"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（一）部门</w:t>
      </w:r>
      <w:r>
        <w:rPr>
          <w:rFonts w:ascii="Times New Roman" w:eastAsia="楷体_GB2312" w:hAnsi="Times New Roman" w:cs="Times New Roman" w:hint="eastAsia"/>
          <w:b/>
          <w:bCs/>
          <w:sz w:val="32"/>
          <w:szCs w:val="32"/>
        </w:rPr>
        <w:t>职责</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负责市场综合监督管理。贯彻执行国家、省、市有关市场监督管理的方针政策和法律法规，起草市场监督管理地方性法规、规范性文件草案，组织实施质量强市战略、食品安全战略、标准化战略和知识产权战略，拟订并组织实施有关规划，规范和维护市场秩序，营造诚实守信、公平竞争的市场环境。</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负责市场主体统一登记注册。负责全市各类企业、农民专业合作社和从事经营活动的单位、个体工商户等市场主体的登记注册和监督管理工作。建立市场主体信息公示和共享机制，依法公示和共享有关信息，加强信用监管，推动市场主体信用体系建设。</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负责权限范围内食品、药品、医疗器械、化妆品、特种设备、计量器具的许可管理。负责权限内食品生产、流通和餐饮服务环节的行政许可。负责权限内药品流通环节的行政许可。负责权限内医疗器械备案及医疗器械经营环节的行政许可。负责权限内特种设备、计量器具的行政许可及备案工作。</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4、负责组织和指导市场监管综合执法工作。指导全市市场监管综合执法队伍整合和建设，推动实行统一的市场监管。组织查处重大违法案件。规范市场监管行政执法行为。</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5、根据上级委托负责反垄断工作。统筹推进竞争政策实施，</w:t>
      </w:r>
      <w:r>
        <w:rPr>
          <w:rFonts w:ascii="仿宋_GB2312" w:eastAsia="仿宋_GB2312" w:hAnsi="仿宋_GB2312" w:cs="仿宋_GB2312" w:hint="eastAsia"/>
          <w:sz w:val="30"/>
          <w:szCs w:val="30"/>
        </w:rPr>
        <w:lastRenderedPageBreak/>
        <w:t>组织实施公平竞争审查制度。根据委托依法对经营者集中行为进行反垄断审查，根据委托负责承担垄断协议、滥用市场支配地位和滥用行政权力排除、限制竞争等反垄断执法工作。</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6、负责监督管理市场秩序。依法监督管理市场交易、网络商品交易及有关服务的行为。组织指导查处价格收费违法违规、不正当竞争、违法直销、传销、侵犯商标专利知识产权和制售假冒伪劣行为。指导广告业的发展，监督管理广告活动。指导依法查处无照生产经营和相关无证生产经营行为。</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7、负责宏观质量管理。拟订并组织实施质量强市发展的制度措施，会同有关部门组织实施较大工程设备质量监理制度，组织较大产品质量事故调查，贯彻实施缺陷产品召回制度，监督管理产品防伪工作。</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8、负责产品质量安全监督管理。管理产品质量安全风险监控、全市监督抽查工作，落实质量分级制度、质量安全追溯制度。负责工业产品生产许可管理。负责纤维质量监督工作。</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9、负责特种设备安全监督管理。综合管理特种设备安全监察、监督工作，监督检查高耗能特种设备节能标准和锅炉环境保护标准的执行情况。按规定权限组织调查处理特种设备事故并进行统计分析。</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10、负责食品安全监督管理综合协调。组织制定食品安全有关政策措施并组织实施。负责食品安全应急体系建设，组织指导较大食品安全事件应急处置和调查处理工作。建立健全食品安全重要信息直报制度。承担市食品安全委员会日常工作。</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11、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12、负责统一管理计量工作。推行法定计量单位和国家计量制度，依职责管理计量器具及量值传递和比对工作。规范、监督商品量和市场计量行为。</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13、负责统一管理标准化工作。指导开展标准化试点示范工作。依据法定职责，对标准的制定进行指导监督，对标准的实施进行监督检查。推行采用国际标准。</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14、负责统一管理检验检测工作。规范检验检测市场，完善检验检测体系，指导协调检验检测行业发展。</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15、负责统一管理、监督和综合协调全市认证认可工作。依法监督管理全市认证认可和合格评定有关活动。</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16、负责市场监督管理、知识产权领域科技和信息化建设、新闻宣传、对外交流与合作。按规定承担技术性贸易措施有关工作。</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17、负责实施知识产权战略，推进知识产权强市建设。组织制定实施知识产权创造、保护、运用的政策措施。负责知识产权公共服务体系建设、推动知识产权信息传播利用。统筹协调涉外知识产权有关事宜。</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18、负责保护知识产权。落实严格保护商标、专利、原产地地</w:t>
      </w:r>
      <w:r>
        <w:rPr>
          <w:rFonts w:ascii="仿宋_GB2312" w:eastAsia="仿宋_GB2312" w:hAnsi="仿宋_GB2312" w:cs="仿宋_GB2312" w:hint="eastAsia"/>
          <w:sz w:val="30"/>
          <w:szCs w:val="30"/>
        </w:rPr>
        <w:lastRenderedPageBreak/>
        <w:t>理标志等相关工作，负责知识产权保护体系建设，组织指导商标、专利执法工作。</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19、负责知识产权创造运用。按权限负责商标、专利和原产地地理标志的管理，开展知识产权运营体系建设和知识产权评议工作，规范知识产权交易和无形资产评估，促进知识产权转移转化。</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20、负责组织开展有关服务领域消费维权工作，查处制售假冒伪劣等违法行为，指导消费者咨询、申诉、举报受理、处理和网络体系建设等工作，保护经营者、消费者合法权益。</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21、负责职责范围内的药品、医疗器械和化妆品的质量管理。监督实施药品、医疗器械、化妆品标准和分类管理制度，配合有关部门实施国家基本药物制度。监督实施药品经营质量管理规范，监督实施医疗器械经营、使用质量管理规范，监督实施化妆品经营、使用卫生标准和技术规范。</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22、负责职责范围内药品、医疗器械和化妆品上市后风险管理。指导开展药品不良反应、医疗器械不良事件的监测和处置工作。依法承担药品、医疗器械和化妆品安全应急管理工作。</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23、负责组织实施职责范围内药品、医疗器械和化妆品监督检查。制定检查制度，依法查处药品零售、医疗器械和化妆品经营环节违法行为，以及药品、医疗器械使用环节违法行为。依职责组织指导查处其他环节违法行为。</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24、负责市委组织部门安排的小微企业、个体工商户、专业市场的党建工作，指导全市相关工作。</w:t>
      </w:r>
    </w:p>
    <w:p w:rsidR="00C432E8" w:rsidRDefault="00000000">
      <w:pPr>
        <w:pStyle w:val="ad"/>
        <w:spacing w:line="56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25、完成市委、市人民政府交办的其他任务。</w:t>
      </w:r>
    </w:p>
    <w:p w:rsidR="00C432E8" w:rsidRDefault="00000000">
      <w:pPr>
        <w:pStyle w:val="ac"/>
        <w:widowControl/>
        <w:spacing w:before="0" w:beforeAutospacing="0" w:after="0" w:line="560" w:lineRule="exact"/>
        <w:ind w:firstLineChars="200" w:firstLine="602"/>
        <w:jc w:val="both"/>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lastRenderedPageBreak/>
        <w:t>（二）机构设置</w:t>
      </w:r>
    </w:p>
    <w:p w:rsidR="00C432E8" w:rsidRDefault="00000000">
      <w:pPr>
        <w:pStyle w:val="ac"/>
        <w:widowControl/>
        <w:spacing w:before="0" w:beforeAutospacing="0" w:after="0" w:line="560" w:lineRule="exact"/>
        <w:ind w:firstLineChars="200" w:firstLine="600"/>
        <w:jc w:val="both"/>
        <w:rPr>
          <w:rFonts w:ascii="Times New Roman" w:eastAsia="楷体_GB2312" w:hAnsi="Times New Roman"/>
          <w:b/>
          <w:bCs/>
          <w:sz w:val="32"/>
          <w:szCs w:val="32"/>
        </w:rPr>
      </w:pPr>
      <w:r>
        <w:rPr>
          <w:rFonts w:ascii="仿宋_GB2312" w:eastAsia="仿宋_GB2312" w:hAnsi="仿宋_GB2312" w:cs="仿宋_GB2312" w:hint="eastAsia"/>
          <w:sz w:val="30"/>
          <w:szCs w:val="30"/>
        </w:rPr>
        <w:t>祁阳市市场监督管理局</w:t>
      </w:r>
      <w:r>
        <w:rPr>
          <w:rFonts w:ascii="仿宋_GB2312" w:eastAsia="仿宋_GB2312" w:hAnsi="仿宋_GB2312" w:cs="仿宋_GB2312" w:hint="eastAsia"/>
          <w:bCs/>
          <w:sz w:val="30"/>
          <w:szCs w:val="30"/>
        </w:rPr>
        <w:t>属财政全额拨款的正科级单位，</w:t>
      </w:r>
      <w:r>
        <w:rPr>
          <w:rFonts w:ascii="仿宋_GB2312" w:eastAsia="仿宋_GB2312" w:hAnsi="仿宋_GB2312" w:cs="仿宋_GB2312" w:hint="eastAsia"/>
          <w:sz w:val="30"/>
          <w:szCs w:val="30"/>
        </w:rPr>
        <w:t>内设机构包括：办公室、人事股、科技和财务股、政策法规股、行政审批股、信用监督管理股、网络交易监督管理股、广告监督管理股、消费者权益保护股（投诉举报办公室）、质量发展与安全管理股、食品安全协调股、食品生产安全监督管理股、餐饮服务食品安全监督管理股、食品流通安全监督管理股、特殊食品安全及化妆品监督管理股、特种设备安全监察股（安全生产办公室）、计量股、标准化与认证认可监督管理股、药品与医疗器械监督管理股、知识产权、监督管理股非公有制经济组织党建办公室共21个职能股室、价格监督检查和反不正当竞争分局（规范直销与打击传销办公室、反垄断办公室）1个直属分局、市食品药品稽查大队等7个事业单位，下设浯溪、长虹、龙山、白水、黎家坪、文明铺、进宝塘、三口塘、潘市9个基层监督管理所。截至2024年底</w:t>
      </w:r>
      <w:r>
        <w:rPr>
          <w:rFonts w:ascii="仿宋_GB2312" w:eastAsia="仿宋_GB2312" w:hAnsi="仿宋_GB2312" w:cs="仿宋_GB2312" w:hint="eastAsia"/>
          <w:bCs/>
          <w:sz w:val="30"/>
          <w:szCs w:val="30"/>
        </w:rPr>
        <w:t>局机关共有人员编制349个，实有在职干部职工289人。</w:t>
      </w:r>
    </w:p>
    <w:p w:rsidR="00C432E8"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二、部门（单位）整体支出管理及使用情况</w:t>
      </w:r>
    </w:p>
    <w:p w:rsidR="00C432E8" w:rsidRDefault="00000000">
      <w:pPr>
        <w:pStyle w:val="ac"/>
        <w:widowControl/>
        <w:spacing w:before="0" w:beforeAutospacing="0" w:after="0" w:line="560" w:lineRule="exact"/>
        <w:ind w:firstLineChars="200" w:firstLine="600"/>
        <w:jc w:val="both"/>
        <w:rPr>
          <w:rFonts w:ascii="Times New Roman" w:eastAsia="楷体_GB2312" w:hAnsi="Times New Roman"/>
          <w:b/>
          <w:bCs/>
          <w:sz w:val="32"/>
          <w:szCs w:val="32"/>
        </w:rPr>
      </w:pPr>
      <w:r>
        <w:rPr>
          <w:rFonts w:ascii="仿宋_GB2312" w:eastAsia="仿宋_GB2312" w:hAnsi="仿宋_GB2312" w:cs="仿宋_GB2312" w:hint="eastAsia"/>
          <w:bCs/>
          <w:sz w:val="30"/>
          <w:szCs w:val="30"/>
        </w:rPr>
        <w:t>2024年度本单位部门支出4852.57万元。包括：</w:t>
      </w:r>
    </w:p>
    <w:p w:rsidR="00C432E8" w:rsidRDefault="00000000">
      <w:pPr>
        <w:spacing w:line="560" w:lineRule="exact"/>
        <w:ind w:firstLineChars="200" w:firstLine="602"/>
        <w:rPr>
          <w:rFonts w:ascii="Times New Roman" w:eastAsia="楷体_GB2312" w:hAnsi="Times New Roman" w:cs="Times New Roman"/>
          <w:b/>
          <w:bCs/>
          <w:sz w:val="32"/>
          <w:szCs w:val="32"/>
        </w:rPr>
      </w:pPr>
      <w:r>
        <w:rPr>
          <w:rFonts w:ascii="仿宋_GB2312" w:eastAsia="仿宋_GB2312" w:hAnsi="仿宋_GB2312" w:cs="仿宋_GB2312" w:hint="eastAsia"/>
          <w:b/>
          <w:kern w:val="0"/>
          <w:sz w:val="30"/>
          <w:szCs w:val="30"/>
          <w:lang w:bidi="ar"/>
        </w:rPr>
        <w:t>（一）</w:t>
      </w:r>
      <w:r>
        <w:rPr>
          <w:rFonts w:ascii="仿宋_GB2312" w:eastAsia="仿宋_GB2312" w:hAnsi="仿宋_GB2312" w:cs="仿宋_GB2312"/>
          <w:b/>
          <w:kern w:val="0"/>
          <w:sz w:val="30"/>
          <w:szCs w:val="30"/>
          <w:lang w:bidi="ar"/>
        </w:rPr>
        <w:t>基本支出</w:t>
      </w:r>
    </w:p>
    <w:p w:rsidR="00C432E8" w:rsidRDefault="00000000">
      <w:pPr>
        <w:spacing w:line="560" w:lineRule="exact"/>
        <w:ind w:firstLineChars="200" w:firstLine="600"/>
        <w:rPr>
          <w:rFonts w:ascii="Times New Roman" w:eastAsia="楷体_GB2312" w:hAnsi="Times New Roman" w:cs="Times New Roman"/>
          <w:b/>
          <w:bCs/>
          <w:sz w:val="32"/>
          <w:szCs w:val="32"/>
        </w:rPr>
      </w:pPr>
      <w:r>
        <w:rPr>
          <w:rFonts w:ascii="仿宋_GB2312" w:eastAsia="仿宋_GB2312" w:hAnsi="仿宋_GB2312" w:cs="仿宋_GB2312" w:hint="eastAsia"/>
          <w:bCs/>
          <w:kern w:val="0"/>
          <w:sz w:val="30"/>
          <w:szCs w:val="30"/>
        </w:rPr>
        <w:t>基本支出4411.27万元，其中：1、人员经费3878.26万元，占基本支出87.92%。主要用于基本工资、津贴补贴、</w:t>
      </w:r>
      <w:r>
        <w:rPr>
          <w:rFonts w:ascii="仿宋_GB2312" w:eastAsia="仿宋_GB2312" w:hAnsi="仿宋_GB2312" w:cs="仿宋_GB2312" w:hint="eastAsia"/>
          <w:bCs/>
          <w:kern w:val="0"/>
          <w:sz w:val="30"/>
          <w:szCs w:val="30"/>
          <w:lang w:val="zh-CN"/>
        </w:rPr>
        <w:t>奖金、伙食补助费、绩效工资、机关事业单位基本养老保险缴费、职业年金缴费、职工基本医疗保险缴费、其他社会保障缴费、住房公积金、其</w:t>
      </w:r>
      <w:r>
        <w:rPr>
          <w:rFonts w:ascii="仿宋_GB2312" w:eastAsia="仿宋_GB2312" w:hAnsi="仿宋_GB2312" w:cs="仿宋_GB2312" w:hint="eastAsia"/>
          <w:bCs/>
          <w:kern w:val="0"/>
          <w:sz w:val="30"/>
          <w:szCs w:val="30"/>
          <w:lang w:val="zh-CN"/>
        </w:rPr>
        <w:lastRenderedPageBreak/>
        <w:t>他工资福利支出、离休费、退休费、抚恤金、生活补助、医疗费补助、奖励金、其他对个人和家庭的补助</w:t>
      </w:r>
      <w:r>
        <w:rPr>
          <w:rFonts w:ascii="仿宋_GB2312" w:eastAsia="仿宋_GB2312" w:hAnsi="仿宋_GB2312" w:cs="仿宋_GB2312" w:hint="eastAsia"/>
          <w:bCs/>
          <w:kern w:val="0"/>
          <w:sz w:val="30"/>
          <w:szCs w:val="30"/>
        </w:rPr>
        <w:t>；2、</w:t>
      </w:r>
      <w:r>
        <w:rPr>
          <w:rFonts w:ascii="仿宋_GB2312" w:eastAsia="仿宋_GB2312" w:hAnsi="Times New Roman" w:cs="黑体" w:hint="eastAsia"/>
          <w:kern w:val="0"/>
          <w:sz w:val="32"/>
          <w:szCs w:val="32"/>
        </w:rPr>
        <w:t>一般商品和服务支出</w:t>
      </w:r>
      <w:r>
        <w:rPr>
          <w:rFonts w:ascii="仿宋_GB2312" w:eastAsia="仿宋_GB2312" w:hAnsi="仿宋_GB2312" w:cs="仿宋_GB2312" w:hint="eastAsia"/>
          <w:bCs/>
          <w:kern w:val="0"/>
          <w:sz w:val="30"/>
          <w:szCs w:val="30"/>
        </w:rPr>
        <w:t>533.01万元，占基本支出的12.08%。主要用于办公费、印刷费、咨询费、手续费、水费、电费、邮电费、取暖费、物业管理费、差旅费、维修（护）费、租赁费、会议费、培训费、公务接待费、专用材料费、劳务费、委托业务费、工会经费、福利费、其他交通费用、其他商品和服务支出、办公设备购置、专用设备购置等。</w:t>
      </w:r>
    </w:p>
    <w:p w:rsidR="00C432E8" w:rsidRDefault="00000000">
      <w:pPr>
        <w:pStyle w:val="ac"/>
        <w:widowControl/>
        <w:spacing w:before="0" w:beforeAutospacing="0" w:after="0" w:line="560" w:lineRule="exact"/>
        <w:ind w:firstLineChars="200" w:firstLine="602"/>
        <w:jc w:val="both"/>
        <w:rPr>
          <w:rFonts w:ascii="仿宋_GB2312" w:eastAsia="仿宋_GB2312" w:hAnsi="仿宋_GB2312" w:cs="仿宋_GB2312" w:hint="eastAsia"/>
          <w:b/>
          <w:sz w:val="30"/>
          <w:szCs w:val="30"/>
        </w:rPr>
      </w:pPr>
      <w:r>
        <w:rPr>
          <w:rFonts w:ascii="仿宋_GB2312" w:eastAsia="仿宋_GB2312" w:hAnsi="仿宋_GB2312" w:cs="仿宋_GB2312"/>
          <w:b/>
          <w:sz w:val="30"/>
          <w:szCs w:val="30"/>
        </w:rPr>
        <w:t>（二）项目支出</w:t>
      </w:r>
    </w:p>
    <w:p w:rsidR="00C432E8" w:rsidRDefault="00000000">
      <w:pPr>
        <w:pStyle w:val="ac"/>
        <w:spacing w:before="0" w:beforeAutospacing="0" w:after="0" w:afterAutospacing="0" w:line="560" w:lineRule="exac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sz w:val="30"/>
          <w:szCs w:val="30"/>
        </w:rPr>
        <w:t>项目</w:t>
      </w:r>
      <w:r>
        <w:rPr>
          <w:rFonts w:ascii="仿宋_GB2312" w:eastAsia="仿宋_GB2312" w:hAnsi="仿宋_GB2312" w:cs="仿宋_GB2312" w:hint="eastAsia"/>
          <w:sz w:val="30"/>
          <w:szCs w:val="30"/>
        </w:rPr>
        <w:t>支出基本情况</w:t>
      </w:r>
    </w:p>
    <w:p w:rsidR="00C432E8" w:rsidRDefault="00000000">
      <w:pPr>
        <w:pStyle w:val="ac"/>
        <w:spacing w:before="0" w:beforeAutospacing="0" w:after="0" w:afterAutospacing="0" w:line="560" w:lineRule="exact"/>
        <w:ind w:firstLineChars="200" w:firstLine="600"/>
        <w:jc w:val="both"/>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2024年项目资金实际支出441.29万元，其中一是业务工作经费401.29元，用于市场监督管理工作的各项支出包括：开展食品监督管理、食品安全知识宣传、药品不良反应监测、药品医疗器械企业监管、知识产权战略、星级所创建、基础能力建设、检验检测能力提升、消费者权益保护、特种设备安全监管、食品药品检验检测能力提升、产商品质量与风险监测、价格监督检查、打击传销、反不正当竞争、广告管理、工业企业产品定期检验、市场流通领域监管、网络市场监管、食品示范市创建等；二是本级专项资金食药品检测能力建设专项经费40万元，用于食品药品检测能力提高，保障食品药品市场安全。</w:t>
      </w:r>
    </w:p>
    <w:p w:rsidR="00C432E8" w:rsidRDefault="00000000">
      <w:pPr>
        <w:pStyle w:val="ac"/>
        <w:spacing w:before="0" w:beforeAutospacing="0" w:after="0" w:afterAutospacing="0" w:line="560" w:lineRule="exac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sz w:val="30"/>
          <w:szCs w:val="30"/>
        </w:rPr>
        <w:t>项目资金</w:t>
      </w:r>
      <w:r>
        <w:rPr>
          <w:rFonts w:ascii="仿宋_GB2312" w:eastAsia="仿宋_GB2312" w:hAnsi="仿宋_GB2312" w:cs="仿宋_GB2312" w:hint="eastAsia"/>
          <w:sz w:val="30"/>
          <w:szCs w:val="30"/>
        </w:rPr>
        <w:t>安排和</w:t>
      </w:r>
      <w:r>
        <w:rPr>
          <w:rFonts w:ascii="仿宋_GB2312" w:eastAsia="仿宋_GB2312" w:hAnsi="仿宋_GB2312" w:cs="仿宋_GB2312"/>
          <w:sz w:val="30"/>
          <w:szCs w:val="30"/>
        </w:rPr>
        <w:t>实际使用情况分析</w:t>
      </w:r>
    </w:p>
    <w:p w:rsidR="00C432E8" w:rsidRDefault="00000000">
      <w:pPr>
        <w:pStyle w:val="ac"/>
        <w:spacing w:before="0" w:beforeAutospacing="0" w:after="0" w:afterAutospacing="0" w:line="560" w:lineRule="exact"/>
        <w:ind w:firstLineChars="200" w:firstLine="600"/>
        <w:jc w:val="both"/>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我单位认真贯彻落实相关文件，在项目资金使用中各司其职，分级管理，规范使用资金，严肃财经纪律，从严控制资金使用，专项资金用于强化市场监管各项工作，确保各专项资金绩效指标在规定期限内完成。</w:t>
      </w:r>
    </w:p>
    <w:p w:rsidR="00C432E8" w:rsidRDefault="00000000">
      <w:pPr>
        <w:pStyle w:val="ac"/>
        <w:spacing w:before="0" w:beforeAutospacing="0" w:after="0" w:afterAutospacing="0" w:line="560" w:lineRule="exact"/>
        <w:ind w:leftChars="200" w:left="42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3.</w:t>
      </w:r>
      <w:r>
        <w:rPr>
          <w:rFonts w:ascii="仿宋_GB2312" w:eastAsia="仿宋_GB2312" w:hAnsi="仿宋_GB2312" w:cs="仿宋_GB2312"/>
          <w:sz w:val="30"/>
          <w:szCs w:val="30"/>
        </w:rPr>
        <w:t>项目资金</w:t>
      </w:r>
      <w:r>
        <w:rPr>
          <w:rFonts w:ascii="仿宋_GB2312" w:eastAsia="仿宋_GB2312" w:hAnsi="仿宋_GB2312" w:cs="仿宋_GB2312" w:hint="eastAsia"/>
          <w:sz w:val="30"/>
          <w:szCs w:val="30"/>
        </w:rPr>
        <w:t>绩效情况分析</w:t>
      </w:r>
    </w:p>
    <w:p w:rsidR="00C432E8" w:rsidRDefault="00000000">
      <w:pPr>
        <w:pStyle w:val="ac"/>
        <w:spacing w:before="0" w:beforeAutospacing="0" w:after="0" w:afterAutospacing="0" w:line="560" w:lineRule="exact"/>
        <w:ind w:firstLineChars="200" w:firstLine="600"/>
        <w:jc w:val="both"/>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根据专项资金分配方案，我局建立了专项资金管理制度，确保专项资金及时到位，执法办案取得实效。具体如下：市本级食品药品检测能力建设专项经费40万元，食品安全监督抽检完成2363批次，任务完成率为101.63%，其中合格2284批次，合格率为96.66%。</w:t>
      </w:r>
    </w:p>
    <w:p w:rsidR="00C432E8"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三、部门整体支出绩效情况</w:t>
      </w:r>
    </w:p>
    <w:p w:rsidR="00C432E8" w:rsidRDefault="00000000">
      <w:pPr>
        <w:spacing w:line="560" w:lineRule="exact"/>
        <w:ind w:firstLineChars="200" w:firstLine="602"/>
        <w:rPr>
          <w:rFonts w:ascii="仿宋_GB2312" w:eastAsia="仿宋_GB2312" w:hAnsi="仿宋_GB2312" w:cs="仿宋_GB2312" w:hint="eastAsia"/>
          <w:sz w:val="30"/>
          <w:szCs w:val="30"/>
          <w:lang w:bidi="ar"/>
        </w:rPr>
      </w:pPr>
      <w:r>
        <w:rPr>
          <w:rFonts w:ascii="仿宋_GB2312" w:eastAsia="仿宋_GB2312" w:hAnsi="仿宋_GB2312" w:cs="仿宋_GB2312" w:hint="eastAsia"/>
          <w:b/>
          <w:kern w:val="0"/>
          <w:sz w:val="30"/>
          <w:szCs w:val="30"/>
          <w:lang w:bidi="ar"/>
        </w:rPr>
        <w:t>（一）深化商事改革。</w:t>
      </w:r>
      <w:r>
        <w:rPr>
          <w:rFonts w:ascii="仿宋_GB2312" w:eastAsia="仿宋_GB2312" w:hAnsi="仿宋_GB2312" w:cs="仿宋_GB2312" w:hint="eastAsia"/>
          <w:sz w:val="30"/>
          <w:szCs w:val="30"/>
          <w:lang w:bidi="ar"/>
        </w:rPr>
        <w:t>推行便民举措，提高登记注册便利度，取消企业名称预先核准，压缩企业开办时间，企业设立登记仅需1天，最短可在1个小时内办结。推进“企业开办全程网上办”“证照合一”和市场主体准入“一业一照”“一照通”改革。截至11月28日，全市实有经营主体69811户，净增4081户，预期4374户，完成率93.30%。其中企业实有15217户，净增1501户，预期1450户，完成率103.5%，个转企178户，预期124户，完成率143.55%。</w:t>
      </w:r>
    </w:p>
    <w:p w:rsidR="00C432E8" w:rsidRDefault="00000000">
      <w:pPr>
        <w:spacing w:line="560" w:lineRule="exact"/>
        <w:ind w:firstLineChars="200" w:firstLine="602"/>
        <w:rPr>
          <w:rFonts w:ascii="仿宋_GB2312" w:eastAsia="仿宋_GB2312" w:hAnsi="仿宋_GB2312" w:cs="仿宋_GB2312" w:hint="eastAsia"/>
          <w:sz w:val="30"/>
          <w:szCs w:val="30"/>
          <w:lang w:bidi="ar"/>
        </w:rPr>
      </w:pPr>
      <w:r>
        <w:rPr>
          <w:rFonts w:ascii="仿宋_GB2312" w:eastAsia="仿宋_GB2312" w:hAnsi="仿宋_GB2312" w:cs="仿宋_GB2312" w:hint="eastAsia"/>
          <w:b/>
          <w:kern w:val="0"/>
          <w:sz w:val="30"/>
          <w:szCs w:val="30"/>
          <w:lang w:bidi="ar"/>
        </w:rPr>
        <w:t>（二）强化公平审查。</w:t>
      </w:r>
      <w:r>
        <w:rPr>
          <w:rFonts w:ascii="仿宋_GB2312" w:eastAsia="仿宋_GB2312" w:hAnsi="仿宋_GB2312" w:cs="仿宋_GB2312" w:hint="eastAsia"/>
          <w:sz w:val="30"/>
          <w:szCs w:val="30"/>
          <w:lang w:bidi="ar"/>
        </w:rPr>
        <w:t>以打造全省公平竞争审查高水平样板为目标，不断完善审查机制。扎实开展专项清理工作，组织开展政策措施清理行动，各成员单位审查质量不断提高，能够做到“实时审查”，常态化开展县本级业务培训。</w:t>
      </w:r>
    </w:p>
    <w:p w:rsidR="00C432E8" w:rsidRDefault="00000000">
      <w:pPr>
        <w:spacing w:line="560" w:lineRule="exact"/>
        <w:ind w:firstLineChars="200" w:firstLine="602"/>
        <w:rPr>
          <w:rFonts w:ascii="仿宋_GB2312" w:eastAsia="仿宋_GB2312" w:hAnsi="仿宋_GB2312" w:cs="仿宋_GB2312" w:hint="eastAsia"/>
          <w:sz w:val="30"/>
          <w:szCs w:val="30"/>
          <w:lang w:bidi="ar"/>
        </w:rPr>
      </w:pPr>
      <w:r>
        <w:rPr>
          <w:rFonts w:ascii="仿宋_GB2312" w:eastAsia="仿宋_GB2312" w:hAnsi="仿宋_GB2312" w:cs="仿宋_GB2312" w:hint="eastAsia"/>
          <w:b/>
          <w:kern w:val="0"/>
          <w:sz w:val="30"/>
          <w:szCs w:val="30"/>
          <w:lang w:bidi="ar"/>
        </w:rPr>
        <w:t>（三）夯实监管举措。</w:t>
      </w:r>
      <w:r>
        <w:rPr>
          <w:rFonts w:ascii="仿宋_GB2312" w:eastAsia="仿宋_GB2312" w:hAnsi="仿宋_GB2312" w:cs="仿宋_GB2312" w:hint="eastAsia"/>
          <w:sz w:val="30"/>
          <w:szCs w:val="30"/>
          <w:lang w:bidi="ar"/>
        </w:rPr>
        <w:t>推进“双随机</w:t>
      </w:r>
      <w:r w:rsidR="00B720C1">
        <w:rPr>
          <w:rFonts w:ascii="仿宋_GB2312" w:eastAsia="仿宋_GB2312" w:hAnsi="仿宋_GB2312" w:cs="仿宋_GB2312" w:hint="eastAsia"/>
          <w:sz w:val="30"/>
          <w:szCs w:val="30"/>
          <w:lang w:bidi="ar"/>
        </w:rPr>
        <w:t>、</w:t>
      </w:r>
      <w:r>
        <w:rPr>
          <w:rFonts w:ascii="仿宋_GB2312" w:eastAsia="仿宋_GB2312" w:hAnsi="仿宋_GB2312" w:cs="仿宋_GB2312" w:hint="eastAsia"/>
          <w:sz w:val="30"/>
          <w:szCs w:val="30"/>
          <w:lang w:bidi="ar"/>
        </w:rPr>
        <w:t>一公开”监管。制定或接收双随机抽查任务212项，均已启动并完成，其中跨部门联合抽查任务138项，完成比例为65.09%。抽取检查人员862人，应检查对象1330个，已全部录入并公示检查结果，完成公示率达100%。市场主体年报常抓常好。2023年度企业、个体、农专年报率99.46%、99.85%、98.26%，企业年报非零值率99.25%。实施联合惩戒，规</w:t>
      </w:r>
      <w:r>
        <w:rPr>
          <w:rFonts w:ascii="仿宋_GB2312" w:eastAsia="仿宋_GB2312" w:hAnsi="仿宋_GB2312" w:cs="仿宋_GB2312" w:hint="eastAsia"/>
          <w:sz w:val="30"/>
          <w:szCs w:val="30"/>
          <w:lang w:bidi="ar"/>
        </w:rPr>
        <w:lastRenderedPageBreak/>
        <w:t>范信用修复，公示异常名录列入信息81条，列入严重违法失信名单4户，协助人民法院公示股权冻结22条信息，系统修复异常名录信息46条、修复严重违法失信信息8条，引导34家企业完成处罚信息修复。</w:t>
      </w:r>
    </w:p>
    <w:p w:rsidR="00C432E8" w:rsidRDefault="00000000">
      <w:pPr>
        <w:spacing w:line="560" w:lineRule="exact"/>
        <w:ind w:firstLineChars="200" w:firstLine="602"/>
        <w:rPr>
          <w:rFonts w:ascii="仿宋_GB2312" w:eastAsia="仿宋_GB2312" w:hAnsi="仿宋_GB2312" w:cs="仿宋_GB2312" w:hint="eastAsia"/>
          <w:sz w:val="30"/>
          <w:szCs w:val="30"/>
          <w:lang w:bidi="ar"/>
        </w:rPr>
      </w:pPr>
      <w:r>
        <w:rPr>
          <w:rFonts w:ascii="仿宋_GB2312" w:eastAsia="仿宋_GB2312" w:hAnsi="仿宋_GB2312" w:cs="仿宋_GB2312" w:hint="eastAsia"/>
          <w:b/>
          <w:bCs/>
          <w:sz w:val="30"/>
          <w:szCs w:val="30"/>
        </w:rPr>
        <w:t>（四）筑牢安全防线。</w:t>
      </w:r>
      <w:r>
        <w:rPr>
          <w:rFonts w:ascii="仿宋_GB2312" w:eastAsia="仿宋_GB2312" w:hAnsi="仿宋_GB2312" w:cs="仿宋_GB2312" w:hint="eastAsia"/>
          <w:sz w:val="30"/>
          <w:szCs w:val="30"/>
          <w:lang w:bidi="ar"/>
        </w:rPr>
        <w:t>严守食品安全底线。以校园食品安全排查整治为重点，通过公示投诉举报电话、公布反食品浪费典型案例、联合学校开展多种宣传活动，举办宣讲课10场、发放宣传资料3000余份。清查学校食堂“三防”及餐饮具消毒设施，下达责令改正通知书93份，查处案件17起。配合制定供应商筛选标准与流程，督促明确食品安全总监，全市学校食堂包保督导率达100%，165所学校完成“互联网+明厨亮灶”监管平台建设，建立信用档案，实施信用分级分类监管，档案完善率100%。食品安全监督抽检完成2363批次，任务完成率为101.63%，其中合格2284批次，合格率为96.66%。严守药品安全底线。围绕药品安全风险管控主线，开展“年关守护行动”和药品安全巩固提升行动，检查药品经营使用单位687家，医疗机构232家，下发责令改正151份，立案76起。严守特种设备安全底线。深入开展专项整治，检查特种设备生产使用单位227家，发现重大安全隐患34处，已全部完成整改，立案37起。</w:t>
      </w:r>
    </w:p>
    <w:p w:rsidR="00C432E8" w:rsidRDefault="00000000">
      <w:pPr>
        <w:spacing w:line="560" w:lineRule="exact"/>
        <w:ind w:firstLineChars="200" w:firstLine="602"/>
        <w:rPr>
          <w:rFonts w:ascii="仿宋_GB2312" w:eastAsia="仿宋_GB2312" w:hAnsi="仿宋_GB2312" w:cs="仿宋_GB2312" w:hint="eastAsia"/>
          <w:sz w:val="30"/>
          <w:szCs w:val="30"/>
          <w:lang w:bidi="ar"/>
        </w:rPr>
      </w:pPr>
      <w:r>
        <w:rPr>
          <w:rFonts w:ascii="仿宋_GB2312" w:eastAsia="仿宋_GB2312" w:hAnsi="仿宋_GB2312" w:cs="仿宋_GB2312" w:hint="eastAsia"/>
          <w:b/>
          <w:bCs/>
          <w:sz w:val="30"/>
          <w:szCs w:val="30"/>
        </w:rPr>
        <w:t>（五）聚焦消费维权。</w:t>
      </w:r>
      <w:r>
        <w:rPr>
          <w:rFonts w:ascii="仿宋_GB2312" w:eastAsia="仿宋_GB2312" w:hAnsi="仿宋_GB2312" w:cs="仿宋_GB2312" w:hint="eastAsia"/>
          <w:sz w:val="30"/>
          <w:szCs w:val="30"/>
          <w:lang w:bidi="ar"/>
        </w:rPr>
        <w:t>积极做好消费维权宣传，组织开展以“激发消费活力”为主题的315国际消费者权益日宣传活动。12315平台受理消费者投诉举报1044件，办结917件，办结率87.83%。督促企业落实主体责任，对家用汽车及其产品销售服务企业、经营单用途预付卡超市开展“双随机、一公开”监督检查。</w:t>
      </w:r>
    </w:p>
    <w:p w:rsidR="00C432E8" w:rsidRDefault="00000000">
      <w:pPr>
        <w:spacing w:line="560" w:lineRule="exact"/>
        <w:ind w:firstLineChars="200" w:firstLine="602"/>
        <w:rPr>
          <w:rFonts w:ascii="仿宋_GB2312" w:eastAsia="仿宋_GB2312" w:hAnsi="仿宋_GB2312" w:cs="仿宋_GB2312" w:hint="eastAsia"/>
          <w:sz w:val="30"/>
          <w:szCs w:val="30"/>
          <w:lang w:bidi="ar"/>
        </w:rPr>
      </w:pPr>
      <w:r>
        <w:rPr>
          <w:rFonts w:ascii="仿宋_GB2312" w:eastAsia="仿宋_GB2312" w:hAnsi="仿宋_GB2312" w:cs="仿宋_GB2312" w:hint="eastAsia"/>
          <w:b/>
          <w:bCs/>
          <w:sz w:val="30"/>
          <w:szCs w:val="30"/>
        </w:rPr>
        <w:lastRenderedPageBreak/>
        <w:t>（六）强化知识产权。</w:t>
      </w:r>
      <w:r>
        <w:rPr>
          <w:rFonts w:ascii="仿宋_GB2312" w:eastAsia="仿宋_GB2312" w:hAnsi="仿宋_GB2312" w:cs="仿宋_GB2312" w:hint="eastAsia"/>
          <w:sz w:val="30"/>
          <w:szCs w:val="30"/>
          <w:lang w:bidi="ar"/>
        </w:rPr>
        <w:t>专利申请与授权量稳步增长，专利授权量为198件，其中发明专利授权量29件，同比增长率123.08%。全市有效发明专利162件。每万人发明专利拥有量2.12件，高价值发明专利13件。新增商标注册622件，有效商标注册总量7402件。促成专利技术转让与许可合同37份，涉及金额210万元，查处知识产权侵权假冒案件11起。</w:t>
      </w:r>
    </w:p>
    <w:p w:rsidR="00C432E8" w:rsidRDefault="00000000">
      <w:pPr>
        <w:spacing w:line="560" w:lineRule="exact"/>
        <w:ind w:firstLineChars="200" w:firstLine="602"/>
        <w:rPr>
          <w:rFonts w:ascii="仿宋_GB2312" w:eastAsia="仿宋_GB2312" w:hAnsi="仿宋_GB2312" w:cs="仿宋_GB2312" w:hint="eastAsia"/>
          <w:sz w:val="32"/>
          <w:szCs w:val="32"/>
        </w:rPr>
      </w:pPr>
      <w:r>
        <w:rPr>
          <w:rFonts w:ascii="仿宋_GB2312" w:eastAsia="仿宋_GB2312" w:hAnsi="仿宋_GB2312" w:cs="仿宋_GB2312" w:hint="eastAsia"/>
          <w:b/>
          <w:bCs/>
          <w:sz w:val="30"/>
          <w:szCs w:val="30"/>
        </w:rPr>
        <w:t>（七）强化监管执法。</w:t>
      </w:r>
      <w:r>
        <w:rPr>
          <w:rFonts w:ascii="仿宋_GB2312" w:eastAsia="仿宋_GB2312" w:hAnsi="仿宋_GB2312" w:cs="仿宋_GB2312" w:hint="eastAsia"/>
          <w:sz w:val="30"/>
          <w:szCs w:val="30"/>
          <w:lang w:bidi="ar"/>
        </w:rPr>
        <w:t>持续开展民生领域案件查办“铁拳”行动，深入推进反垄断和反不正当竞争执法，全局全年立案430件。开展春运票价检查，加强生活必需品、农资、医疗、教育收费价格监管检查力度，已检查医院15所，学校35所。加大价格举报投诉处理力度，受理举报投诉件235件，向执法大队移送案件线索5起。</w:t>
      </w:r>
    </w:p>
    <w:p w:rsidR="00C432E8"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四、绩效评价结论</w:t>
      </w:r>
    </w:p>
    <w:p w:rsidR="00C432E8" w:rsidRDefault="00000000">
      <w:pPr>
        <w:pStyle w:val="a0"/>
        <w:spacing w:line="560" w:lineRule="exact"/>
        <w:ind w:firstLineChars="200" w:firstLine="600"/>
        <w:rPr>
          <w:rFonts w:ascii="仿宋_GB2312" w:eastAsia="仿宋_GB2312" w:hAnsi="仿宋_GB2312" w:cs="仿宋_GB2312" w:hint="eastAsia"/>
          <w:sz w:val="30"/>
          <w:szCs w:val="30"/>
          <w:lang w:bidi="ar"/>
        </w:rPr>
      </w:pPr>
      <w:r>
        <w:rPr>
          <w:rFonts w:ascii="仿宋_GB2312" w:eastAsia="仿宋_GB2312" w:hAnsi="仿宋_GB2312" w:cs="仿宋_GB2312" w:hint="eastAsia"/>
          <w:sz w:val="30"/>
          <w:szCs w:val="30"/>
          <w:lang w:bidi="ar"/>
        </w:rPr>
        <w:t>我局结合单位实际，根据2024年度业务工作报告及2024年实际工作情况，开展绩效自评。对于上年度绩效评价结果提出的需要整改的情况，我局领导高度重视，在评价工作结束后，积极开展整改行动抓落实，对照问题清单，认真填写整改报告书，对问题切实改正，用制度的手段规范资金使用，提升了资金使用效益，为下一次绩效评价工作做好准备。</w:t>
      </w:r>
    </w:p>
    <w:p w:rsidR="00C432E8" w:rsidRDefault="00000000">
      <w:pPr>
        <w:pBdr>
          <w:bottom w:val="single" w:sz="4" w:space="31" w:color="FFFFFF"/>
        </w:pBdr>
        <w:snapToGrid w:val="0"/>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五、存在的主要问题</w:t>
      </w:r>
    </w:p>
    <w:p w:rsidR="00C432E8" w:rsidRDefault="00000000">
      <w:pPr>
        <w:pBdr>
          <w:bottom w:val="single" w:sz="4" w:space="31" w:color="FFFFFF"/>
        </w:pBdr>
        <w:snapToGrid w:val="0"/>
        <w:spacing w:line="560" w:lineRule="exact"/>
        <w:ind w:firstLineChars="200" w:firstLine="602"/>
        <w:rPr>
          <w:rFonts w:ascii="仿宋_GB2312" w:eastAsia="仿宋_GB2312" w:hAnsi="仿宋_GB2312" w:cs="仿宋_GB2312" w:hint="eastAsia"/>
          <w:spacing w:val="15"/>
          <w:kern w:val="0"/>
          <w:sz w:val="30"/>
          <w:szCs w:val="30"/>
        </w:rPr>
      </w:pPr>
      <w:r>
        <w:rPr>
          <w:rFonts w:ascii="仿宋_GB2312" w:eastAsia="仿宋_GB2312" w:hAnsi="仿宋_GB2312" w:cs="仿宋_GB2312" w:hint="eastAsia"/>
          <w:b/>
          <w:kern w:val="0"/>
          <w:sz w:val="30"/>
          <w:szCs w:val="30"/>
          <w:lang w:bidi="ar"/>
        </w:rPr>
        <w:t>1.安全责任有待加压。</w:t>
      </w:r>
      <w:r>
        <w:rPr>
          <w:rFonts w:ascii="仿宋_GB2312" w:eastAsia="仿宋_GB2312" w:hAnsi="仿宋_GB2312" w:cs="仿宋_GB2312" w:hint="eastAsia"/>
          <w:sz w:val="30"/>
          <w:szCs w:val="30"/>
        </w:rPr>
        <w:t>部分食品药品、特种设备经营（使用）主体安全</w:t>
      </w:r>
      <w:r>
        <w:rPr>
          <w:rFonts w:ascii="仿宋_GB2312" w:eastAsia="仿宋_GB2312" w:hAnsi="仿宋_GB2312" w:cs="仿宋_GB2312" w:hint="eastAsia"/>
          <w:spacing w:val="15"/>
          <w:kern w:val="0"/>
          <w:sz w:val="30"/>
          <w:szCs w:val="30"/>
        </w:rPr>
        <w:t>意识不强，未能按相关规定全面落实企业主体责任，安全监管形势不能掉以轻心。</w:t>
      </w:r>
    </w:p>
    <w:p w:rsidR="00C432E8" w:rsidRDefault="00000000">
      <w:pPr>
        <w:pBdr>
          <w:bottom w:val="single" w:sz="4" w:space="31" w:color="FFFFFF"/>
        </w:pBdr>
        <w:snapToGrid w:val="0"/>
        <w:spacing w:line="56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t>2.保障投入有待加大。</w:t>
      </w:r>
      <w:r>
        <w:rPr>
          <w:rFonts w:ascii="仿宋_GB2312" w:eastAsia="仿宋_GB2312" w:hAnsi="仿宋_GB2312" w:cs="仿宋_GB2312" w:hint="eastAsia"/>
          <w:sz w:val="30"/>
          <w:szCs w:val="30"/>
        </w:rPr>
        <w:t>检验检测能力不足，技术支撑能力不强。</w:t>
      </w:r>
      <w:r>
        <w:rPr>
          <w:rFonts w:ascii="仿宋_GB2312" w:eastAsia="仿宋_GB2312" w:hAnsi="仿宋_GB2312" w:cs="仿宋_GB2312" w:hint="eastAsia"/>
          <w:sz w:val="30"/>
          <w:szCs w:val="30"/>
        </w:rPr>
        <w:lastRenderedPageBreak/>
        <w:t>检验检测中心实验室对多个项目不具备检定资质，送检增加了工作成本；部分检验验测设备已经老化，无力及时更新，检测数据失真。</w:t>
      </w:r>
    </w:p>
    <w:p w:rsidR="00C432E8" w:rsidRDefault="00000000">
      <w:pPr>
        <w:pBdr>
          <w:bottom w:val="single" w:sz="4" w:space="31" w:color="FFFFFF"/>
        </w:pBdr>
        <w:snapToGrid w:val="0"/>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六、改进措施和有关建议</w:t>
      </w:r>
    </w:p>
    <w:p w:rsidR="00C432E8" w:rsidRDefault="00000000">
      <w:pPr>
        <w:pBdr>
          <w:bottom w:val="single" w:sz="4" w:space="31" w:color="FFFFFF"/>
        </w:pBdr>
        <w:snapToGrid w:val="0"/>
        <w:spacing w:line="56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t>1.加强食品、药品安全监管。</w:t>
      </w:r>
      <w:r>
        <w:rPr>
          <w:rFonts w:ascii="仿宋_GB2312" w:eastAsia="仿宋_GB2312" w:hAnsi="仿宋_GB2312" w:cs="仿宋_GB2312" w:hint="eastAsia"/>
          <w:sz w:val="30"/>
          <w:szCs w:val="30"/>
        </w:rPr>
        <w:t>紧紧围绕食品安全保障，组织开展好各类食品专项整治，推进“互联网+明厨亮灶”建设，着力落实食品安全“两个责任”机制。开展药品安全专项整治，通过专项整治着力解决城乡结合部、农村存在的药品质量管理不到位的问题，提高个体诊所、村级卫生室的药品管理水平，确保不发生药品安全事故。</w:t>
      </w:r>
    </w:p>
    <w:p w:rsidR="00C432E8" w:rsidRDefault="00000000">
      <w:pPr>
        <w:pBdr>
          <w:bottom w:val="single" w:sz="4" w:space="31" w:color="FFFFFF"/>
        </w:pBdr>
        <w:snapToGrid w:val="0"/>
        <w:spacing w:line="56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t>2.强化特种设备安全监管。</w:t>
      </w:r>
      <w:r>
        <w:rPr>
          <w:rFonts w:ascii="仿宋_GB2312" w:eastAsia="仿宋_GB2312" w:hAnsi="仿宋_GB2312" w:cs="仿宋_GB2312" w:hint="eastAsia"/>
          <w:sz w:val="30"/>
          <w:szCs w:val="30"/>
        </w:rPr>
        <w:t>巩固液化石油气瓶安全专项整治成果，加大对锅炉、电梯、起重机械安装现场的监察力度，打击借证、挂靠、超期未检等违法违规行为。</w:t>
      </w:r>
    </w:p>
    <w:p w:rsidR="00C432E8" w:rsidRDefault="00000000">
      <w:pPr>
        <w:pBdr>
          <w:bottom w:val="single" w:sz="4" w:space="31" w:color="FFFFFF"/>
        </w:pBdr>
        <w:snapToGrid w:val="0"/>
        <w:spacing w:line="56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t>3.强化重点工业产品安全监管。</w:t>
      </w:r>
      <w:r>
        <w:rPr>
          <w:rFonts w:ascii="仿宋_GB2312" w:eastAsia="仿宋_GB2312" w:hAnsi="仿宋_GB2312" w:cs="仿宋_GB2312" w:hint="eastAsia"/>
          <w:sz w:val="30"/>
          <w:szCs w:val="30"/>
        </w:rPr>
        <w:t>重点对危险化学品、烟花炮竹、电取暖器材及建材等重点工业产品加强质量安全抽查和监督检查，及时消除安全隐患。</w:t>
      </w:r>
    </w:p>
    <w:p w:rsidR="00C432E8" w:rsidRDefault="00000000">
      <w:pPr>
        <w:pBdr>
          <w:bottom w:val="single" w:sz="4" w:space="31" w:color="FFFFFF"/>
        </w:pBdr>
        <w:snapToGrid w:val="0"/>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七、其他需要说明的情况</w:t>
      </w:r>
    </w:p>
    <w:p w:rsidR="00C432E8" w:rsidRDefault="00000000">
      <w:pPr>
        <w:pBdr>
          <w:bottom w:val="single" w:sz="4" w:space="31" w:color="FFFFFF"/>
        </w:pBdr>
        <w:snapToGrid w:val="0"/>
        <w:spacing w:line="56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由于祁阳的人口和企业较多，涉及行业较广。要加强法治建设，做到依法行政，健全市场监管权责清单，落实案件内部审核机制，提升执法质量。市场监督管理工作难度较大，目前的市场监管专项经费已满足不了现有需求，建议上级加强市场监管方面的业务培训，加大对我局的资金帮扶，让市监工作更好的落到实处。</w:t>
      </w:r>
    </w:p>
    <w:p w:rsidR="00C432E8" w:rsidRDefault="00C432E8">
      <w:pPr>
        <w:pStyle w:val="Default"/>
        <w:ind w:firstLineChars="400" w:firstLine="1280"/>
        <w:rPr>
          <w:rFonts w:ascii="Times New Roman" w:eastAsia="仿宋_GB2312" w:hAnsi="Times New Roman" w:cs="Times New Roman"/>
          <w:sz w:val="32"/>
          <w:szCs w:val="32"/>
        </w:rPr>
      </w:pPr>
    </w:p>
    <w:p w:rsidR="00C432E8" w:rsidRDefault="00C432E8">
      <w:pPr>
        <w:pStyle w:val="Default"/>
        <w:spacing w:line="600" w:lineRule="exact"/>
        <w:ind w:firstLineChars="200" w:firstLine="640"/>
        <w:rPr>
          <w:rFonts w:ascii="Times New Roman" w:eastAsia="仿宋_GB2312" w:hAnsi="Times New Roman" w:cs="Times New Roman"/>
          <w:sz w:val="32"/>
          <w:szCs w:val="32"/>
        </w:rPr>
      </w:pPr>
    </w:p>
    <w:p w:rsidR="00C432E8" w:rsidRDefault="00C432E8">
      <w:pPr>
        <w:pStyle w:val="Default"/>
        <w:jc w:val="center"/>
        <w:rPr>
          <w:rFonts w:ascii="Times New Roman" w:hAnsi="Times New Roman" w:cs="Times New Roman"/>
          <w:sz w:val="72"/>
          <w:szCs w:val="72"/>
        </w:rPr>
      </w:pPr>
    </w:p>
    <w:p w:rsidR="00C432E8" w:rsidRDefault="00C432E8">
      <w:pPr>
        <w:pStyle w:val="Default"/>
        <w:jc w:val="center"/>
        <w:rPr>
          <w:rFonts w:ascii="Times New Roman" w:hAnsi="Times New Roman" w:cs="Times New Roman"/>
          <w:sz w:val="72"/>
          <w:szCs w:val="72"/>
        </w:rPr>
      </w:pPr>
    </w:p>
    <w:p w:rsidR="00C432E8" w:rsidRDefault="00C432E8">
      <w:pPr>
        <w:jc w:val="left"/>
        <w:rPr>
          <w:rFonts w:ascii="Times New Roman" w:hAnsi="Times New Roman" w:cs="Times New Roman"/>
          <w:color w:val="000000"/>
          <w:kern w:val="0"/>
          <w:sz w:val="32"/>
          <w:szCs w:val="32"/>
        </w:rPr>
      </w:pPr>
    </w:p>
    <w:sectPr w:rsidR="00C432E8">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BDA" w:rsidRDefault="00C21BDA">
      <w:pPr>
        <w:spacing w:after="0" w:line="240" w:lineRule="auto"/>
      </w:pPr>
      <w:r>
        <w:separator/>
      </w:r>
    </w:p>
  </w:endnote>
  <w:endnote w:type="continuationSeparator" w:id="0">
    <w:p w:rsidR="00C21BDA" w:rsidRDefault="00C2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楷体_GB2312">
    <w:altName w:val="方正楷体_GBK"/>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2E8" w:rsidRDefault="00C432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2E8" w:rsidRDefault="00C432E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2E8"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32E8"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C432E8"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BDA" w:rsidRDefault="00C21BDA">
      <w:pPr>
        <w:spacing w:after="0" w:line="240" w:lineRule="auto"/>
      </w:pPr>
      <w:r>
        <w:separator/>
      </w:r>
    </w:p>
  </w:footnote>
  <w:footnote w:type="continuationSeparator" w:id="0">
    <w:p w:rsidR="00C21BDA" w:rsidRDefault="00C21B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255E0"/>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720C1"/>
    <w:rsid w:val="00B845B3"/>
    <w:rsid w:val="00B85D8B"/>
    <w:rsid w:val="00BB4A40"/>
    <w:rsid w:val="00BD6022"/>
    <w:rsid w:val="00BD6C3E"/>
    <w:rsid w:val="00BE3674"/>
    <w:rsid w:val="00C10681"/>
    <w:rsid w:val="00C10822"/>
    <w:rsid w:val="00C15C89"/>
    <w:rsid w:val="00C21BDA"/>
    <w:rsid w:val="00C27C0D"/>
    <w:rsid w:val="00C3049A"/>
    <w:rsid w:val="00C31B1E"/>
    <w:rsid w:val="00C32F2E"/>
    <w:rsid w:val="00C432E8"/>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73C151"/>
    <w:rsid w:val="0B1397A9"/>
    <w:rsid w:val="0B709EE4"/>
    <w:rsid w:val="0E7B16A4"/>
    <w:rsid w:val="0F7F87E9"/>
    <w:rsid w:val="0FDE7AF9"/>
    <w:rsid w:val="16BB2111"/>
    <w:rsid w:val="16DF64CB"/>
    <w:rsid w:val="173FA99A"/>
    <w:rsid w:val="176BC7DA"/>
    <w:rsid w:val="17AF48B9"/>
    <w:rsid w:val="1BB9FC62"/>
    <w:rsid w:val="1BBE730A"/>
    <w:rsid w:val="1BDF28B8"/>
    <w:rsid w:val="1D2E61A2"/>
    <w:rsid w:val="1D97DEFF"/>
    <w:rsid w:val="1DEF2B75"/>
    <w:rsid w:val="1DFF72E5"/>
    <w:rsid w:val="1DFFB574"/>
    <w:rsid w:val="1E699666"/>
    <w:rsid w:val="1E7FBAC1"/>
    <w:rsid w:val="1EB7C3D7"/>
    <w:rsid w:val="1EF7FF57"/>
    <w:rsid w:val="1EFC6F07"/>
    <w:rsid w:val="1EFCC66D"/>
    <w:rsid w:val="1EFE2507"/>
    <w:rsid w:val="1F174DF4"/>
    <w:rsid w:val="1F7FCE3E"/>
    <w:rsid w:val="1FEFA0DA"/>
    <w:rsid w:val="1FFB066C"/>
    <w:rsid w:val="224B2161"/>
    <w:rsid w:val="23DB4F3F"/>
    <w:rsid w:val="23F75DED"/>
    <w:rsid w:val="24DDA066"/>
    <w:rsid w:val="26AF2475"/>
    <w:rsid w:val="277E6C06"/>
    <w:rsid w:val="27B6EDEB"/>
    <w:rsid w:val="27BD0ADC"/>
    <w:rsid w:val="27BEE3B4"/>
    <w:rsid w:val="27DDCFB5"/>
    <w:rsid w:val="282E9A3B"/>
    <w:rsid w:val="29F91475"/>
    <w:rsid w:val="2D3ACCD7"/>
    <w:rsid w:val="2D712235"/>
    <w:rsid w:val="2D7FD096"/>
    <w:rsid w:val="2D8FC0BD"/>
    <w:rsid w:val="2DBE29D6"/>
    <w:rsid w:val="2DFF0FD2"/>
    <w:rsid w:val="2FA799C4"/>
    <w:rsid w:val="2FAB07B3"/>
    <w:rsid w:val="2FDF85B8"/>
    <w:rsid w:val="2FFE4BD9"/>
    <w:rsid w:val="2FFEEF39"/>
    <w:rsid w:val="2FFFEE04"/>
    <w:rsid w:val="317F5402"/>
    <w:rsid w:val="31DD249B"/>
    <w:rsid w:val="33BF5074"/>
    <w:rsid w:val="33CE0D9A"/>
    <w:rsid w:val="33FA599D"/>
    <w:rsid w:val="34DF85B0"/>
    <w:rsid w:val="34EFF643"/>
    <w:rsid w:val="35F86559"/>
    <w:rsid w:val="36ABABF1"/>
    <w:rsid w:val="36B043EC"/>
    <w:rsid w:val="371FC418"/>
    <w:rsid w:val="374DFDE2"/>
    <w:rsid w:val="375BA87E"/>
    <w:rsid w:val="37717AD9"/>
    <w:rsid w:val="377FBF06"/>
    <w:rsid w:val="37A6B1DB"/>
    <w:rsid w:val="37DF921B"/>
    <w:rsid w:val="39F913C6"/>
    <w:rsid w:val="39FF8CA7"/>
    <w:rsid w:val="3AFE0121"/>
    <w:rsid w:val="3B6FB34D"/>
    <w:rsid w:val="3B7F6CF5"/>
    <w:rsid w:val="3B7F9657"/>
    <w:rsid w:val="3B8F36BC"/>
    <w:rsid w:val="3B9E04DF"/>
    <w:rsid w:val="3BDE2A74"/>
    <w:rsid w:val="3BE6F62C"/>
    <w:rsid w:val="3BFF8C2E"/>
    <w:rsid w:val="3C3BFC79"/>
    <w:rsid w:val="3D6E8BA5"/>
    <w:rsid w:val="3D73F72E"/>
    <w:rsid w:val="3D863B13"/>
    <w:rsid w:val="3D8F4C04"/>
    <w:rsid w:val="3DBF25BE"/>
    <w:rsid w:val="3DBFE1D7"/>
    <w:rsid w:val="3DFF1652"/>
    <w:rsid w:val="3DFF72ED"/>
    <w:rsid w:val="3E8943D1"/>
    <w:rsid w:val="3EAAEE9E"/>
    <w:rsid w:val="3EDF9775"/>
    <w:rsid w:val="3EEF83EC"/>
    <w:rsid w:val="3EFEDA80"/>
    <w:rsid w:val="3F3D01DD"/>
    <w:rsid w:val="3F3F511A"/>
    <w:rsid w:val="3F421880"/>
    <w:rsid w:val="3F5F56AA"/>
    <w:rsid w:val="3F5FC769"/>
    <w:rsid w:val="3F9F014B"/>
    <w:rsid w:val="3FA78841"/>
    <w:rsid w:val="3FB70E7B"/>
    <w:rsid w:val="3FBDD01F"/>
    <w:rsid w:val="3FBE2864"/>
    <w:rsid w:val="3FBF928A"/>
    <w:rsid w:val="3FCE0059"/>
    <w:rsid w:val="3FCFDE02"/>
    <w:rsid w:val="3FDEFD5D"/>
    <w:rsid w:val="3FE78202"/>
    <w:rsid w:val="3FEC8F16"/>
    <w:rsid w:val="3FEEF3CC"/>
    <w:rsid w:val="3FF310D3"/>
    <w:rsid w:val="3FF583C1"/>
    <w:rsid w:val="3FF7188B"/>
    <w:rsid w:val="3FF72634"/>
    <w:rsid w:val="3FFB89C6"/>
    <w:rsid w:val="3FFBA5BA"/>
    <w:rsid w:val="3FFCB714"/>
    <w:rsid w:val="3FFF75A8"/>
    <w:rsid w:val="3FFF94E5"/>
    <w:rsid w:val="429F4035"/>
    <w:rsid w:val="45B9D49C"/>
    <w:rsid w:val="46E9A602"/>
    <w:rsid w:val="4779293D"/>
    <w:rsid w:val="47BE9080"/>
    <w:rsid w:val="47F4BDE4"/>
    <w:rsid w:val="491FF225"/>
    <w:rsid w:val="4A6710B2"/>
    <w:rsid w:val="4BBE143A"/>
    <w:rsid w:val="4BD71CFB"/>
    <w:rsid w:val="4D7E2987"/>
    <w:rsid w:val="4E2A241D"/>
    <w:rsid w:val="4E3F4CBA"/>
    <w:rsid w:val="4EC62B2D"/>
    <w:rsid w:val="4EDF8C33"/>
    <w:rsid w:val="4EFD9A28"/>
    <w:rsid w:val="4F7FACDD"/>
    <w:rsid w:val="4FD6F942"/>
    <w:rsid w:val="4FFD214C"/>
    <w:rsid w:val="517E6E7F"/>
    <w:rsid w:val="51FB7D50"/>
    <w:rsid w:val="537D35BD"/>
    <w:rsid w:val="53ADE53C"/>
    <w:rsid w:val="53B77A12"/>
    <w:rsid w:val="53FB4183"/>
    <w:rsid w:val="5531F31C"/>
    <w:rsid w:val="56FF63D6"/>
    <w:rsid w:val="5777D4F5"/>
    <w:rsid w:val="57EE225E"/>
    <w:rsid w:val="57FDA65B"/>
    <w:rsid w:val="57FEDEE9"/>
    <w:rsid w:val="57FF4646"/>
    <w:rsid w:val="57FFF00E"/>
    <w:rsid w:val="587762B9"/>
    <w:rsid w:val="587F3377"/>
    <w:rsid w:val="59BB4961"/>
    <w:rsid w:val="59DD8326"/>
    <w:rsid w:val="59FB80F0"/>
    <w:rsid w:val="5A7FDA10"/>
    <w:rsid w:val="5AFFB535"/>
    <w:rsid w:val="5B4D5565"/>
    <w:rsid w:val="5BAFEAED"/>
    <w:rsid w:val="5BECE895"/>
    <w:rsid w:val="5BFA9380"/>
    <w:rsid w:val="5BFBAE52"/>
    <w:rsid w:val="5C971559"/>
    <w:rsid w:val="5CDE452D"/>
    <w:rsid w:val="5CF35764"/>
    <w:rsid w:val="5D5C68E3"/>
    <w:rsid w:val="5D7F0A68"/>
    <w:rsid w:val="5DB64753"/>
    <w:rsid w:val="5DEE10CC"/>
    <w:rsid w:val="5DEF592A"/>
    <w:rsid w:val="5DFAFB30"/>
    <w:rsid w:val="5E692EE7"/>
    <w:rsid w:val="5E7F9487"/>
    <w:rsid w:val="5E8AAB80"/>
    <w:rsid w:val="5EB70748"/>
    <w:rsid w:val="5EBE18DD"/>
    <w:rsid w:val="5EBF9AC6"/>
    <w:rsid w:val="5ECCBD8E"/>
    <w:rsid w:val="5EDF30AF"/>
    <w:rsid w:val="5EE73F50"/>
    <w:rsid w:val="5EEF1628"/>
    <w:rsid w:val="5EFECD2A"/>
    <w:rsid w:val="5F373C3A"/>
    <w:rsid w:val="5F5FC3EE"/>
    <w:rsid w:val="5FA63A43"/>
    <w:rsid w:val="5FBCA56F"/>
    <w:rsid w:val="5FBFB3F7"/>
    <w:rsid w:val="5FC6BB1E"/>
    <w:rsid w:val="5FD389C3"/>
    <w:rsid w:val="5FD73480"/>
    <w:rsid w:val="5FD79142"/>
    <w:rsid w:val="5FF720F1"/>
    <w:rsid w:val="5FF7BD41"/>
    <w:rsid w:val="5FFBF8E7"/>
    <w:rsid w:val="5FFD1154"/>
    <w:rsid w:val="5FFD5919"/>
    <w:rsid w:val="5FFE3555"/>
    <w:rsid w:val="5FFE5515"/>
    <w:rsid w:val="5FFF3C50"/>
    <w:rsid w:val="5FFF5F23"/>
    <w:rsid w:val="627CA1D2"/>
    <w:rsid w:val="63BA7623"/>
    <w:rsid w:val="63DE4656"/>
    <w:rsid w:val="63FDD7CB"/>
    <w:rsid w:val="63FF4C25"/>
    <w:rsid w:val="6757AA2C"/>
    <w:rsid w:val="675F3C3A"/>
    <w:rsid w:val="677EE85A"/>
    <w:rsid w:val="67FF5C0B"/>
    <w:rsid w:val="67FFF9CF"/>
    <w:rsid w:val="697FCAF2"/>
    <w:rsid w:val="6A3FD49B"/>
    <w:rsid w:val="6A7321C0"/>
    <w:rsid w:val="6ADE0F96"/>
    <w:rsid w:val="6ADF6632"/>
    <w:rsid w:val="6B3F7F53"/>
    <w:rsid w:val="6B6F24FB"/>
    <w:rsid w:val="6BCBEA46"/>
    <w:rsid w:val="6BD9CE5F"/>
    <w:rsid w:val="6BDFD66A"/>
    <w:rsid w:val="6BFAEFC5"/>
    <w:rsid w:val="6BFD28BE"/>
    <w:rsid w:val="6C4B6F83"/>
    <w:rsid w:val="6CF7D6C4"/>
    <w:rsid w:val="6D5D28EB"/>
    <w:rsid w:val="6D9B0A78"/>
    <w:rsid w:val="6DFBBF5F"/>
    <w:rsid w:val="6E7646FD"/>
    <w:rsid w:val="6ECEA998"/>
    <w:rsid w:val="6ED63EE8"/>
    <w:rsid w:val="6ED967F4"/>
    <w:rsid w:val="6EDFBD42"/>
    <w:rsid w:val="6EFC0924"/>
    <w:rsid w:val="6EFF9C1C"/>
    <w:rsid w:val="6F67122C"/>
    <w:rsid w:val="6F7F4C2C"/>
    <w:rsid w:val="6F7FF87B"/>
    <w:rsid w:val="6F9FC6E3"/>
    <w:rsid w:val="6FAF43CE"/>
    <w:rsid w:val="6FB55297"/>
    <w:rsid w:val="6FB74722"/>
    <w:rsid w:val="6FBA3F1E"/>
    <w:rsid w:val="6FBADAA0"/>
    <w:rsid w:val="6FBD732D"/>
    <w:rsid w:val="6FBEAD40"/>
    <w:rsid w:val="6FBFC1E6"/>
    <w:rsid w:val="6FCF4B5E"/>
    <w:rsid w:val="6FCF7DC9"/>
    <w:rsid w:val="6FD3EF35"/>
    <w:rsid w:val="6FEF8B7E"/>
    <w:rsid w:val="6FF7BF9F"/>
    <w:rsid w:val="6FF91717"/>
    <w:rsid w:val="6FFA4A10"/>
    <w:rsid w:val="6FFD4D7C"/>
    <w:rsid w:val="6FFFB56B"/>
    <w:rsid w:val="705BFA0F"/>
    <w:rsid w:val="70FF79F5"/>
    <w:rsid w:val="71A6591B"/>
    <w:rsid w:val="71BFDFC1"/>
    <w:rsid w:val="72D5608C"/>
    <w:rsid w:val="72DF11A8"/>
    <w:rsid w:val="737A3F21"/>
    <w:rsid w:val="737D59BA"/>
    <w:rsid w:val="73DB2F20"/>
    <w:rsid w:val="73DD95BF"/>
    <w:rsid w:val="73E7A233"/>
    <w:rsid w:val="73EA88E0"/>
    <w:rsid w:val="740924A3"/>
    <w:rsid w:val="74BB8022"/>
    <w:rsid w:val="74CDC3E9"/>
    <w:rsid w:val="74EBDC3E"/>
    <w:rsid w:val="74FBFEC3"/>
    <w:rsid w:val="755E2398"/>
    <w:rsid w:val="75BFD47A"/>
    <w:rsid w:val="75F9098F"/>
    <w:rsid w:val="75FA86FF"/>
    <w:rsid w:val="75FB7A43"/>
    <w:rsid w:val="75FBF57C"/>
    <w:rsid w:val="75FF3D17"/>
    <w:rsid w:val="75FF5DF9"/>
    <w:rsid w:val="766DEBE0"/>
    <w:rsid w:val="769B6D86"/>
    <w:rsid w:val="76BB7CCA"/>
    <w:rsid w:val="77335259"/>
    <w:rsid w:val="7737A6F9"/>
    <w:rsid w:val="776AF97B"/>
    <w:rsid w:val="776EBB82"/>
    <w:rsid w:val="777B182C"/>
    <w:rsid w:val="77A3910D"/>
    <w:rsid w:val="77A547BF"/>
    <w:rsid w:val="77AFBDEB"/>
    <w:rsid w:val="77AFEFB4"/>
    <w:rsid w:val="77C2FC0C"/>
    <w:rsid w:val="77C37683"/>
    <w:rsid w:val="77CBF53F"/>
    <w:rsid w:val="77DB6BC9"/>
    <w:rsid w:val="77DD731E"/>
    <w:rsid w:val="77E369D9"/>
    <w:rsid w:val="77EDD35D"/>
    <w:rsid w:val="77EDFD85"/>
    <w:rsid w:val="77EF921D"/>
    <w:rsid w:val="77EFA23B"/>
    <w:rsid w:val="77FBAAE6"/>
    <w:rsid w:val="77FF3373"/>
    <w:rsid w:val="77FF4D97"/>
    <w:rsid w:val="77FF7DBE"/>
    <w:rsid w:val="77FF9780"/>
    <w:rsid w:val="77FFC18F"/>
    <w:rsid w:val="783F0B05"/>
    <w:rsid w:val="793D4202"/>
    <w:rsid w:val="79472E5D"/>
    <w:rsid w:val="79784FC6"/>
    <w:rsid w:val="797B35A7"/>
    <w:rsid w:val="799F3A82"/>
    <w:rsid w:val="799FD5B3"/>
    <w:rsid w:val="79A560F6"/>
    <w:rsid w:val="79BB9703"/>
    <w:rsid w:val="79C78A74"/>
    <w:rsid w:val="79D19834"/>
    <w:rsid w:val="79F998F8"/>
    <w:rsid w:val="79FCECDF"/>
    <w:rsid w:val="79FF515B"/>
    <w:rsid w:val="79FF86D5"/>
    <w:rsid w:val="7A7F40BC"/>
    <w:rsid w:val="7ADF5140"/>
    <w:rsid w:val="7AFB0619"/>
    <w:rsid w:val="7AFC370A"/>
    <w:rsid w:val="7AFE3571"/>
    <w:rsid w:val="7B3652CE"/>
    <w:rsid w:val="7B462020"/>
    <w:rsid w:val="7B57255E"/>
    <w:rsid w:val="7B6FE7D3"/>
    <w:rsid w:val="7B7F6251"/>
    <w:rsid w:val="7BA7D2D2"/>
    <w:rsid w:val="7BAE6285"/>
    <w:rsid w:val="7BB68655"/>
    <w:rsid w:val="7BBF8C7E"/>
    <w:rsid w:val="7BCF7421"/>
    <w:rsid w:val="7BED8CE7"/>
    <w:rsid w:val="7BEE79E6"/>
    <w:rsid w:val="7BEEA7DB"/>
    <w:rsid w:val="7BF744D5"/>
    <w:rsid w:val="7BF7A18B"/>
    <w:rsid w:val="7BFBA3AE"/>
    <w:rsid w:val="7BFBE24C"/>
    <w:rsid w:val="7BFF1A5E"/>
    <w:rsid w:val="7BFF2D85"/>
    <w:rsid w:val="7C7FE6A7"/>
    <w:rsid w:val="7CBB32D3"/>
    <w:rsid w:val="7CBD1F46"/>
    <w:rsid w:val="7CBF302B"/>
    <w:rsid w:val="7CBF9DA0"/>
    <w:rsid w:val="7CDB0C3B"/>
    <w:rsid w:val="7CDECFE0"/>
    <w:rsid w:val="7CFE8DAF"/>
    <w:rsid w:val="7CFFADD0"/>
    <w:rsid w:val="7D25044D"/>
    <w:rsid w:val="7D2F5452"/>
    <w:rsid w:val="7D33CC38"/>
    <w:rsid w:val="7D5CE1DA"/>
    <w:rsid w:val="7D5DB228"/>
    <w:rsid w:val="7D736724"/>
    <w:rsid w:val="7DBF60ED"/>
    <w:rsid w:val="7DCA782D"/>
    <w:rsid w:val="7DCE91AB"/>
    <w:rsid w:val="7DD74DD4"/>
    <w:rsid w:val="7DDC8375"/>
    <w:rsid w:val="7DEDA48B"/>
    <w:rsid w:val="7DFF4C64"/>
    <w:rsid w:val="7E17E8BD"/>
    <w:rsid w:val="7E2E7881"/>
    <w:rsid w:val="7E356CE8"/>
    <w:rsid w:val="7E4BBF71"/>
    <w:rsid w:val="7E5DC614"/>
    <w:rsid w:val="7E776BE8"/>
    <w:rsid w:val="7E7E1005"/>
    <w:rsid w:val="7E7F4B7F"/>
    <w:rsid w:val="7E7F8452"/>
    <w:rsid w:val="7E834A8E"/>
    <w:rsid w:val="7E9E1962"/>
    <w:rsid w:val="7E9F11B4"/>
    <w:rsid w:val="7E9F8227"/>
    <w:rsid w:val="7EB53CC8"/>
    <w:rsid w:val="7EB7B29D"/>
    <w:rsid w:val="7EBEDF5D"/>
    <w:rsid w:val="7EBF0853"/>
    <w:rsid w:val="7EC63C0E"/>
    <w:rsid w:val="7ED78C6C"/>
    <w:rsid w:val="7EDD8600"/>
    <w:rsid w:val="7EE7FFB4"/>
    <w:rsid w:val="7EE9DD26"/>
    <w:rsid w:val="7EECB908"/>
    <w:rsid w:val="7EED4538"/>
    <w:rsid w:val="7EEED7C1"/>
    <w:rsid w:val="7EF12E71"/>
    <w:rsid w:val="7EF6D573"/>
    <w:rsid w:val="7EF784CB"/>
    <w:rsid w:val="7EF7E4B2"/>
    <w:rsid w:val="7EFB0BC4"/>
    <w:rsid w:val="7EFF044B"/>
    <w:rsid w:val="7EFF48B7"/>
    <w:rsid w:val="7EFF77A6"/>
    <w:rsid w:val="7EFFE978"/>
    <w:rsid w:val="7F27A2D5"/>
    <w:rsid w:val="7F2F4738"/>
    <w:rsid w:val="7F2F4B6A"/>
    <w:rsid w:val="7F2FED67"/>
    <w:rsid w:val="7F37EC1E"/>
    <w:rsid w:val="7F3A2BFD"/>
    <w:rsid w:val="7F3D3148"/>
    <w:rsid w:val="7F3F3347"/>
    <w:rsid w:val="7F3F4E14"/>
    <w:rsid w:val="7F3F7122"/>
    <w:rsid w:val="7F3FD82C"/>
    <w:rsid w:val="7F539A90"/>
    <w:rsid w:val="7F69E0C4"/>
    <w:rsid w:val="7F6F1983"/>
    <w:rsid w:val="7F6F8ED1"/>
    <w:rsid w:val="7F772826"/>
    <w:rsid w:val="7F7B8F34"/>
    <w:rsid w:val="7F7DCD9D"/>
    <w:rsid w:val="7F7E9102"/>
    <w:rsid w:val="7F7ED532"/>
    <w:rsid w:val="7F7F5395"/>
    <w:rsid w:val="7F7F7F68"/>
    <w:rsid w:val="7F7FC60E"/>
    <w:rsid w:val="7F7FDD68"/>
    <w:rsid w:val="7F8C4F52"/>
    <w:rsid w:val="7F970A6F"/>
    <w:rsid w:val="7F9FA78A"/>
    <w:rsid w:val="7FABFE78"/>
    <w:rsid w:val="7FAF149E"/>
    <w:rsid w:val="7FB3CAD8"/>
    <w:rsid w:val="7FB79B9B"/>
    <w:rsid w:val="7FB9BB47"/>
    <w:rsid w:val="7FBBC342"/>
    <w:rsid w:val="7FBE25DE"/>
    <w:rsid w:val="7FBFFA98"/>
    <w:rsid w:val="7FC1FFF3"/>
    <w:rsid w:val="7FC69637"/>
    <w:rsid w:val="7FD26E69"/>
    <w:rsid w:val="7FD62B99"/>
    <w:rsid w:val="7FD779AC"/>
    <w:rsid w:val="7FDB688A"/>
    <w:rsid w:val="7FDEA339"/>
    <w:rsid w:val="7FDEEC6C"/>
    <w:rsid w:val="7FDF47A6"/>
    <w:rsid w:val="7FDF8620"/>
    <w:rsid w:val="7FE1591A"/>
    <w:rsid w:val="7FE76B92"/>
    <w:rsid w:val="7FE8C8F7"/>
    <w:rsid w:val="7FEBB5D4"/>
    <w:rsid w:val="7FEBEB17"/>
    <w:rsid w:val="7FEDA509"/>
    <w:rsid w:val="7FEEEE2D"/>
    <w:rsid w:val="7FEF988D"/>
    <w:rsid w:val="7FF193BB"/>
    <w:rsid w:val="7FF53638"/>
    <w:rsid w:val="7FF7F1AF"/>
    <w:rsid w:val="7FFAFA60"/>
    <w:rsid w:val="7FFB242F"/>
    <w:rsid w:val="7FFD0B42"/>
    <w:rsid w:val="7FFDB408"/>
    <w:rsid w:val="7FFE4B8B"/>
    <w:rsid w:val="7FFE4EEB"/>
    <w:rsid w:val="7FFF044C"/>
    <w:rsid w:val="7FFF8426"/>
    <w:rsid w:val="877F2794"/>
    <w:rsid w:val="87AFA2AD"/>
    <w:rsid w:val="8ADABDF0"/>
    <w:rsid w:val="8BFF3ED6"/>
    <w:rsid w:val="8FAFC581"/>
    <w:rsid w:val="8FCC461E"/>
    <w:rsid w:val="8FFCC655"/>
    <w:rsid w:val="92F75EB7"/>
    <w:rsid w:val="95FB2B98"/>
    <w:rsid w:val="96D7B9FD"/>
    <w:rsid w:val="96EF4DAB"/>
    <w:rsid w:val="977BE316"/>
    <w:rsid w:val="977F26A7"/>
    <w:rsid w:val="97BECC46"/>
    <w:rsid w:val="9A639BC2"/>
    <w:rsid w:val="9B7669AF"/>
    <w:rsid w:val="9B9FC43B"/>
    <w:rsid w:val="9CEFA3E6"/>
    <w:rsid w:val="9E7F6F6C"/>
    <w:rsid w:val="9E9F18C4"/>
    <w:rsid w:val="9EFE2501"/>
    <w:rsid w:val="9F3F28CC"/>
    <w:rsid w:val="9F4DAADB"/>
    <w:rsid w:val="9FAFD65E"/>
    <w:rsid w:val="9FC5532F"/>
    <w:rsid w:val="9FCE867F"/>
    <w:rsid w:val="9FF71874"/>
    <w:rsid w:val="9FF7753E"/>
    <w:rsid w:val="9FF7D786"/>
    <w:rsid w:val="9FF96644"/>
    <w:rsid w:val="9FFFD1F6"/>
    <w:rsid w:val="A0FE77A3"/>
    <w:rsid w:val="A3BF0914"/>
    <w:rsid w:val="A6CB19B3"/>
    <w:rsid w:val="A6DF7131"/>
    <w:rsid w:val="A73EB630"/>
    <w:rsid w:val="A7DB6613"/>
    <w:rsid w:val="A7F26373"/>
    <w:rsid w:val="A7F5828F"/>
    <w:rsid w:val="A7FF9CD0"/>
    <w:rsid w:val="A92C61A2"/>
    <w:rsid w:val="AA7FA497"/>
    <w:rsid w:val="AAFF421A"/>
    <w:rsid w:val="ABBFB23D"/>
    <w:rsid w:val="ABBFEC1F"/>
    <w:rsid w:val="ABFEF40C"/>
    <w:rsid w:val="AD7DDED5"/>
    <w:rsid w:val="AE723291"/>
    <w:rsid w:val="AEAF4E9C"/>
    <w:rsid w:val="AFF4C321"/>
    <w:rsid w:val="AFFC34AF"/>
    <w:rsid w:val="AFFED9CE"/>
    <w:rsid w:val="AFFFF417"/>
    <w:rsid w:val="B01BA1C8"/>
    <w:rsid w:val="B15F2DA0"/>
    <w:rsid w:val="B27E9ACB"/>
    <w:rsid w:val="B2FF01C6"/>
    <w:rsid w:val="B31EED51"/>
    <w:rsid w:val="B37F79F1"/>
    <w:rsid w:val="B3B7A85C"/>
    <w:rsid w:val="B5DFEA62"/>
    <w:rsid w:val="B67554C1"/>
    <w:rsid w:val="B6760670"/>
    <w:rsid w:val="B6DFDB9E"/>
    <w:rsid w:val="B6FFD2F7"/>
    <w:rsid w:val="B74B2D94"/>
    <w:rsid w:val="B757C0C2"/>
    <w:rsid w:val="B757CD37"/>
    <w:rsid w:val="B7CD0F81"/>
    <w:rsid w:val="B7EE0265"/>
    <w:rsid w:val="B7FFDF7F"/>
    <w:rsid w:val="B97FDBB1"/>
    <w:rsid w:val="B9B7CAA5"/>
    <w:rsid w:val="BAFFEF39"/>
    <w:rsid w:val="BB5DDD80"/>
    <w:rsid w:val="BBBC4BA6"/>
    <w:rsid w:val="BBFCA369"/>
    <w:rsid w:val="BBFDA20D"/>
    <w:rsid w:val="BBFF950E"/>
    <w:rsid w:val="BC4D6948"/>
    <w:rsid w:val="BC4FED1A"/>
    <w:rsid w:val="BC65F5A0"/>
    <w:rsid w:val="BCF83907"/>
    <w:rsid w:val="BD7F73E1"/>
    <w:rsid w:val="BD9784AA"/>
    <w:rsid w:val="BDBFFDCA"/>
    <w:rsid w:val="BDEDCDE5"/>
    <w:rsid w:val="BDF7C996"/>
    <w:rsid w:val="BDFD5D17"/>
    <w:rsid w:val="BDFFB9FB"/>
    <w:rsid w:val="BE4F66A0"/>
    <w:rsid w:val="BE8DC170"/>
    <w:rsid w:val="BEAF9022"/>
    <w:rsid w:val="BED8BF04"/>
    <w:rsid w:val="BEDF6F5B"/>
    <w:rsid w:val="BEFB4FC0"/>
    <w:rsid w:val="BEFEA760"/>
    <w:rsid w:val="BF36A79A"/>
    <w:rsid w:val="BF7B72C7"/>
    <w:rsid w:val="BF7DEBC2"/>
    <w:rsid w:val="BF7EBEF1"/>
    <w:rsid w:val="BF7FF426"/>
    <w:rsid w:val="BF9E2199"/>
    <w:rsid w:val="BF9FBE79"/>
    <w:rsid w:val="BFAB18F4"/>
    <w:rsid w:val="BFBBD4E8"/>
    <w:rsid w:val="BFBD1F2C"/>
    <w:rsid w:val="BFBFDDEB"/>
    <w:rsid w:val="BFC62080"/>
    <w:rsid w:val="BFD57103"/>
    <w:rsid w:val="BFDBDFF3"/>
    <w:rsid w:val="BFDE4044"/>
    <w:rsid w:val="BFDFEE7B"/>
    <w:rsid w:val="BFE6BB19"/>
    <w:rsid w:val="BFEE23DE"/>
    <w:rsid w:val="BFFB8450"/>
    <w:rsid w:val="BFFBFFF6"/>
    <w:rsid w:val="BFFD43EE"/>
    <w:rsid w:val="BFFE0B1C"/>
    <w:rsid w:val="BFFF0EAB"/>
    <w:rsid w:val="BFFF129E"/>
    <w:rsid w:val="BFFF665D"/>
    <w:rsid w:val="BFFFC289"/>
    <w:rsid w:val="BFFFDCD5"/>
    <w:rsid w:val="C3798D33"/>
    <w:rsid w:val="C3B4DA5A"/>
    <w:rsid w:val="C3BFF306"/>
    <w:rsid w:val="C4738172"/>
    <w:rsid w:val="C4CFDCF9"/>
    <w:rsid w:val="CAD5250C"/>
    <w:rsid w:val="CAFE6367"/>
    <w:rsid w:val="CB5ED997"/>
    <w:rsid w:val="CB6F8965"/>
    <w:rsid w:val="CBFF70E0"/>
    <w:rsid w:val="CD77B920"/>
    <w:rsid w:val="CDFB5840"/>
    <w:rsid w:val="CDFF49DD"/>
    <w:rsid w:val="CE5A7911"/>
    <w:rsid w:val="CE9E3EE7"/>
    <w:rsid w:val="CECFC292"/>
    <w:rsid w:val="CF5F00D7"/>
    <w:rsid w:val="CFACF7D4"/>
    <w:rsid w:val="CFEE39DD"/>
    <w:rsid w:val="CFF3D75A"/>
    <w:rsid w:val="CFF50B82"/>
    <w:rsid w:val="CFF77DEC"/>
    <w:rsid w:val="CFFEA122"/>
    <w:rsid w:val="CFFFAD89"/>
    <w:rsid w:val="D149C443"/>
    <w:rsid w:val="D1AE348E"/>
    <w:rsid w:val="D1DD4D81"/>
    <w:rsid w:val="D1F8CE52"/>
    <w:rsid w:val="D1FF0A33"/>
    <w:rsid w:val="D2B3375F"/>
    <w:rsid w:val="D39F95AC"/>
    <w:rsid w:val="D4E7611F"/>
    <w:rsid w:val="D585B937"/>
    <w:rsid w:val="D5EF3739"/>
    <w:rsid w:val="D5FBEA1F"/>
    <w:rsid w:val="D5FF12AF"/>
    <w:rsid w:val="D7726A9E"/>
    <w:rsid w:val="D7C399DD"/>
    <w:rsid w:val="D7F3CB12"/>
    <w:rsid w:val="D7FE38CF"/>
    <w:rsid w:val="D9CF127A"/>
    <w:rsid w:val="DAAF7ECA"/>
    <w:rsid w:val="DAF7214E"/>
    <w:rsid w:val="DB2FDBB9"/>
    <w:rsid w:val="DB3F9CA4"/>
    <w:rsid w:val="DB72BF92"/>
    <w:rsid w:val="DB78F8ED"/>
    <w:rsid w:val="DBBEC0EA"/>
    <w:rsid w:val="DBDBFAD4"/>
    <w:rsid w:val="DBF7B2E6"/>
    <w:rsid w:val="DBF7CA2C"/>
    <w:rsid w:val="DBF7E645"/>
    <w:rsid w:val="DBFF334B"/>
    <w:rsid w:val="DD3EC0E0"/>
    <w:rsid w:val="DD9B136D"/>
    <w:rsid w:val="DDDD00DB"/>
    <w:rsid w:val="DDFC7E61"/>
    <w:rsid w:val="DDFC87BC"/>
    <w:rsid w:val="DE17BF07"/>
    <w:rsid w:val="DE6732A4"/>
    <w:rsid w:val="DE7C7199"/>
    <w:rsid w:val="DE7F3FCA"/>
    <w:rsid w:val="DEA8CACC"/>
    <w:rsid w:val="DEF56B09"/>
    <w:rsid w:val="DF0BB078"/>
    <w:rsid w:val="DF539270"/>
    <w:rsid w:val="DF5FD7F2"/>
    <w:rsid w:val="DF76A898"/>
    <w:rsid w:val="DF77AB40"/>
    <w:rsid w:val="DF78D51C"/>
    <w:rsid w:val="DF7938B5"/>
    <w:rsid w:val="DF7FB668"/>
    <w:rsid w:val="DF8D86A7"/>
    <w:rsid w:val="DFD3DE05"/>
    <w:rsid w:val="DFE625A2"/>
    <w:rsid w:val="DFEFD74C"/>
    <w:rsid w:val="DFF22C13"/>
    <w:rsid w:val="DFF9D553"/>
    <w:rsid w:val="DFFB0645"/>
    <w:rsid w:val="DFFCE4BB"/>
    <w:rsid w:val="DFFD8C04"/>
    <w:rsid w:val="DFFE359E"/>
    <w:rsid w:val="DFFE4FFD"/>
    <w:rsid w:val="DFFEF459"/>
    <w:rsid w:val="DFFF2D00"/>
    <w:rsid w:val="DFFF359A"/>
    <w:rsid w:val="DFFF6811"/>
    <w:rsid w:val="DFFFC5C1"/>
    <w:rsid w:val="E0FFF36E"/>
    <w:rsid w:val="E3DF3CC2"/>
    <w:rsid w:val="E77FEF4C"/>
    <w:rsid w:val="E7DBBCD2"/>
    <w:rsid w:val="E7F27BA8"/>
    <w:rsid w:val="E7F3BDD7"/>
    <w:rsid w:val="E7F79665"/>
    <w:rsid w:val="E8A1AFFE"/>
    <w:rsid w:val="E8F65029"/>
    <w:rsid w:val="E9FE21DF"/>
    <w:rsid w:val="EA9FDBC7"/>
    <w:rsid w:val="EAB69431"/>
    <w:rsid w:val="EAFBC90E"/>
    <w:rsid w:val="EB593DF3"/>
    <w:rsid w:val="EBA7009B"/>
    <w:rsid w:val="EBB76860"/>
    <w:rsid w:val="EC5EF1B3"/>
    <w:rsid w:val="EC7BF61B"/>
    <w:rsid w:val="ECEF5ECE"/>
    <w:rsid w:val="ED3F3F3D"/>
    <w:rsid w:val="ED5C3A96"/>
    <w:rsid w:val="EDB90D06"/>
    <w:rsid w:val="EDFE06DA"/>
    <w:rsid w:val="EDFF15FE"/>
    <w:rsid w:val="EEABED75"/>
    <w:rsid w:val="EEC5C0DA"/>
    <w:rsid w:val="EEDF10D1"/>
    <w:rsid w:val="EEDFCC17"/>
    <w:rsid w:val="EEFA64D9"/>
    <w:rsid w:val="EF2B6FEF"/>
    <w:rsid w:val="EF3DBC43"/>
    <w:rsid w:val="EF552505"/>
    <w:rsid w:val="EF6B49D3"/>
    <w:rsid w:val="EF6F94AE"/>
    <w:rsid w:val="EF9D9D5F"/>
    <w:rsid w:val="EF9E9C72"/>
    <w:rsid w:val="EFB7456D"/>
    <w:rsid w:val="EFBF271A"/>
    <w:rsid w:val="EFD581B6"/>
    <w:rsid w:val="EFE81DED"/>
    <w:rsid w:val="EFEFFB62"/>
    <w:rsid w:val="EFF3F162"/>
    <w:rsid w:val="EFF9502C"/>
    <w:rsid w:val="EFFABC3D"/>
    <w:rsid w:val="EFFD0745"/>
    <w:rsid w:val="EFFF2CD3"/>
    <w:rsid w:val="EFFFB01E"/>
    <w:rsid w:val="F05FAD1F"/>
    <w:rsid w:val="F1AFAADE"/>
    <w:rsid w:val="F2EFDF81"/>
    <w:rsid w:val="F30E4927"/>
    <w:rsid w:val="F34F38B5"/>
    <w:rsid w:val="F36E0937"/>
    <w:rsid w:val="F39716FC"/>
    <w:rsid w:val="F3CBA98D"/>
    <w:rsid w:val="F3F770EF"/>
    <w:rsid w:val="F3FF82C7"/>
    <w:rsid w:val="F3FFCF23"/>
    <w:rsid w:val="F547C7FB"/>
    <w:rsid w:val="F56FDF51"/>
    <w:rsid w:val="F59DEF79"/>
    <w:rsid w:val="F5FF14C3"/>
    <w:rsid w:val="F67E8FA7"/>
    <w:rsid w:val="F6AB5738"/>
    <w:rsid w:val="F6B69F17"/>
    <w:rsid w:val="F6F1AB15"/>
    <w:rsid w:val="F6FDAE23"/>
    <w:rsid w:val="F73F309E"/>
    <w:rsid w:val="F759F5C9"/>
    <w:rsid w:val="F75C941F"/>
    <w:rsid w:val="F76FA050"/>
    <w:rsid w:val="F771C1CD"/>
    <w:rsid w:val="F77E8C02"/>
    <w:rsid w:val="F77F1D61"/>
    <w:rsid w:val="F77F1FC4"/>
    <w:rsid w:val="F77FB192"/>
    <w:rsid w:val="F799B83E"/>
    <w:rsid w:val="F7CF7C08"/>
    <w:rsid w:val="F7DE2FA7"/>
    <w:rsid w:val="F7EB302C"/>
    <w:rsid w:val="F7EB84C9"/>
    <w:rsid w:val="F7F20ECA"/>
    <w:rsid w:val="F7F664BB"/>
    <w:rsid w:val="F7F697D9"/>
    <w:rsid w:val="F7F8180A"/>
    <w:rsid w:val="F7FE6C88"/>
    <w:rsid w:val="F7FED3A9"/>
    <w:rsid w:val="F7FF1D6D"/>
    <w:rsid w:val="F87FC5B1"/>
    <w:rsid w:val="F8C9DB26"/>
    <w:rsid w:val="F8D7E133"/>
    <w:rsid w:val="F8F6C952"/>
    <w:rsid w:val="F957FA99"/>
    <w:rsid w:val="F976BF64"/>
    <w:rsid w:val="F97E8EAE"/>
    <w:rsid w:val="F9E6B0C8"/>
    <w:rsid w:val="F9EFC069"/>
    <w:rsid w:val="F9FF724F"/>
    <w:rsid w:val="FA5FE2A2"/>
    <w:rsid w:val="FA6F15BB"/>
    <w:rsid w:val="FA78D342"/>
    <w:rsid w:val="FA7FFEDC"/>
    <w:rsid w:val="FABF8CC2"/>
    <w:rsid w:val="FAD759C6"/>
    <w:rsid w:val="FAF766A4"/>
    <w:rsid w:val="FAFB570D"/>
    <w:rsid w:val="FB36E1A6"/>
    <w:rsid w:val="FB3BE134"/>
    <w:rsid w:val="FB3E3F4D"/>
    <w:rsid w:val="FB5D70B0"/>
    <w:rsid w:val="FB733A32"/>
    <w:rsid w:val="FB757963"/>
    <w:rsid w:val="FB758AFE"/>
    <w:rsid w:val="FB7F1215"/>
    <w:rsid w:val="FB7FA96E"/>
    <w:rsid w:val="FB93E534"/>
    <w:rsid w:val="FB9F8274"/>
    <w:rsid w:val="FBBAE429"/>
    <w:rsid w:val="FBBD6AC8"/>
    <w:rsid w:val="FBBD9D5D"/>
    <w:rsid w:val="FBBDF994"/>
    <w:rsid w:val="FBBFEC3E"/>
    <w:rsid w:val="FBCD506B"/>
    <w:rsid w:val="FBD3C71C"/>
    <w:rsid w:val="FBD42D1C"/>
    <w:rsid w:val="FBDE84A1"/>
    <w:rsid w:val="FBDFD8B4"/>
    <w:rsid w:val="FBED8B7A"/>
    <w:rsid w:val="FBEFCE1D"/>
    <w:rsid w:val="FBEFF3B8"/>
    <w:rsid w:val="FBF38FB1"/>
    <w:rsid w:val="FBFA0D6C"/>
    <w:rsid w:val="FBFB8DCB"/>
    <w:rsid w:val="FBFBAA60"/>
    <w:rsid w:val="FBFDE114"/>
    <w:rsid w:val="FBFF15EF"/>
    <w:rsid w:val="FBFF37B5"/>
    <w:rsid w:val="FBFF48BF"/>
    <w:rsid w:val="FBFFAEC3"/>
    <w:rsid w:val="FC395B18"/>
    <w:rsid w:val="FC9D2341"/>
    <w:rsid w:val="FC9FDD0F"/>
    <w:rsid w:val="FCC730C5"/>
    <w:rsid w:val="FCCB4F74"/>
    <w:rsid w:val="FCFF4275"/>
    <w:rsid w:val="FD3B4CC9"/>
    <w:rsid w:val="FD5E6492"/>
    <w:rsid w:val="FD7C18D9"/>
    <w:rsid w:val="FD7DCC9B"/>
    <w:rsid w:val="FD7E6145"/>
    <w:rsid w:val="FD7FB69F"/>
    <w:rsid w:val="FD7FEEEA"/>
    <w:rsid w:val="FD8AB93C"/>
    <w:rsid w:val="FDAF923C"/>
    <w:rsid w:val="FDBB6688"/>
    <w:rsid w:val="FDBCF39B"/>
    <w:rsid w:val="FDD36E24"/>
    <w:rsid w:val="FDE57024"/>
    <w:rsid w:val="FDEA81BA"/>
    <w:rsid w:val="FDEEE096"/>
    <w:rsid w:val="FDF00DE4"/>
    <w:rsid w:val="FDF31EC6"/>
    <w:rsid w:val="FDF4F52D"/>
    <w:rsid w:val="FDF51254"/>
    <w:rsid w:val="FDF6240D"/>
    <w:rsid w:val="FDFDB3ED"/>
    <w:rsid w:val="FDFE7250"/>
    <w:rsid w:val="FDFF59FA"/>
    <w:rsid w:val="FDFFB577"/>
    <w:rsid w:val="FE183ADA"/>
    <w:rsid w:val="FE2B3D18"/>
    <w:rsid w:val="FE37116A"/>
    <w:rsid w:val="FE4F9E9B"/>
    <w:rsid w:val="FE7395CE"/>
    <w:rsid w:val="FE7711DC"/>
    <w:rsid w:val="FE7F00C2"/>
    <w:rsid w:val="FE7FFFBC"/>
    <w:rsid w:val="FEAF0906"/>
    <w:rsid w:val="FEB2FB93"/>
    <w:rsid w:val="FEBDA5A5"/>
    <w:rsid w:val="FEC7FEDB"/>
    <w:rsid w:val="FEC88E0F"/>
    <w:rsid w:val="FECF137A"/>
    <w:rsid w:val="FEEA50FE"/>
    <w:rsid w:val="FEEB6BB3"/>
    <w:rsid w:val="FEEBA9DF"/>
    <w:rsid w:val="FEFE06A5"/>
    <w:rsid w:val="FEFEDDB0"/>
    <w:rsid w:val="FEFF4246"/>
    <w:rsid w:val="FEFF8657"/>
    <w:rsid w:val="FF37088B"/>
    <w:rsid w:val="FF4F1E63"/>
    <w:rsid w:val="FF4F869B"/>
    <w:rsid w:val="FF769EF7"/>
    <w:rsid w:val="FF775E88"/>
    <w:rsid w:val="FF77A3E3"/>
    <w:rsid w:val="FF7A5A07"/>
    <w:rsid w:val="FF7B0725"/>
    <w:rsid w:val="FF7C7A35"/>
    <w:rsid w:val="FF7D47A9"/>
    <w:rsid w:val="FF7E90CF"/>
    <w:rsid w:val="FF7F12F6"/>
    <w:rsid w:val="FF7F1AAF"/>
    <w:rsid w:val="FF7F36F5"/>
    <w:rsid w:val="FF7F9655"/>
    <w:rsid w:val="FF8BB4D3"/>
    <w:rsid w:val="FF9B56A9"/>
    <w:rsid w:val="FF9CF200"/>
    <w:rsid w:val="FF9DB604"/>
    <w:rsid w:val="FFA714D0"/>
    <w:rsid w:val="FFA73F7E"/>
    <w:rsid w:val="FFB58C73"/>
    <w:rsid w:val="FFB96C6C"/>
    <w:rsid w:val="FFBA4960"/>
    <w:rsid w:val="FFBDBED9"/>
    <w:rsid w:val="FFBF3453"/>
    <w:rsid w:val="FFBF4125"/>
    <w:rsid w:val="FFBF443F"/>
    <w:rsid w:val="FFBF794D"/>
    <w:rsid w:val="FFBFEA47"/>
    <w:rsid w:val="FFC25315"/>
    <w:rsid w:val="FFCF21CB"/>
    <w:rsid w:val="FFD2C1B9"/>
    <w:rsid w:val="FFD7ADD9"/>
    <w:rsid w:val="FFDF9098"/>
    <w:rsid w:val="FFDFC422"/>
    <w:rsid w:val="FFE5920A"/>
    <w:rsid w:val="FFE84D49"/>
    <w:rsid w:val="FFE9E1C2"/>
    <w:rsid w:val="FFEA1166"/>
    <w:rsid w:val="FFEE870A"/>
    <w:rsid w:val="FFEF0882"/>
    <w:rsid w:val="FFEF1CDA"/>
    <w:rsid w:val="FFEF3B24"/>
    <w:rsid w:val="FFEFCBD3"/>
    <w:rsid w:val="FFF1BB0D"/>
    <w:rsid w:val="FFF3E17D"/>
    <w:rsid w:val="FFF769D7"/>
    <w:rsid w:val="FFF7FCEF"/>
    <w:rsid w:val="FFF9E40E"/>
    <w:rsid w:val="FFFA5937"/>
    <w:rsid w:val="FFFB8244"/>
    <w:rsid w:val="FFFBB4A3"/>
    <w:rsid w:val="FFFBDDEE"/>
    <w:rsid w:val="FFFBF786"/>
    <w:rsid w:val="FFFE8260"/>
    <w:rsid w:val="FFFF109F"/>
    <w:rsid w:val="FFFF1C8B"/>
    <w:rsid w:val="FFFF51BE"/>
    <w:rsid w:val="FFFF60CA"/>
    <w:rsid w:val="FFFF65D1"/>
    <w:rsid w:val="FFFF7457"/>
    <w:rsid w:val="FFFF970C"/>
    <w:rsid w:val="FFFFC52D"/>
    <w:rsid w:val="FFFFD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639B"/>
  <w15:docId w15:val="{FEFAB2AE-84A6-4F92-B364-E22B5BC9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480"/>
      <w:outlineLvl w:val="0"/>
    </w:pPr>
    <w:rPr>
      <w:rFonts w:asciiTheme="majorHAnsi" w:eastAsiaTheme="majorEastAsia" w:hAnsiTheme="majorHAnsi" w:cstheme="majorBidi"/>
      <w:b/>
      <w:bCs/>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qFormat/>
    <w:pPr>
      <w:spacing w:after="120"/>
    </w:pPr>
  </w:style>
  <w:style w:type="paragraph" w:styleId="TOC5">
    <w:name w:val="toc 5"/>
    <w:basedOn w:val="a"/>
    <w:next w:val="a"/>
    <w:uiPriority w:val="99"/>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3505</Words>
  <Characters>19981</Characters>
  <Application>Microsoft Office Word</Application>
  <DocSecurity>0</DocSecurity>
  <Lines>166</Lines>
  <Paragraphs>46</Paragraphs>
  <ScaleCrop>false</ScaleCrop>
  <Company>Microsoft</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2025-09-13T17:02:00Z</cp:lastPrinted>
  <dcterms:created xsi:type="dcterms:W3CDTF">2025-08-22T02:17:00Z</dcterms:created>
  <dcterms:modified xsi:type="dcterms:W3CDTF">2025-12-04T07:15:00Z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BB7B6AA21D207914D6FDA268992A22D6</vt:lpwstr>
  </property>
</Properties>
</file>