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jc w:val="both"/>
        <w:rPr>
          <w:rFonts w:hAnsi="黑体"/>
          <w:sz w:val="36"/>
          <w:szCs w:val="36"/>
        </w:rPr>
      </w:pPr>
    </w:p>
    <w:p>
      <w:pPr>
        <w:pStyle w:val="16"/>
        <w:jc w:val="center"/>
        <w:rPr>
          <w:rFonts w:ascii="Times New Roman" w:hAnsi="Times New Roman" w:cs="Times New Roman"/>
          <w:sz w:val="56"/>
          <w:szCs w:val="56"/>
        </w:rPr>
      </w:pPr>
    </w:p>
    <w:p>
      <w:pPr>
        <w:pStyle w:val="16"/>
        <w:jc w:val="center"/>
        <w:rPr>
          <w:rFonts w:ascii="Times New Roman" w:hAnsi="Times New Roman" w:cs="Times New Roman"/>
          <w:sz w:val="84"/>
          <w:szCs w:val="84"/>
        </w:rPr>
      </w:pPr>
    </w:p>
    <w:p>
      <w:pPr>
        <w:pStyle w:val="16"/>
        <w:jc w:val="center"/>
        <w:rPr>
          <w:rFonts w:ascii="Times New Roman" w:hAnsi="Times New Roman" w:cs="Times New Roman"/>
          <w:sz w:val="84"/>
          <w:szCs w:val="84"/>
        </w:rPr>
      </w:pPr>
    </w:p>
    <w:p>
      <w:pPr>
        <w:pStyle w:val="16"/>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pPr>
        <w:pStyle w:val="16"/>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eastAsia="zh-CN"/>
        </w:rPr>
        <w:t>祁阳市市场监督管理局</w:t>
      </w:r>
      <w:r>
        <w:rPr>
          <w:rFonts w:ascii="Times New Roman" w:hAnsi="Times New Roman" w:eastAsia="方正小标宋简体" w:cs="Times New Roman"/>
          <w:sz w:val="72"/>
          <w:szCs w:val="72"/>
        </w:rPr>
        <w:t>决算</w:t>
      </w:r>
    </w:p>
    <w:p>
      <w:pPr>
        <w:pStyle w:val="16"/>
        <w:jc w:val="center"/>
        <w:rPr>
          <w:rFonts w:ascii="Times New Roman" w:hAnsi="Times New Roman" w:eastAsia="方正小标宋_GBK" w:cs="Times New Roman"/>
          <w:sz w:val="56"/>
          <w:szCs w:val="56"/>
        </w:rPr>
      </w:pPr>
    </w:p>
    <w:p>
      <w:pPr>
        <w:pStyle w:val="16"/>
        <w:jc w:val="center"/>
        <w:rPr>
          <w:rFonts w:ascii="Times New Roman" w:hAnsi="Times New Roman" w:cs="Times New Roman"/>
          <w:sz w:val="56"/>
          <w:szCs w:val="56"/>
        </w:rPr>
      </w:pPr>
    </w:p>
    <w:p>
      <w:pPr>
        <w:pStyle w:val="16"/>
        <w:rPr>
          <w:rFonts w:ascii="Times New Roman" w:hAnsi="Times New Roman" w:cs="Times New Roman"/>
          <w:sz w:val="56"/>
          <w:szCs w:val="56"/>
        </w:rPr>
      </w:pPr>
    </w:p>
    <w:p>
      <w:pPr>
        <w:pStyle w:val="16"/>
        <w:jc w:val="center"/>
        <w:rPr>
          <w:rFonts w:ascii="Times New Roman" w:hAnsi="Times New Roman" w:cs="Times New Roman"/>
          <w:sz w:val="32"/>
          <w:szCs w:val="32"/>
        </w:rPr>
      </w:pPr>
    </w:p>
    <w:p>
      <w:pPr>
        <w:pStyle w:val="16"/>
        <w:jc w:val="center"/>
        <w:rPr>
          <w:rFonts w:ascii="Times New Roman" w:hAnsi="Times New Roman" w:cs="Times New Roman"/>
          <w:sz w:val="32"/>
          <w:szCs w:val="32"/>
        </w:rPr>
      </w:pPr>
    </w:p>
    <w:p>
      <w:pPr>
        <w:pStyle w:val="16"/>
        <w:jc w:val="center"/>
        <w:rPr>
          <w:rFonts w:ascii="Times New Roman" w:hAnsi="Times New Roman" w:cs="Times New Roman"/>
          <w:sz w:val="32"/>
          <w:szCs w:val="32"/>
        </w:rPr>
      </w:pPr>
    </w:p>
    <w:p>
      <w:pPr>
        <w:pStyle w:val="16"/>
        <w:jc w:val="center"/>
        <w:rPr>
          <w:rFonts w:ascii="Times New Roman" w:hAnsi="Times New Roman" w:cs="Times New Roman"/>
          <w:sz w:val="32"/>
          <w:szCs w:val="32"/>
        </w:rPr>
      </w:pPr>
    </w:p>
    <w:p>
      <w:pPr>
        <w:pStyle w:val="16"/>
        <w:jc w:val="center"/>
        <w:rPr>
          <w:rFonts w:ascii="Times New Roman" w:hAnsi="Times New Roman" w:cs="Times New Roman"/>
          <w:sz w:val="32"/>
          <w:szCs w:val="32"/>
        </w:rPr>
      </w:pPr>
    </w:p>
    <w:p>
      <w:pPr>
        <w:pStyle w:val="16"/>
        <w:jc w:val="center"/>
        <w:rPr>
          <w:rFonts w:ascii="Times New Roman" w:hAnsi="Times New Roman" w:cs="Times New Roman"/>
          <w:sz w:val="32"/>
          <w:szCs w:val="32"/>
        </w:rPr>
      </w:pPr>
    </w:p>
    <w:p>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pPr>
        <w:pStyle w:val="16"/>
        <w:spacing w:line="600" w:lineRule="exact"/>
        <w:jc w:val="both"/>
        <w:rPr>
          <w:rFonts w:ascii="Times New Roman" w:hAnsi="Times New Roman" w:cs="Times New Roman"/>
          <w:b/>
          <w:sz w:val="36"/>
          <w:szCs w:val="28"/>
        </w:rPr>
      </w:pPr>
    </w:p>
    <w:p>
      <w:pPr>
        <w:pStyle w:val="16"/>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pPr>
        <w:pStyle w:val="16"/>
        <w:spacing w:line="600" w:lineRule="exact"/>
        <w:jc w:val="center"/>
        <w:rPr>
          <w:rFonts w:ascii="Times New Roman" w:hAnsi="Times New Roman" w:cs="Times New Roman"/>
          <w:b/>
          <w:sz w:val="36"/>
          <w:szCs w:val="28"/>
        </w:rPr>
      </w:pPr>
    </w:p>
    <w:p>
      <w:pPr>
        <w:pStyle w:val="16"/>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祁阳市市场监督管理局</w:t>
      </w:r>
      <w:r>
        <w:rPr>
          <w:rFonts w:ascii="Times New Roman" w:hAnsi="Times New Roman" w:cs="Times New Roman"/>
          <w:bCs/>
          <w:sz w:val="32"/>
          <w:szCs w:val="32"/>
        </w:rPr>
        <w:t>概况</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pPr>
        <w:pStyle w:val="16"/>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pPr>
        <w:pStyle w:val="16"/>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pPr>
        <w:pStyle w:val="16"/>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pPr>
        <w:pStyle w:val="16"/>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pPr>
        <w:pStyle w:val="16"/>
        <w:spacing w:line="600" w:lineRule="exact"/>
        <w:rPr>
          <w:rFonts w:ascii="Times New Roman" w:hAnsi="Times New Roman" w:cs="Times New Roman"/>
          <w:bCs/>
          <w:sz w:val="28"/>
          <w:szCs w:val="28"/>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pStyle w:val="10"/>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pPr>
        <w:rPr>
          <w:rFonts w:ascii="Times New Roman" w:hAnsi="Times New Roman" w:eastAsia="方正小标宋_GBK" w:cs="Times New Roman"/>
          <w:sz w:val="72"/>
          <w:szCs w:val="72"/>
        </w:rPr>
      </w:pPr>
    </w:p>
    <w:p>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pPr>
        <w:pStyle w:val="16"/>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祁阳市市场监督管理局</w:t>
      </w:r>
      <w:r>
        <w:rPr>
          <w:rFonts w:ascii="Times New Roman" w:hAnsi="Times New Roman" w:eastAsia="方正小标宋_GBK" w:cs="Times New Roman"/>
          <w:sz w:val="52"/>
          <w:szCs w:val="52"/>
        </w:rPr>
        <w:t>概况</w:t>
      </w:r>
    </w:p>
    <w:p>
      <w:pPr>
        <w:pStyle w:val="6"/>
        <w:ind w:left="0" w:leftChars="0" w:firstLine="0" w:firstLineChars="0"/>
        <w:rPr>
          <w:rFonts w:ascii="Times New Roman" w:hAnsi="Times New Roman" w:cs="Times New Roman"/>
        </w:rPr>
      </w:pPr>
    </w:p>
    <w:p>
      <w:pPr>
        <w:pStyle w:val="17"/>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负责市场综合监督管理。贯彻执行国家、省、市有关市场监督管理的方针政策和法律法规，起草市场监督管理地方性法规、规范性文件草案，组织实施质量强市战略、食品安全战略、标准化战略和知识产权战略，拟订并组织实施有关规划，规范和维护市场秩序，营造诚实守信、公平竞争的市场环境。</w:t>
      </w:r>
    </w:p>
    <w:p>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负责市场主体统一登记注册。负责全市各类企业、农民专业合作社和从事经营活动的单位、个体工商户等市场主体的登记注册和监督管理工作。建立市场主体信息公示和共享机制，依法公示和共享有关信息，加强信用监管，推动市场主体信用体系建设。</w:t>
      </w:r>
    </w:p>
    <w:p>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三）负责权限范围内食品、药品、医疗器械、化妆品、特种设备、计量器具的许可管理。负责权限内食品生产、流通和餐饮服务环节的行政许可。负责权限内药品流通环节的行政许可。负责权限内医疗器械备案及医疗器械经营环节的行政许可。负责权限内特种设备、计量器具的行政许可及备案工作。</w:t>
      </w:r>
    </w:p>
    <w:p>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(四）负责组织和指导市场监管综合执法工作。指导全市市场监管综合执法队伍整合和建设，推动实行统一的市场监管。组织查处重大违法案件。规范市场监管行政执法行为。</w:t>
      </w:r>
    </w:p>
    <w:p>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五）根据上级委托负责反垄断工作。统筹推进竞争政策实施，组织实施公平竞争审查制度。根据委托依法对经营者集中行为进行反垄断审查，根据委托负责承担垄断协议、滥用市场支配地位和滥用行政权力排除、限制竞争等反垄断执法工作。</w:t>
      </w:r>
    </w:p>
    <w:p>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六）负责监督管理市场秩序。依法监督管理市场交易、网络商品交易及有关服务的行为。组织指导查处价格收费违法违规、不正当竞争、违法直销、传销、侵犯商标专利知识产权和制售假冒伪劣行为。指导广告业的发展，监督管理广告活动。指导依法查处无照生产经营和相关无证生产经营行为。</w:t>
      </w:r>
    </w:p>
    <w:p>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（七）负责宏观质量管理。拟订并组织实施质量强市发展的制度措施，会同有关部门组织实施较大工程设备质量监理制度，组织较大产品质量事故调查，贯彻实施缺陷产品召回制度，监督管理产品防伪工作。</w:t>
      </w:r>
    </w:p>
    <w:p>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（八）负责产品质量安全监督管理。管理产品质量安全风险监控、全市监督抽查工作，落实质量分级制度、质量安全追溯制度。负责工业产品生产许可管理。负责纤维质量监督工作。</w:t>
      </w:r>
    </w:p>
    <w:p>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（九）负责特种设备安全监督管理。综合管理特种设备安全监察、监督工作，监督检查高耗能特种设备节能标准和锅炉环境保护标准的执行情况。按规定权限组织调查处理特种设备事故并进行统计分析。</w:t>
      </w:r>
    </w:p>
    <w:p>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十）负责食品安全监督管理综合协调。组织制定食品安全有关政策措施并组织实施。负责食品安全应急体系建设，组织指导较大食品安全事件应急处置和调查处理工作。建立健全食品安全重要信息直报制度。承担市食品安全委员会日常工作。</w:t>
      </w:r>
    </w:p>
    <w:p>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十一）负责食品安全监督管理。建立覆盖食品生产、流通、消费全过程的监督检查制度和隐患排查治理机制并组织实施，防范区域性、系统性食品安全风险。推动建立食品生产经营者落实主体责任的机制，健全食品安全追溯体系。组织开展食品安全监督抽检、风险监测、核查处置和风险预警、风险交流工作。组织实施特殊食品监督管理。负责食盐专营管理和食盐安全监督管理。</w:t>
      </w:r>
    </w:p>
    <w:p>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（十二）负责统一管理计量工作。推行法定计量单位和国家计量制度，依职责管理计量器具及量值传递和比对工作。规范、监督商品量和市场计量行为。</w:t>
      </w:r>
    </w:p>
    <w:p>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（十三）负责统一管理标准化工作。指导开展标准化试点示范工作。依据法定职责，对标准的制定进行指导监督，对标准的实施进行监督检查。推行采用国际标准。</w:t>
      </w:r>
    </w:p>
    <w:p>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（十四）负责统一管理检验检测工作。规范检验检测市场，完善检验检测体系，指导协调检验检测行业发展。</w:t>
      </w:r>
    </w:p>
    <w:p>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（十五）负责统一管理、监督和综合协调全市认证认可工作。依法监督管理全市认证认可和合格评定有关活动。</w:t>
      </w:r>
    </w:p>
    <w:p>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（十六）负责市场监督管理、知识产权领域科技和信息化建设、新闻宣传、对外交流与合作。按规定承担技术性贸易措施有关工作。</w:t>
      </w:r>
    </w:p>
    <w:p>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（十七）负责实施知识产权战略，推进知识产权强市建设。组织制定实施知识产权创造、保护、运用的政策措施。负责知识产权公共服务体系建设、推动知识产权信息传播利用。统筹协调涉外知识产权有关事宜。</w:t>
      </w:r>
    </w:p>
    <w:p>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（十八）负责保护知识产权。落实严格保护商标、专利、原产地地理标志等相关工作，负责知识产权保护体系建设，组织指导商标、专利执法工作。</w:t>
      </w:r>
    </w:p>
    <w:p>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（十九）负责知识产权创造运用。按权限负责商标、专利和原产地地理标志的管理，开展知识产权运营体系建设和知识产权评议工作，规范知识产权交易和无形资产评估，促进知识产权转移转化。</w:t>
      </w:r>
    </w:p>
    <w:p>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（二十）负责组织开展有关服务领域消费维权工作，查处制售假冒伪劣等违法行为，指导消费者咨询、申诉、举报受理、处理和网络体系建设等工作，保护经营者、消费者合法权益。</w:t>
      </w:r>
    </w:p>
    <w:p>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十一）负责职责范围内的药品、医疗器械和化妆品的质量管理。监督实施药品、医疗器械、化妆品标准和分类管理制度，配合有关部门实施国家基本药物制度。监督实施药品经营质量管理规范，监督实施医疗器械经营、使用质量管理规范，监督实施化妆品经营、使用卫生标准和技术规范。</w:t>
      </w:r>
    </w:p>
    <w:p>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（二十二）负责职责范围内药品、医疗器械和化妆品上市后风险管理。指导开展药品不良反应、医疗器械不良事件的监测和处置工作。依法承担药品、医疗器械和化妆品安全应急管理工作。</w:t>
      </w:r>
    </w:p>
    <w:p>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十三）负责组织实施职责范围内药品、医疗器械和化妆品监督检查。制定检查制度，依法查处药品零售、医疗器械和化妆品经营环节违法行为，以及药品、医疗器械使用环节违法行为。依职责组织指导查处其他环节违法行为。</w:t>
      </w:r>
    </w:p>
    <w:p>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（二十四）负责市委组织部门安排的小微企业、个体工商户、专业市场的党建工作，指导全市相关工作。</w:t>
      </w:r>
    </w:p>
    <w:p>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（二十五）完成市委、市人民政府交办的其他任务。</w:t>
      </w:r>
    </w:p>
    <w:p>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祁阳市市场监督管理局内设机构包括：办公室、人事股、科技和财务股、政策法规股、行政审批股、信用监督管理股、网络交易监督管理股、广告监督管理股、消费者权益保护股（投诉举报办公室）、质量发展与安全管理股、食品安全协调股、食品生产安全监督管理股、餐饮服务食品安全监督管理股、食品流通安全监督管理股、特殊食品安全及化妆品监督管理股、特种设备安全监察股（安全生产办公室）、计量股、标准化与认证认可监督管理股、药品与医疗器械监督管理股、知识产权监督管理股</w:t>
      </w:r>
      <w:r>
        <w:rPr>
          <w:rFonts w:hint="eastAsia" w:ascii="Times New Roman" w:hAnsi="Times New Roman" w:eastAsia="仿宋_GB2312" w:cs="仿宋_GB2312"/>
          <w:bCs/>
          <w:kern w:val="0"/>
          <w:sz w:val="32"/>
          <w:szCs w:val="32"/>
          <w:lang w:eastAsia="zh-CN"/>
        </w:rPr>
        <w:t>、</w:t>
      </w:r>
      <w:r>
        <w:rPr>
          <w:rFonts w:hint="eastAsia" w:ascii="Times New Roman" w:hAnsi="Times New Roman" w:eastAsia="仿宋_GB2312" w:cs="仿宋_GB2312"/>
          <w:bCs/>
          <w:kern w:val="0"/>
          <w:sz w:val="32"/>
          <w:szCs w:val="32"/>
        </w:rPr>
        <w:t>非公有制经济组织党建办公室共21个职能股室、价格监督检查和反不正当竞争分局（规范直销与打击传销办公室、反垄断办公室）1个直属分局、市食品药品稽查大队等7个事业单位，下设浯溪、长虹、龙山、白水、黎家坪、文明铺、进宝塘、三口塘、潘市9个基层监督管理所。截至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rPr>
        <w:t>年底局机关共有人员编制</w:t>
      </w:r>
      <w:r>
        <w:rPr>
          <w:rFonts w:hint="eastAsia" w:ascii="Times New Roman" w:hAnsi="Times New Roman" w:eastAsia="仿宋_GB2312" w:cs="仿宋_GB2312"/>
          <w:bCs/>
          <w:kern w:val="0"/>
          <w:sz w:val="32"/>
          <w:szCs w:val="32"/>
          <w:lang w:val="en-US" w:eastAsia="zh-CN"/>
        </w:rPr>
        <w:t>349</w:t>
      </w:r>
      <w:r>
        <w:rPr>
          <w:rFonts w:hint="eastAsia" w:ascii="Times New Roman" w:hAnsi="Times New Roman" w:eastAsia="仿宋_GB2312" w:cs="仿宋_GB2312"/>
          <w:bCs/>
          <w:kern w:val="0"/>
          <w:sz w:val="32"/>
          <w:szCs w:val="32"/>
        </w:rPr>
        <w:t>个，实有在职干部职工</w:t>
      </w:r>
      <w:r>
        <w:rPr>
          <w:rFonts w:hint="eastAsia" w:ascii="Times New Roman" w:hAnsi="Times New Roman" w:eastAsia="仿宋_GB2312" w:cs="仿宋_GB2312"/>
          <w:bCs/>
          <w:kern w:val="0"/>
          <w:sz w:val="32"/>
          <w:szCs w:val="32"/>
          <w:lang w:val="en-US" w:eastAsia="zh-CN"/>
        </w:rPr>
        <w:t>289</w:t>
      </w:r>
      <w:r>
        <w:rPr>
          <w:rFonts w:hint="eastAsia" w:ascii="Times New Roman" w:hAnsi="Times New Roman" w:eastAsia="仿宋_GB2312" w:cs="仿宋_GB2312"/>
          <w:bCs/>
          <w:kern w:val="0"/>
          <w:sz w:val="32"/>
          <w:szCs w:val="32"/>
        </w:rPr>
        <w:t>人。</w:t>
      </w:r>
    </w:p>
    <w:p>
      <w:pPr>
        <w:widowControl/>
        <w:spacing w:line="60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仿宋_GB2312"/>
          <w:bCs/>
          <w:kern w:val="0"/>
          <w:sz w:val="32"/>
          <w:szCs w:val="32"/>
        </w:rPr>
        <w:t>祁阳市市场监督管理局</w:t>
      </w:r>
      <w:r>
        <w:rPr>
          <w:rFonts w:ascii="Times New Roman" w:hAnsi="Times New Roman" w:eastAsia="仿宋_GB2312" w:cs="Times New Roman"/>
          <w:bCs/>
          <w:kern w:val="0"/>
          <w:sz w:val="32"/>
          <w:szCs w:val="32"/>
        </w:rPr>
        <w:t>2024年部门决算汇总公开单位构成包括：</w:t>
      </w:r>
      <w:r>
        <w:rPr>
          <w:rFonts w:hint="eastAsia" w:ascii="Times New Roman" w:hAnsi="Times New Roman" w:eastAsia="仿宋_GB2312" w:cs="仿宋_GB2312"/>
          <w:bCs/>
          <w:kern w:val="0"/>
          <w:sz w:val="32"/>
          <w:szCs w:val="32"/>
        </w:rPr>
        <w:t>祁阳市市场监督管理局本级。</w:t>
      </w:r>
    </w:p>
    <w:p>
      <w:pPr>
        <w:jc w:val="left"/>
        <w:rPr>
          <w:rFonts w:ascii="Times New Roman" w:hAnsi="Times New Roman" w:eastAsia="仿宋_GB2312" w:cs="Times New Roman"/>
          <w:sz w:val="28"/>
          <w:szCs w:val="32"/>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pStyle w:val="10"/>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pPr>
        <w:pStyle w:val="16"/>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祁阳市市场监督管理局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12"/>
        <w:tblW w:w="14896" w:type="dxa"/>
        <w:jc w:val="center"/>
        <w:tblLayout w:type="autofit"/>
        <w:tblCellMar>
          <w:top w:w="0" w:type="dxa"/>
          <w:left w:w="108" w:type="dxa"/>
          <w:bottom w:w="0" w:type="dxa"/>
          <w:right w:w="108" w:type="dxa"/>
        </w:tblCellMar>
      </w:tblPr>
      <w:tblGrid>
        <w:gridCol w:w="5488"/>
        <w:gridCol w:w="846"/>
        <w:gridCol w:w="1546"/>
        <w:gridCol w:w="4623"/>
        <w:gridCol w:w="847"/>
        <w:gridCol w:w="1546"/>
      </w:tblGrid>
      <w:tr>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支出</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1"/>
                <w:szCs w:val="21"/>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1"/>
                <w:szCs w:val="21"/>
                <w:lang w:bidi="ar"/>
              </w:rPr>
              <w:t>决算数</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1"/>
                <w:szCs w:val="21"/>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1"/>
                <w:szCs w:val="21"/>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4852.57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lang w:bidi="ar"/>
              </w:rPr>
            </w:pPr>
            <w:r>
              <w:rPr>
                <w:rFonts w:hint="default" w:ascii="Times New Roman" w:hAnsi="Times New Roman" w:eastAsia="仿宋_GB2312" w:cs="Times New Roman"/>
                <w:color w:val="000000"/>
                <w:kern w:val="0"/>
                <w:sz w:val="22"/>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4015.53</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二、外交支出</w:t>
            </w:r>
          </w:p>
        </w:tc>
        <w:tc>
          <w:tcPr>
            <w:tcW w:w="8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000000"/>
                <w:sz w:val="22"/>
                <w:lang w:val="en-US" w:eastAsia="zh-CN"/>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三、国防支出</w:t>
            </w:r>
          </w:p>
        </w:tc>
        <w:tc>
          <w:tcPr>
            <w:tcW w:w="8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000000"/>
                <w:sz w:val="22"/>
                <w:lang w:val="en-US" w:eastAsia="zh-CN"/>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四、公共安全支出</w:t>
            </w:r>
          </w:p>
        </w:tc>
        <w:tc>
          <w:tcPr>
            <w:tcW w:w="8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000000"/>
                <w:sz w:val="22"/>
                <w:lang w:val="en-US" w:eastAsia="zh-CN"/>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五、教育支出</w:t>
            </w:r>
          </w:p>
        </w:tc>
        <w:tc>
          <w:tcPr>
            <w:tcW w:w="8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000000"/>
                <w:sz w:val="22"/>
                <w:lang w:val="en-US" w:eastAsia="zh-CN"/>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六、科学技术支出</w:t>
            </w:r>
          </w:p>
        </w:tc>
        <w:tc>
          <w:tcPr>
            <w:tcW w:w="8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000000"/>
                <w:sz w:val="22"/>
                <w:lang w:val="en-US" w:eastAsia="zh-CN"/>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七、文化旅游体育与传媒支出</w:t>
            </w:r>
          </w:p>
        </w:tc>
        <w:tc>
          <w:tcPr>
            <w:tcW w:w="8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000000"/>
                <w:sz w:val="22"/>
                <w:lang w:val="en-US" w:eastAsia="zh-CN"/>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bidi="ar"/>
              </w:rPr>
              <w:t>八、社会保障和就业支出</w:t>
            </w:r>
          </w:p>
        </w:tc>
        <w:tc>
          <w:tcPr>
            <w:tcW w:w="8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425.07</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bidi="ar"/>
              </w:rPr>
              <w:t>九、卫生健康支出</w:t>
            </w:r>
          </w:p>
        </w:tc>
        <w:tc>
          <w:tcPr>
            <w:tcW w:w="8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149.16</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bidi="ar"/>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000000"/>
                <w:sz w:val="22"/>
                <w:lang w:val="en-US" w:eastAsia="zh-CN"/>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bidi="ar"/>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000000"/>
                <w:sz w:val="22"/>
                <w:lang w:val="en-US" w:eastAsia="zh-CN"/>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bidi="ar"/>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000000"/>
                <w:sz w:val="22"/>
                <w:lang w:val="en-US" w:eastAsia="zh-CN"/>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bidi="ar"/>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000000"/>
                <w:sz w:val="22"/>
                <w:lang w:val="en-US" w:eastAsia="zh-CN"/>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bidi="ar"/>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000000"/>
                <w:sz w:val="22"/>
                <w:lang w:val="en-US" w:eastAsia="zh-CN"/>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bidi="ar"/>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000000"/>
                <w:sz w:val="22"/>
                <w:lang w:val="en-US" w:eastAsia="zh-CN"/>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bidi="ar"/>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000000"/>
                <w:sz w:val="22"/>
                <w:lang w:val="en-US" w:eastAsia="zh-CN"/>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bidi="ar"/>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000000"/>
                <w:sz w:val="22"/>
                <w:lang w:val="en-US" w:eastAsia="zh-CN"/>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bidi="ar"/>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000000"/>
                <w:sz w:val="22"/>
                <w:lang w:val="en-US" w:eastAsia="zh-CN"/>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bidi="ar"/>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262.8</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bidi="ar"/>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000000"/>
                <w:sz w:val="22"/>
                <w:lang w:val="en-US" w:eastAsia="zh-CN"/>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bidi="ar"/>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000000"/>
                <w:sz w:val="22"/>
                <w:lang w:val="en-US" w:eastAsia="zh-CN"/>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bidi="ar"/>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000000"/>
                <w:sz w:val="22"/>
                <w:lang w:val="en-US" w:eastAsia="zh-CN"/>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bidi="ar"/>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000000"/>
                <w:sz w:val="22"/>
                <w:lang w:val="en-US" w:eastAsia="zh-CN"/>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bidi="ar"/>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000000"/>
                <w:sz w:val="22"/>
                <w:lang w:val="en-US" w:eastAsia="zh-CN"/>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bidi="ar"/>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000000"/>
                <w:sz w:val="22"/>
                <w:lang w:val="en-US" w:eastAsia="zh-CN"/>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bidi="ar"/>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000000"/>
                <w:sz w:val="22"/>
                <w:lang w:val="en-US" w:eastAsia="zh-CN"/>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b/>
                <w:color w:val="000000"/>
                <w:sz w:val="21"/>
                <w:szCs w:val="21"/>
              </w:rPr>
            </w:pPr>
            <w:r>
              <w:rPr>
                <w:rFonts w:ascii="Times New Roman" w:hAnsi="Times New Roman" w:eastAsia="仿宋_GB2312" w:cs="Times New Roman"/>
                <w:b/>
                <w:color w:val="000000"/>
                <w:kern w:val="0"/>
                <w:sz w:val="21"/>
                <w:szCs w:val="21"/>
                <w:lang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4852.57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b/>
                <w:color w:val="000000"/>
                <w:sz w:val="21"/>
                <w:szCs w:val="21"/>
              </w:rPr>
            </w:pPr>
            <w:r>
              <w:rPr>
                <w:rFonts w:ascii="Times New Roman" w:hAnsi="Times New Roman" w:eastAsia="仿宋_GB2312" w:cs="Times New Roman"/>
                <w:b/>
                <w:color w:val="000000"/>
                <w:kern w:val="0"/>
                <w:sz w:val="21"/>
                <w:szCs w:val="21"/>
                <w:lang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kern w:val="0"/>
                <w:sz w:val="22"/>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4852.57</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kern w:val="0"/>
                <w:sz w:val="22"/>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000000"/>
                <w:sz w:val="22"/>
                <w:lang w:val="en-US" w:eastAsia="zh-CN"/>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default" w:ascii="Times New Roman" w:hAnsi="Times New Roman" w:eastAsia="仿宋_GB2312" w:cs="Times New Roman"/>
                <w:color w:val="000000"/>
                <w:kern w:val="0"/>
                <w:sz w:val="22"/>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1"/>
                <w:szCs w:val="21"/>
              </w:rPr>
            </w:pPr>
            <w:r>
              <w:rPr>
                <w:rFonts w:ascii="Times New Roman" w:hAnsi="Times New Roman" w:eastAsia="仿宋_GB2312" w:cs="Times New Roman"/>
                <w:color w:val="000000"/>
                <w:kern w:val="0"/>
                <w:sz w:val="21"/>
                <w:szCs w:val="21"/>
                <w:lang w:bidi="ar"/>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kern w:val="0"/>
                <w:sz w:val="22"/>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000000"/>
                <w:sz w:val="22"/>
                <w:lang w:val="en-US" w:eastAsia="zh-CN"/>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b/>
                <w:color w:val="000000"/>
                <w:sz w:val="21"/>
                <w:szCs w:val="21"/>
              </w:rPr>
            </w:pPr>
            <w:r>
              <w:rPr>
                <w:rFonts w:ascii="Times New Roman" w:hAnsi="Times New Roman" w:eastAsia="仿宋_GB2312" w:cs="Times New Roman"/>
                <w:b/>
                <w:color w:val="000000"/>
                <w:kern w:val="0"/>
                <w:sz w:val="21"/>
                <w:szCs w:val="21"/>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Times New Roman" w:hAnsi="Times New Roman" w:eastAsia="仿宋_GB2312" w:cs="Times New Roman"/>
                <w:color w:val="000000"/>
                <w:kern w:val="0"/>
                <w:sz w:val="22"/>
                <w:lang w:val="en-US" w:eastAsia="zh-CN" w:bidi="ar"/>
              </w:rPr>
            </w:pPr>
            <w:r>
              <w:rPr>
                <w:rFonts w:ascii="Times New Roman" w:hAnsi="Times New Roman" w:eastAsia="仿宋_GB2312" w:cs="Times New Roman"/>
                <w:color w:val="000000"/>
                <w:kern w:val="0"/>
                <w:sz w:val="22"/>
                <w:lang w:bidi="ar"/>
              </w:rPr>
              <w:t>3</w:t>
            </w:r>
            <w:r>
              <w:rPr>
                <w:rFonts w:hint="eastAsia" w:ascii="Times New Roman" w:hAnsi="Times New Roman" w:eastAsia="仿宋_GB2312" w:cs="Times New Roman"/>
                <w:color w:val="000000"/>
                <w:kern w:val="0"/>
                <w:sz w:val="22"/>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4852.57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b/>
                <w:color w:val="000000"/>
                <w:sz w:val="21"/>
                <w:szCs w:val="21"/>
              </w:rPr>
            </w:pPr>
            <w:r>
              <w:rPr>
                <w:rFonts w:ascii="Times New Roman" w:hAnsi="Times New Roman" w:eastAsia="仿宋_GB2312" w:cs="Times New Roman"/>
                <w:b/>
                <w:color w:val="000000"/>
                <w:kern w:val="0"/>
                <w:sz w:val="21"/>
                <w:szCs w:val="21"/>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kern w:val="0"/>
                <w:sz w:val="22"/>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4852.57</w:t>
            </w:r>
          </w:p>
        </w:tc>
      </w:tr>
    </w:tbl>
    <w:p>
      <w:pPr>
        <w:widowControl/>
        <w:jc w:val="left"/>
        <w:textAlignment w:val="center"/>
        <w:rPr>
          <w:rFonts w:ascii="Times New Roman" w:hAnsi="Times New Roman" w:eastAsia="宋体" w:cs="Times New Roman"/>
          <w:color w:val="000000"/>
          <w:kern w:val="0"/>
          <w:sz w:val="24"/>
          <w:szCs w:val="24"/>
          <w:lang w:bidi="ar"/>
        </w:rPr>
      </w:pPr>
    </w:p>
    <w:p>
      <w:pPr>
        <w:rPr>
          <w:rFonts w:ascii="Times New Roman" w:hAnsi="Times New Roman" w:eastAsia="华文中宋" w:cs="Times New Roman"/>
          <w:color w:val="000000"/>
          <w:sz w:val="32"/>
          <w:szCs w:val="32"/>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pPr>
        <w:widowControl/>
        <w:spacing w:line="400" w:lineRule="exact"/>
        <w:jc w:val="center"/>
        <w:textAlignment w:val="center"/>
        <w:rPr>
          <w:rFonts w:ascii="Times New Roman" w:hAnsi="Times New Roman" w:eastAsia="黑体"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p>
    <w:p>
      <w:pPr>
        <w:pStyle w:val="10"/>
        <w:rPr>
          <w:rFonts w:ascii="Times New Roman" w:hAnsi="Times New Roman" w:eastAsia="黑体" w:cs="Times New Roman"/>
          <w:color w:val="000000"/>
          <w:kern w:val="0"/>
          <w:sz w:val="36"/>
          <w:szCs w:val="36"/>
          <w:lang w:bidi="ar"/>
        </w:rPr>
      </w:pPr>
    </w:p>
    <w:p>
      <w:pPr>
        <w:pStyle w:val="6"/>
        <w:rPr>
          <w:rFonts w:ascii="Times New Roman" w:hAnsi="Times New Roman" w:eastAsia="黑体" w:cs="Times New Roman"/>
          <w:color w:val="000000"/>
          <w:kern w:val="0"/>
          <w:sz w:val="36"/>
          <w:szCs w:val="36"/>
          <w:lang w:bidi="ar"/>
        </w:rPr>
      </w:pPr>
    </w:p>
    <w:p>
      <w:pPr>
        <w:rPr>
          <w:rFonts w:ascii="Times New Roman" w:hAnsi="Times New Roman" w:eastAsia="黑体" w:cs="Times New Roman"/>
          <w:color w:val="000000"/>
          <w:kern w:val="0"/>
          <w:sz w:val="36"/>
          <w:szCs w:val="36"/>
          <w:lang w:bidi="ar"/>
        </w:rPr>
      </w:pPr>
    </w:p>
    <w:p>
      <w:pPr>
        <w:pStyle w:val="6"/>
        <w:ind w:left="0" w:leftChars="0" w:firstLine="0" w:firstLineChars="0"/>
      </w:pPr>
    </w:p>
    <w:p>
      <w:pPr>
        <w:widowControl/>
        <w:spacing w:after="156" w:afterLines="50"/>
        <w:jc w:val="center"/>
        <w:textAlignment w:val="center"/>
        <w:rPr>
          <w:rFonts w:ascii="Times New Roman" w:hAnsi="Times New Roman" w:eastAsia="黑体" w:cs="Times New Roman"/>
          <w:color w:val="000000"/>
          <w:kern w:val="0"/>
          <w:sz w:val="36"/>
          <w:szCs w:val="36"/>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hint="eastAsia" w:ascii="Times New Roman" w:hAnsi="Times New Roman" w:eastAsia="仿宋_GB2312" w:cs="Times New Roman"/>
          <w:color w:val="000000"/>
          <w:sz w:val="20"/>
          <w:szCs w:val="20"/>
          <w:lang w:eastAsia="zh-CN"/>
        </w:rPr>
        <w:t>祁阳市市场监督管理局</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12"/>
        <w:tblW w:w="14666" w:type="dxa"/>
        <w:jc w:val="center"/>
        <w:tblLayout w:type="fixed"/>
        <w:tblCellMar>
          <w:top w:w="0" w:type="dxa"/>
          <w:left w:w="0" w:type="dxa"/>
          <w:bottom w:w="0" w:type="dxa"/>
          <w:right w:w="0" w:type="dxa"/>
        </w:tblCellMar>
      </w:tblPr>
      <w:tblGrid>
        <w:gridCol w:w="1886"/>
        <w:gridCol w:w="1300"/>
        <w:gridCol w:w="1640"/>
        <w:gridCol w:w="1640"/>
        <w:gridCol w:w="1640"/>
        <w:gridCol w:w="1640"/>
        <w:gridCol w:w="1640"/>
        <w:gridCol w:w="1897"/>
        <w:gridCol w:w="1383"/>
      </w:tblGrid>
      <w:tr>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tblPrEx>
          <w:tblCellMar>
            <w:top w:w="0" w:type="dxa"/>
            <w:left w:w="0" w:type="dxa"/>
            <w:bottom w:w="0" w:type="dxa"/>
            <w:right w:w="0" w:type="dxa"/>
          </w:tblCellMar>
        </w:tblPrEx>
        <w:trPr>
          <w:trHeight w:val="334" w:hRule="exact"/>
          <w:jc w:val="center"/>
        </w:trPr>
        <w:tc>
          <w:tcPr>
            <w:tcW w:w="18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130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r>
      <w:tr>
        <w:tblPrEx>
          <w:tblCellMar>
            <w:top w:w="0" w:type="dxa"/>
            <w:left w:w="0" w:type="dxa"/>
            <w:bottom w:w="0" w:type="dxa"/>
            <w:right w:w="0" w:type="dxa"/>
          </w:tblCellMar>
        </w:tblPrEx>
        <w:trPr>
          <w:trHeight w:val="312" w:hRule="atLeast"/>
          <w:jc w:val="center"/>
        </w:trPr>
        <w:tc>
          <w:tcPr>
            <w:tcW w:w="188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00"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r>
      <w:tr>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rPr>
              <w:t>4852.57</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4852.57</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lang w:val="en-US" w:eastAsia="zh-CN"/>
              </w:rPr>
              <w:t>201</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lang w:eastAsia="zh-CN"/>
              </w:rPr>
              <w:t>一般公共服务支出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rPr>
            </w:pPr>
            <w:r>
              <w:rPr>
                <w:rFonts w:hint="eastAsia" w:ascii="Times New Roman" w:hAnsi="Times New Roman" w:eastAsia="仿宋_GB2312" w:cs="Times New Roman"/>
                <w:lang w:val="en-US" w:eastAsia="zh-CN"/>
              </w:rPr>
              <w:t>4,015.53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rPr>
            </w:pPr>
            <w:r>
              <w:rPr>
                <w:rFonts w:hint="eastAsia" w:ascii="Times New Roman" w:hAnsi="Times New Roman" w:eastAsia="仿宋_GB2312" w:cs="Times New Roman"/>
                <w:lang w:val="en-US" w:eastAsia="zh-CN"/>
              </w:rPr>
              <w:t>4,015.53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lang w:val="en-US" w:eastAsia="zh-CN"/>
              </w:rPr>
              <w:t>20114</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imes New Roman" w:hAnsi="Times New Roman" w:eastAsia="仿宋_GB2312" w:cs="Times New Roman"/>
                <w:lang w:eastAsia="zh-CN"/>
              </w:rPr>
            </w:pPr>
            <w:r>
              <w:rPr>
                <w:rFonts w:hint="eastAsia" w:ascii="Times New Roman" w:hAnsi="Times New Roman" w:eastAsia="仿宋_GB2312" w:cs="Times New Roman"/>
                <w:lang w:val="en-US" w:eastAsia="zh-CN"/>
              </w:rPr>
              <w:t>知识产权事务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lang w:val="en-US" w:eastAsia="zh-CN"/>
              </w:rPr>
              <w:t>2011499</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imes New Roman" w:hAnsi="Times New Roman" w:eastAsia="仿宋_GB2312" w:cs="Times New Roman"/>
                <w:lang w:eastAsia="zh-CN"/>
              </w:rPr>
            </w:pPr>
            <w:r>
              <w:rPr>
                <w:rFonts w:hint="eastAsia" w:ascii="Times New Roman" w:hAnsi="Times New Roman" w:eastAsia="仿宋_GB2312" w:cs="Times New Roman"/>
                <w:lang w:val="en-US" w:eastAsia="zh-CN"/>
              </w:rPr>
              <w:t>其他知识产权事务支出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lang w:val="en-US" w:eastAsia="zh-CN"/>
              </w:rPr>
              <w:t>20132</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imes New Roman" w:hAnsi="Times New Roman" w:eastAsia="仿宋_GB2312" w:cs="Times New Roman"/>
                <w:lang w:eastAsia="zh-CN"/>
              </w:rPr>
            </w:pPr>
            <w:r>
              <w:rPr>
                <w:rFonts w:hint="eastAsia" w:ascii="Times New Roman" w:hAnsi="Times New Roman" w:eastAsia="仿宋_GB2312" w:cs="Times New Roman"/>
                <w:lang w:val="en-US" w:eastAsia="zh-CN"/>
              </w:rPr>
              <w:t>组织事务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2.40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2.40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lang w:val="en-US" w:eastAsia="zh-CN"/>
              </w:rPr>
              <w:t>2013202</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imes New Roman" w:hAnsi="Times New Roman" w:eastAsia="仿宋_GB2312" w:cs="Times New Roman"/>
                <w:lang w:eastAsia="zh-CN"/>
              </w:rPr>
            </w:pPr>
            <w:r>
              <w:rPr>
                <w:rFonts w:hint="eastAsia" w:ascii="Times New Roman" w:hAnsi="Times New Roman" w:eastAsia="仿宋_GB2312" w:cs="Times New Roman"/>
                <w:lang w:val="en-US" w:eastAsia="zh-CN"/>
              </w:rPr>
              <w:t>一般行政管理事务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2.40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2.40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lang w:val="en-US" w:eastAsia="zh-CN"/>
              </w:rPr>
              <w:t>20138</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imes New Roman" w:hAnsi="Times New Roman" w:eastAsia="仿宋_GB2312" w:cs="Times New Roman"/>
                <w:lang w:eastAsia="zh-CN"/>
              </w:rPr>
            </w:pPr>
            <w:r>
              <w:rPr>
                <w:rFonts w:hint="eastAsia" w:ascii="Times New Roman" w:hAnsi="Times New Roman" w:eastAsia="仿宋_GB2312" w:cs="Times New Roman"/>
                <w:lang w:val="en-US" w:eastAsia="zh-CN"/>
              </w:rPr>
              <w:t>市场监督管理事务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4,003.13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4,003.13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lang w:val="en-US" w:eastAsia="zh-CN"/>
              </w:rPr>
              <w:t>2013801</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imes New Roman" w:hAnsi="Times New Roman" w:eastAsia="仿宋_GB2312" w:cs="Times New Roman"/>
                <w:lang w:eastAsia="zh-CN"/>
              </w:rPr>
            </w:pPr>
            <w:r>
              <w:rPr>
                <w:rFonts w:hint="eastAsia" w:ascii="Times New Roman" w:hAnsi="Times New Roman" w:eastAsia="仿宋_GB2312" w:cs="Times New Roman"/>
                <w:lang w:val="en-US" w:eastAsia="zh-CN"/>
              </w:rPr>
              <w:t>行政运行</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3,574.24</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3,574.24</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lang w:val="en-US" w:eastAsia="zh-CN"/>
              </w:rPr>
              <w:t>2013802</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imes New Roman" w:hAnsi="Times New Roman" w:eastAsia="仿宋_GB2312" w:cs="Times New Roman"/>
                <w:lang w:eastAsia="zh-CN"/>
              </w:rPr>
            </w:pPr>
            <w:r>
              <w:rPr>
                <w:rFonts w:hint="eastAsia" w:ascii="Times New Roman" w:hAnsi="Times New Roman" w:eastAsia="仿宋_GB2312" w:cs="Times New Roman"/>
                <w:lang w:val="en-US" w:eastAsia="zh-CN"/>
              </w:rPr>
              <w:t>一般行政管理事务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362.94</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362.94</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lang w:val="en-US" w:eastAsia="zh-CN"/>
              </w:rPr>
              <w:t>2013812</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imes New Roman" w:hAnsi="Times New Roman" w:eastAsia="仿宋_GB2312" w:cs="Times New Roman"/>
                <w:lang w:eastAsia="zh-CN"/>
              </w:rPr>
            </w:pPr>
            <w:r>
              <w:rPr>
                <w:rFonts w:hint="eastAsia" w:ascii="Times New Roman" w:hAnsi="Times New Roman" w:eastAsia="仿宋_GB2312" w:cs="Times New Roman"/>
                <w:lang w:val="en-US" w:eastAsia="zh-CN"/>
              </w:rPr>
              <w:t>药品事务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10.03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10.03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lang w:val="en-US" w:eastAsia="zh-CN"/>
              </w:rPr>
              <w:t>2013816</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imes New Roman" w:hAnsi="Times New Roman" w:eastAsia="仿宋_GB2312" w:cs="Times New Roman"/>
                <w:lang w:eastAsia="zh-CN"/>
              </w:rPr>
            </w:pPr>
            <w:r>
              <w:rPr>
                <w:rFonts w:hint="eastAsia" w:ascii="Times New Roman" w:hAnsi="Times New Roman" w:eastAsia="仿宋_GB2312" w:cs="Times New Roman"/>
                <w:lang w:val="en-US" w:eastAsia="zh-CN"/>
              </w:rPr>
              <w:t>食品安全监管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6.36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6.36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lang w:val="en-US" w:eastAsia="zh-CN"/>
              </w:rPr>
              <w:t>2013899</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imes New Roman" w:hAnsi="Times New Roman" w:eastAsia="仿宋_GB2312" w:cs="Times New Roman"/>
                <w:lang w:eastAsia="zh-CN"/>
              </w:rPr>
            </w:pPr>
            <w:r>
              <w:rPr>
                <w:rFonts w:hint="eastAsia" w:ascii="Times New Roman" w:hAnsi="Times New Roman" w:eastAsia="仿宋_GB2312" w:cs="Times New Roman"/>
                <w:lang w:val="en-US" w:eastAsia="zh-CN"/>
              </w:rPr>
              <w:t>其他市场监督管理事务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49.56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49.56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lang w:val="en-US" w:eastAsia="zh-CN"/>
              </w:rPr>
              <w:t>208</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imes New Roman" w:hAnsi="Times New Roman" w:eastAsia="仿宋_GB2312" w:cs="Times New Roman"/>
                <w:lang w:eastAsia="zh-CN"/>
              </w:rPr>
            </w:pPr>
            <w:r>
              <w:rPr>
                <w:rFonts w:hint="eastAsia" w:ascii="Times New Roman" w:hAnsi="Times New Roman" w:eastAsia="仿宋_GB2312" w:cs="Times New Roman"/>
                <w:lang w:val="en-US" w:eastAsia="zh-CN"/>
              </w:rPr>
              <w:t>社会保障和就业支出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425.07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425.07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lang w:val="en-US" w:eastAsia="zh-CN"/>
              </w:rPr>
              <w:t>20805</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imes New Roman" w:hAnsi="Times New Roman" w:eastAsia="仿宋_GB2312" w:cs="Times New Roman"/>
                <w:lang w:eastAsia="zh-CN"/>
              </w:rPr>
            </w:pPr>
            <w:r>
              <w:rPr>
                <w:rFonts w:hint="eastAsia" w:ascii="Times New Roman" w:hAnsi="Times New Roman" w:eastAsia="仿宋_GB2312" w:cs="Times New Roman"/>
                <w:lang w:val="en-US" w:eastAsia="zh-CN"/>
              </w:rPr>
              <w:t>行政事业单位养老支出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368.26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368.26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lang w:val="en-US" w:eastAsia="zh-CN"/>
              </w:rPr>
              <w:t>2080505</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imes New Roman" w:hAnsi="Times New Roman" w:eastAsia="仿宋_GB2312" w:cs="Times New Roman"/>
                <w:lang w:eastAsia="zh-CN"/>
              </w:rPr>
            </w:pPr>
            <w:r>
              <w:rPr>
                <w:rFonts w:hint="eastAsia" w:ascii="Times New Roman" w:hAnsi="Times New Roman" w:eastAsia="仿宋_GB2312" w:cs="Times New Roman"/>
                <w:lang w:val="en-US" w:eastAsia="zh-CN"/>
              </w:rPr>
              <w:t>机关事业单位基本养老保险缴费支出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368.26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368.26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lang w:val="en-US" w:eastAsia="zh-CN"/>
              </w:rPr>
              <w:t>20808</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imes New Roman" w:hAnsi="Times New Roman" w:eastAsia="仿宋_GB2312" w:cs="Times New Roman"/>
                <w:lang w:eastAsia="zh-CN"/>
              </w:rPr>
            </w:pPr>
            <w:r>
              <w:rPr>
                <w:rFonts w:hint="eastAsia" w:ascii="Times New Roman" w:hAnsi="Times New Roman" w:eastAsia="仿宋_GB2312" w:cs="Times New Roman"/>
                <w:lang w:val="en-US" w:eastAsia="zh-CN"/>
              </w:rPr>
              <w:t>抚恤</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51.81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51.81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lang w:val="en-US" w:eastAsia="zh-CN"/>
              </w:rPr>
              <w:t>2080801</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imes New Roman" w:hAnsi="Times New Roman" w:eastAsia="仿宋_GB2312" w:cs="Times New Roman"/>
                <w:lang w:eastAsia="zh-CN"/>
              </w:rPr>
            </w:pPr>
            <w:r>
              <w:rPr>
                <w:rFonts w:hint="eastAsia" w:ascii="Times New Roman" w:hAnsi="Times New Roman" w:eastAsia="仿宋_GB2312" w:cs="Times New Roman"/>
                <w:lang w:val="en-US" w:eastAsia="zh-CN"/>
              </w:rPr>
              <w:t>死亡抚恤</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51.81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51.81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lang w:val="en-US" w:eastAsia="zh-CN"/>
              </w:rPr>
              <w:t>20899</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imes New Roman" w:hAnsi="Times New Roman" w:eastAsia="仿宋_GB2312" w:cs="Times New Roman"/>
                <w:lang w:eastAsia="zh-CN"/>
              </w:rPr>
            </w:pPr>
            <w:r>
              <w:rPr>
                <w:rFonts w:hint="eastAsia" w:ascii="Times New Roman" w:hAnsi="Times New Roman" w:eastAsia="仿宋_GB2312" w:cs="Times New Roman"/>
                <w:lang w:val="en-US" w:eastAsia="zh-CN"/>
              </w:rPr>
              <w:t>其他社会保障和就业支出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5.00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5.00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lang w:val="en-US" w:eastAsia="zh-CN"/>
              </w:rPr>
              <w:t>2089999</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imes New Roman" w:hAnsi="Times New Roman" w:eastAsia="仿宋_GB2312" w:cs="Times New Roman"/>
                <w:lang w:eastAsia="zh-CN"/>
              </w:rPr>
            </w:pPr>
            <w:r>
              <w:rPr>
                <w:rFonts w:hint="eastAsia" w:ascii="Times New Roman" w:hAnsi="Times New Roman" w:eastAsia="仿宋_GB2312" w:cs="Times New Roman"/>
                <w:lang w:val="en-US" w:eastAsia="zh-CN"/>
              </w:rPr>
              <w:t>其他社会保障和就业支出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5.00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5.00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lang w:val="en-US" w:eastAsia="zh-CN"/>
              </w:rPr>
              <w:t>210</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imes New Roman" w:hAnsi="Times New Roman" w:eastAsia="仿宋_GB2312" w:cs="Times New Roman"/>
                <w:lang w:eastAsia="zh-CN"/>
              </w:rPr>
            </w:pPr>
            <w:r>
              <w:rPr>
                <w:rFonts w:hint="eastAsia" w:ascii="Times New Roman" w:hAnsi="Times New Roman" w:eastAsia="仿宋_GB2312" w:cs="Times New Roman"/>
                <w:lang w:val="en-US" w:eastAsia="zh-CN"/>
              </w:rPr>
              <w:t>卫生健康支出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149.16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149.16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lang w:val="en-US" w:eastAsia="zh-CN"/>
              </w:rPr>
              <w:t>21011</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imes New Roman" w:hAnsi="Times New Roman" w:eastAsia="仿宋_GB2312" w:cs="Times New Roman"/>
                <w:lang w:eastAsia="zh-CN"/>
              </w:rPr>
            </w:pPr>
            <w:r>
              <w:rPr>
                <w:rFonts w:hint="eastAsia" w:ascii="Times New Roman" w:hAnsi="Times New Roman" w:eastAsia="仿宋_GB2312" w:cs="Times New Roman"/>
                <w:lang w:val="en-US" w:eastAsia="zh-CN"/>
              </w:rPr>
              <w:t>行政事业单位医疗</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149.16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149.16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lang w:val="en-US" w:eastAsia="zh-CN"/>
              </w:rPr>
              <w:t>2101101</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imes New Roman" w:hAnsi="Times New Roman" w:eastAsia="仿宋_GB2312" w:cs="Times New Roman"/>
                <w:lang w:eastAsia="zh-CN"/>
              </w:rPr>
            </w:pPr>
            <w:r>
              <w:rPr>
                <w:rFonts w:hint="eastAsia" w:ascii="Times New Roman" w:hAnsi="Times New Roman" w:eastAsia="仿宋_GB2312" w:cs="Times New Roman"/>
                <w:lang w:val="en-US" w:eastAsia="zh-CN"/>
              </w:rPr>
              <w:t>行政单位医疗</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149.16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149.16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lang w:val="en-US" w:eastAsia="zh-CN"/>
              </w:rPr>
              <w:t>221</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imes New Roman" w:hAnsi="Times New Roman" w:eastAsia="仿宋_GB2312" w:cs="Times New Roman"/>
                <w:lang w:eastAsia="zh-CN"/>
              </w:rPr>
            </w:pPr>
            <w:r>
              <w:rPr>
                <w:rFonts w:hint="eastAsia" w:ascii="Times New Roman" w:hAnsi="Times New Roman" w:eastAsia="仿宋_GB2312" w:cs="Times New Roman"/>
                <w:lang w:val="en-US" w:eastAsia="zh-CN"/>
              </w:rPr>
              <w:t>住房保障支出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262.80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262.80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lang w:val="en-US" w:eastAsia="zh-CN"/>
              </w:rPr>
              <w:t>22102</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imes New Roman" w:hAnsi="Times New Roman" w:eastAsia="仿宋_GB2312" w:cs="Times New Roman"/>
                <w:lang w:eastAsia="zh-CN"/>
              </w:rPr>
            </w:pPr>
            <w:r>
              <w:rPr>
                <w:rFonts w:hint="eastAsia" w:ascii="Times New Roman" w:hAnsi="Times New Roman" w:eastAsia="仿宋_GB2312" w:cs="Times New Roman"/>
                <w:lang w:val="en-US" w:eastAsia="zh-CN"/>
              </w:rPr>
              <w:t>住房改革支出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262.80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262.80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lang w:val="en-US" w:eastAsia="zh-CN"/>
              </w:rPr>
              <w:t>2210201</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Times New Roman" w:hAnsi="Times New Roman" w:eastAsia="仿宋_GB2312" w:cs="Times New Roman"/>
                <w:lang w:eastAsia="zh-CN"/>
              </w:rPr>
            </w:pPr>
            <w:r>
              <w:rPr>
                <w:rFonts w:hint="eastAsia" w:ascii="Times New Roman" w:hAnsi="Times New Roman" w:eastAsia="仿宋_GB2312" w:cs="Times New Roman"/>
                <w:lang w:val="en-US" w:eastAsia="zh-CN"/>
              </w:rPr>
              <w:t>住房公积金</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262.80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262.80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rPr>
            </w:pPr>
          </w:p>
        </w:tc>
      </w:tr>
    </w:tbl>
    <w:p>
      <w:pPr>
        <w:widowControl/>
        <w:jc w:val="left"/>
        <w:rPr>
          <w:rFonts w:ascii="Times New Roman" w:hAnsi="Times New Roman" w:eastAsia="黑体" w:cs="Times New Roman"/>
          <w:bCs/>
          <w:kern w:val="0"/>
          <w:sz w:val="32"/>
          <w:szCs w:val="32"/>
        </w:rPr>
      </w:pPr>
      <w:r>
        <w:rPr>
          <w:rFonts w:ascii="Times New Roman" w:hAnsi="Times New Roman" w:eastAsia="仿宋_GB2312" w:cs="Times New Roman"/>
        </w:rPr>
        <w:t>注：本表反映部门本年度取得的各项收入情况。</w:t>
      </w:r>
    </w:p>
    <w:p>
      <w:pPr>
        <w:widowControl/>
        <w:jc w:val="center"/>
        <w:textAlignment w:val="center"/>
        <w:rPr>
          <w:rFonts w:ascii="Times New Roman" w:hAnsi="Times New Roman" w:eastAsia="黑体"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祁阳市市场监督管理局</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12"/>
        <w:tblW w:w="4996" w:type="pct"/>
        <w:jc w:val="center"/>
        <w:tblLayout w:type="autofit"/>
        <w:tblCellMar>
          <w:top w:w="0" w:type="dxa"/>
          <w:left w:w="108" w:type="dxa"/>
          <w:bottom w:w="0" w:type="dxa"/>
          <w:right w:w="108" w:type="dxa"/>
        </w:tblCellMar>
      </w:tblPr>
      <w:tblGrid>
        <w:gridCol w:w="1973"/>
        <w:gridCol w:w="3581"/>
        <w:gridCol w:w="1428"/>
        <w:gridCol w:w="1334"/>
        <w:gridCol w:w="1334"/>
        <w:gridCol w:w="1428"/>
        <w:gridCol w:w="884"/>
        <w:gridCol w:w="2247"/>
      </w:tblGrid>
      <w:tr>
        <w:tblPrEx>
          <w:tblCellMar>
            <w:top w:w="0" w:type="dxa"/>
            <w:left w:w="108" w:type="dxa"/>
            <w:bottom w:w="0" w:type="dxa"/>
            <w:right w:w="108" w:type="dxa"/>
          </w:tblCellMar>
        </w:tblPrEx>
        <w:trPr>
          <w:trHeight w:val="595" w:hRule="atLeast"/>
          <w:jc w:val="center"/>
        </w:trPr>
        <w:tc>
          <w:tcPr>
            <w:tcW w:w="1953"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502"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502"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311"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79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tblPrEx>
          <w:tblCellMar>
            <w:top w:w="0" w:type="dxa"/>
            <w:left w:w="108" w:type="dxa"/>
            <w:bottom w:w="0" w:type="dxa"/>
            <w:right w:w="108" w:type="dxa"/>
          </w:tblCellMar>
        </w:tblPrEx>
        <w:trPr>
          <w:trHeight w:val="312" w:hRule="exact"/>
          <w:jc w:val="center"/>
        </w:trPr>
        <w:tc>
          <w:tcPr>
            <w:tcW w:w="694"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1258"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50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50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31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79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r>
      <w:tr>
        <w:tblPrEx>
          <w:tblCellMar>
            <w:top w:w="0" w:type="dxa"/>
            <w:left w:w="108" w:type="dxa"/>
            <w:bottom w:w="0" w:type="dxa"/>
            <w:right w:w="108" w:type="dxa"/>
          </w:tblCellMar>
        </w:tblPrEx>
        <w:trPr>
          <w:trHeight w:val="595" w:hRule="atLeast"/>
          <w:jc w:val="center"/>
        </w:trPr>
        <w:tc>
          <w:tcPr>
            <w:tcW w:w="69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258"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50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50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31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79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95" w:hRule="atLeast"/>
          <w:jc w:val="center"/>
        </w:trPr>
        <w:tc>
          <w:tcPr>
            <w:tcW w:w="195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502"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469"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469"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502"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311"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790"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tblPrEx>
          <w:tblCellMar>
            <w:top w:w="0" w:type="dxa"/>
            <w:left w:w="108" w:type="dxa"/>
            <w:bottom w:w="0" w:type="dxa"/>
            <w:right w:w="108" w:type="dxa"/>
          </w:tblCellMar>
        </w:tblPrEx>
        <w:trPr>
          <w:trHeight w:val="595" w:hRule="atLeast"/>
          <w:jc w:val="center"/>
        </w:trPr>
        <w:tc>
          <w:tcPr>
            <w:tcW w:w="195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50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4852.57</w:t>
            </w: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4411.27</w:t>
            </w: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441.29</w:t>
            </w:r>
            <w:r>
              <w:rPr>
                <w:rFonts w:ascii="Times New Roman" w:hAnsi="Times New Roman" w:eastAsia="仿宋_GB2312" w:cs="Times New Roman"/>
                <w:kern w:val="0"/>
                <w:sz w:val="24"/>
                <w:szCs w:val="24"/>
              </w:rPr>
              <w:t>　</w:t>
            </w:r>
          </w:p>
        </w:tc>
        <w:tc>
          <w:tcPr>
            <w:tcW w:w="50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11"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79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694"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201</w:t>
            </w:r>
          </w:p>
        </w:tc>
        <w:tc>
          <w:tcPr>
            <w:tcW w:w="1258" w:type="pct"/>
            <w:tcBorders>
              <w:top w:val="nil"/>
              <w:left w:val="nil"/>
              <w:bottom w:val="single" w:color="auto" w:sz="4" w:space="0"/>
              <w:right w:val="single" w:color="auto" w:sz="4" w:space="0"/>
            </w:tcBorders>
            <w:shd w:val="clear" w:color="000000" w:fill="FFFFFF"/>
            <w:noWrap/>
            <w:vAlign w:val="center"/>
          </w:tcPr>
          <w:p>
            <w:pP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eastAsia="zh-CN"/>
              </w:rPr>
              <w:t>一般公共服务支出</w:t>
            </w:r>
          </w:p>
        </w:tc>
        <w:tc>
          <w:tcPr>
            <w:tcW w:w="50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4,015.53</w:t>
            </w:r>
          </w:p>
        </w:tc>
        <w:tc>
          <w:tcPr>
            <w:tcW w:w="469"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3,574.24</w:t>
            </w:r>
          </w:p>
        </w:tc>
        <w:tc>
          <w:tcPr>
            <w:tcW w:w="469"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441.29</w:t>
            </w:r>
          </w:p>
        </w:tc>
        <w:tc>
          <w:tcPr>
            <w:tcW w:w="50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11"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79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694"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20114</w:t>
            </w:r>
          </w:p>
        </w:tc>
        <w:tc>
          <w:tcPr>
            <w:tcW w:w="1258" w:type="pct"/>
            <w:tcBorders>
              <w:top w:val="nil"/>
              <w:left w:val="nil"/>
              <w:bottom w:val="single" w:color="auto" w:sz="4" w:space="0"/>
              <w:right w:val="single" w:color="auto" w:sz="4" w:space="0"/>
            </w:tcBorders>
            <w:shd w:val="clear" w:color="000000" w:fill="FFFFFF"/>
            <w:noWrap/>
            <w:vAlign w:val="center"/>
          </w:tcPr>
          <w:p>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知识产权事务</w:t>
            </w:r>
          </w:p>
        </w:tc>
        <w:tc>
          <w:tcPr>
            <w:tcW w:w="50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10.00</w:t>
            </w:r>
          </w:p>
        </w:tc>
        <w:tc>
          <w:tcPr>
            <w:tcW w:w="469"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p>
        </w:tc>
        <w:tc>
          <w:tcPr>
            <w:tcW w:w="469"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10.00</w:t>
            </w:r>
          </w:p>
        </w:tc>
        <w:tc>
          <w:tcPr>
            <w:tcW w:w="50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11"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79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694"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2011499</w:t>
            </w:r>
          </w:p>
        </w:tc>
        <w:tc>
          <w:tcPr>
            <w:tcW w:w="1258" w:type="pct"/>
            <w:tcBorders>
              <w:top w:val="nil"/>
              <w:left w:val="nil"/>
              <w:bottom w:val="single" w:color="auto" w:sz="4" w:space="0"/>
              <w:right w:val="single" w:color="auto" w:sz="4" w:space="0"/>
            </w:tcBorders>
            <w:shd w:val="clear" w:color="000000" w:fill="FFFFFF"/>
            <w:noWrap/>
            <w:vAlign w:val="center"/>
          </w:tcPr>
          <w:p>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其他知识产权事务支出</w:t>
            </w:r>
          </w:p>
        </w:tc>
        <w:tc>
          <w:tcPr>
            <w:tcW w:w="50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10.00</w:t>
            </w:r>
          </w:p>
        </w:tc>
        <w:tc>
          <w:tcPr>
            <w:tcW w:w="469"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p>
        </w:tc>
        <w:tc>
          <w:tcPr>
            <w:tcW w:w="469"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10.00</w:t>
            </w:r>
          </w:p>
        </w:tc>
        <w:tc>
          <w:tcPr>
            <w:tcW w:w="50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11"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79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510" w:hRule="atLeast"/>
          <w:jc w:val="center"/>
        </w:trPr>
        <w:tc>
          <w:tcPr>
            <w:tcW w:w="694"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20132</w:t>
            </w:r>
          </w:p>
        </w:tc>
        <w:tc>
          <w:tcPr>
            <w:tcW w:w="1258" w:type="pct"/>
            <w:tcBorders>
              <w:top w:val="nil"/>
              <w:left w:val="nil"/>
              <w:bottom w:val="single" w:color="auto" w:sz="4" w:space="0"/>
              <w:right w:val="single" w:color="auto" w:sz="4" w:space="0"/>
            </w:tcBorders>
            <w:shd w:val="clear" w:color="000000" w:fill="FFFFFF"/>
            <w:noWrap/>
            <w:vAlign w:val="center"/>
          </w:tcPr>
          <w:p>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组织事务</w:t>
            </w:r>
          </w:p>
        </w:tc>
        <w:tc>
          <w:tcPr>
            <w:tcW w:w="50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2.40</w:t>
            </w:r>
          </w:p>
        </w:tc>
        <w:tc>
          <w:tcPr>
            <w:tcW w:w="469"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p>
        </w:tc>
        <w:tc>
          <w:tcPr>
            <w:tcW w:w="469"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2.40</w:t>
            </w:r>
          </w:p>
        </w:tc>
        <w:tc>
          <w:tcPr>
            <w:tcW w:w="50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311"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79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10" w:hRule="atLeast"/>
          <w:jc w:val="center"/>
        </w:trPr>
        <w:tc>
          <w:tcPr>
            <w:tcW w:w="694"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2013202</w:t>
            </w:r>
          </w:p>
        </w:tc>
        <w:tc>
          <w:tcPr>
            <w:tcW w:w="1258" w:type="pct"/>
            <w:tcBorders>
              <w:top w:val="nil"/>
              <w:left w:val="nil"/>
              <w:bottom w:val="single" w:color="auto" w:sz="4" w:space="0"/>
              <w:right w:val="single" w:color="auto" w:sz="4" w:space="0"/>
            </w:tcBorders>
            <w:shd w:val="clear" w:color="000000" w:fill="FFFFFF"/>
            <w:noWrap/>
            <w:vAlign w:val="center"/>
          </w:tcPr>
          <w:p>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一般行政管理事务</w:t>
            </w:r>
          </w:p>
        </w:tc>
        <w:tc>
          <w:tcPr>
            <w:tcW w:w="50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2.40</w:t>
            </w:r>
          </w:p>
        </w:tc>
        <w:tc>
          <w:tcPr>
            <w:tcW w:w="469"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p>
        </w:tc>
        <w:tc>
          <w:tcPr>
            <w:tcW w:w="469"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2.40</w:t>
            </w:r>
          </w:p>
        </w:tc>
        <w:tc>
          <w:tcPr>
            <w:tcW w:w="50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311"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79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10" w:hRule="atLeast"/>
          <w:jc w:val="center"/>
        </w:trPr>
        <w:tc>
          <w:tcPr>
            <w:tcW w:w="694"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20138</w:t>
            </w:r>
          </w:p>
        </w:tc>
        <w:tc>
          <w:tcPr>
            <w:tcW w:w="1258" w:type="pct"/>
            <w:tcBorders>
              <w:top w:val="nil"/>
              <w:left w:val="nil"/>
              <w:bottom w:val="single" w:color="auto" w:sz="4" w:space="0"/>
              <w:right w:val="single" w:color="auto" w:sz="4" w:space="0"/>
            </w:tcBorders>
            <w:shd w:val="clear" w:color="000000" w:fill="FFFFFF"/>
            <w:noWrap/>
            <w:vAlign w:val="center"/>
          </w:tcPr>
          <w:p>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市场监督管理事务</w:t>
            </w:r>
          </w:p>
        </w:tc>
        <w:tc>
          <w:tcPr>
            <w:tcW w:w="50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4,003.13</w:t>
            </w:r>
          </w:p>
        </w:tc>
        <w:tc>
          <w:tcPr>
            <w:tcW w:w="469"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3,574.24</w:t>
            </w:r>
          </w:p>
        </w:tc>
        <w:tc>
          <w:tcPr>
            <w:tcW w:w="469"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428.89</w:t>
            </w:r>
          </w:p>
        </w:tc>
        <w:tc>
          <w:tcPr>
            <w:tcW w:w="50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311"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79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10" w:hRule="atLeast"/>
          <w:jc w:val="center"/>
        </w:trPr>
        <w:tc>
          <w:tcPr>
            <w:tcW w:w="694"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2013801</w:t>
            </w:r>
          </w:p>
        </w:tc>
        <w:tc>
          <w:tcPr>
            <w:tcW w:w="1258" w:type="pct"/>
            <w:tcBorders>
              <w:top w:val="nil"/>
              <w:left w:val="nil"/>
              <w:bottom w:val="single" w:color="auto" w:sz="4" w:space="0"/>
              <w:right w:val="single" w:color="auto" w:sz="4" w:space="0"/>
            </w:tcBorders>
            <w:shd w:val="clear" w:color="000000" w:fill="FFFFFF"/>
            <w:noWrap/>
            <w:vAlign w:val="center"/>
          </w:tcPr>
          <w:p>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行政运行</w:t>
            </w:r>
          </w:p>
        </w:tc>
        <w:tc>
          <w:tcPr>
            <w:tcW w:w="50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3,574.24</w:t>
            </w:r>
          </w:p>
        </w:tc>
        <w:tc>
          <w:tcPr>
            <w:tcW w:w="469"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3,574.24</w:t>
            </w:r>
          </w:p>
        </w:tc>
        <w:tc>
          <w:tcPr>
            <w:tcW w:w="469" w:type="pct"/>
            <w:tcBorders>
              <w:top w:val="nil"/>
              <w:left w:val="nil"/>
              <w:bottom w:val="single" w:color="auto" w:sz="4" w:space="0"/>
              <w:right w:val="single" w:color="auto" w:sz="4" w:space="0"/>
            </w:tcBorders>
            <w:shd w:val="clear" w:color="auto" w:fill="auto"/>
            <w:noWrap/>
            <w:vAlign w:val="center"/>
          </w:tcPr>
          <w:p>
            <w:pPr>
              <w:jc w:val="right"/>
              <w:rPr>
                <w:rFonts w:hint="eastAsia" w:ascii="Times New Roman" w:hAnsi="Times New Roman" w:eastAsia="仿宋_GB2312" w:cs="Times New Roman"/>
                <w:kern w:val="0"/>
                <w:sz w:val="24"/>
                <w:szCs w:val="24"/>
                <w:lang w:val="en-US" w:eastAsia="zh-CN" w:bidi="ar-SA"/>
              </w:rPr>
            </w:pPr>
          </w:p>
        </w:tc>
        <w:tc>
          <w:tcPr>
            <w:tcW w:w="50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311"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79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10" w:hRule="atLeast"/>
          <w:jc w:val="center"/>
        </w:trPr>
        <w:tc>
          <w:tcPr>
            <w:tcW w:w="694"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2013802</w:t>
            </w:r>
          </w:p>
        </w:tc>
        <w:tc>
          <w:tcPr>
            <w:tcW w:w="1258" w:type="pct"/>
            <w:tcBorders>
              <w:top w:val="nil"/>
              <w:left w:val="nil"/>
              <w:bottom w:val="single" w:color="auto" w:sz="4" w:space="0"/>
              <w:right w:val="single" w:color="auto" w:sz="4" w:space="0"/>
            </w:tcBorders>
            <w:shd w:val="clear" w:color="000000" w:fill="FFFFFF"/>
            <w:noWrap/>
            <w:vAlign w:val="center"/>
          </w:tcPr>
          <w:p>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一般行政管理事务</w:t>
            </w:r>
          </w:p>
        </w:tc>
        <w:tc>
          <w:tcPr>
            <w:tcW w:w="50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362.94</w:t>
            </w:r>
          </w:p>
        </w:tc>
        <w:tc>
          <w:tcPr>
            <w:tcW w:w="469"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p>
        </w:tc>
        <w:tc>
          <w:tcPr>
            <w:tcW w:w="469"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bidi="ar-SA"/>
              </w:rPr>
              <w:t>362.94</w:t>
            </w:r>
          </w:p>
        </w:tc>
        <w:tc>
          <w:tcPr>
            <w:tcW w:w="50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311"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79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10" w:hRule="atLeast"/>
          <w:jc w:val="center"/>
        </w:trPr>
        <w:tc>
          <w:tcPr>
            <w:tcW w:w="694"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2013812</w:t>
            </w:r>
          </w:p>
        </w:tc>
        <w:tc>
          <w:tcPr>
            <w:tcW w:w="1258" w:type="pct"/>
            <w:tcBorders>
              <w:top w:val="nil"/>
              <w:left w:val="nil"/>
              <w:bottom w:val="single" w:color="auto" w:sz="4" w:space="0"/>
              <w:right w:val="single" w:color="auto" w:sz="4" w:space="0"/>
            </w:tcBorders>
            <w:shd w:val="clear" w:color="000000" w:fill="FFFFFF"/>
            <w:noWrap/>
            <w:vAlign w:val="center"/>
          </w:tcPr>
          <w:p>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药品事务</w:t>
            </w:r>
          </w:p>
        </w:tc>
        <w:tc>
          <w:tcPr>
            <w:tcW w:w="50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10.03</w:t>
            </w:r>
          </w:p>
        </w:tc>
        <w:tc>
          <w:tcPr>
            <w:tcW w:w="469"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p>
        </w:tc>
        <w:tc>
          <w:tcPr>
            <w:tcW w:w="469"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bidi="ar-SA"/>
              </w:rPr>
              <w:t>10.03</w:t>
            </w:r>
          </w:p>
        </w:tc>
        <w:tc>
          <w:tcPr>
            <w:tcW w:w="50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311"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79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10" w:hRule="atLeast"/>
          <w:jc w:val="center"/>
        </w:trPr>
        <w:tc>
          <w:tcPr>
            <w:tcW w:w="694"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2013816</w:t>
            </w:r>
          </w:p>
        </w:tc>
        <w:tc>
          <w:tcPr>
            <w:tcW w:w="1258" w:type="pct"/>
            <w:tcBorders>
              <w:top w:val="nil"/>
              <w:left w:val="nil"/>
              <w:bottom w:val="single" w:color="auto" w:sz="4" w:space="0"/>
              <w:right w:val="single" w:color="auto" w:sz="4" w:space="0"/>
            </w:tcBorders>
            <w:shd w:val="clear" w:color="000000" w:fill="FFFFFF"/>
            <w:noWrap/>
            <w:vAlign w:val="center"/>
          </w:tcPr>
          <w:p>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食品安全监管</w:t>
            </w:r>
          </w:p>
        </w:tc>
        <w:tc>
          <w:tcPr>
            <w:tcW w:w="50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6.36</w:t>
            </w:r>
          </w:p>
        </w:tc>
        <w:tc>
          <w:tcPr>
            <w:tcW w:w="469"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p>
        </w:tc>
        <w:tc>
          <w:tcPr>
            <w:tcW w:w="469"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bidi="ar-SA"/>
              </w:rPr>
              <w:t>6.36</w:t>
            </w:r>
          </w:p>
        </w:tc>
        <w:tc>
          <w:tcPr>
            <w:tcW w:w="50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311"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79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10" w:hRule="atLeast"/>
          <w:jc w:val="center"/>
        </w:trPr>
        <w:tc>
          <w:tcPr>
            <w:tcW w:w="694"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2013899</w:t>
            </w:r>
          </w:p>
        </w:tc>
        <w:tc>
          <w:tcPr>
            <w:tcW w:w="1258" w:type="pct"/>
            <w:tcBorders>
              <w:top w:val="nil"/>
              <w:left w:val="nil"/>
              <w:bottom w:val="single" w:color="auto" w:sz="4" w:space="0"/>
              <w:right w:val="single" w:color="auto" w:sz="4" w:space="0"/>
            </w:tcBorders>
            <w:shd w:val="clear" w:color="000000" w:fill="FFFFFF"/>
            <w:noWrap/>
            <w:vAlign w:val="center"/>
          </w:tcPr>
          <w:p>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其他市场监督管理事务</w:t>
            </w:r>
          </w:p>
        </w:tc>
        <w:tc>
          <w:tcPr>
            <w:tcW w:w="50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49.56</w:t>
            </w:r>
          </w:p>
        </w:tc>
        <w:tc>
          <w:tcPr>
            <w:tcW w:w="469"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p>
        </w:tc>
        <w:tc>
          <w:tcPr>
            <w:tcW w:w="469"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bidi="ar-SA"/>
              </w:rPr>
              <w:t>49.56</w:t>
            </w:r>
          </w:p>
        </w:tc>
        <w:tc>
          <w:tcPr>
            <w:tcW w:w="50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311"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79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10" w:hRule="atLeast"/>
          <w:jc w:val="center"/>
        </w:trPr>
        <w:tc>
          <w:tcPr>
            <w:tcW w:w="694"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208</w:t>
            </w:r>
          </w:p>
        </w:tc>
        <w:tc>
          <w:tcPr>
            <w:tcW w:w="1258" w:type="pct"/>
            <w:tcBorders>
              <w:top w:val="nil"/>
              <w:left w:val="nil"/>
              <w:bottom w:val="single" w:color="auto" w:sz="4" w:space="0"/>
              <w:right w:val="single" w:color="auto" w:sz="4" w:space="0"/>
            </w:tcBorders>
            <w:shd w:val="clear" w:color="000000" w:fill="FFFFFF"/>
            <w:noWrap/>
            <w:vAlign w:val="center"/>
          </w:tcPr>
          <w:p>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社会保障和就业支出</w:t>
            </w:r>
          </w:p>
        </w:tc>
        <w:tc>
          <w:tcPr>
            <w:tcW w:w="50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425.07</w:t>
            </w:r>
          </w:p>
        </w:tc>
        <w:tc>
          <w:tcPr>
            <w:tcW w:w="469"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425.07</w:t>
            </w:r>
          </w:p>
        </w:tc>
        <w:tc>
          <w:tcPr>
            <w:tcW w:w="46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50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311"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79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10" w:hRule="atLeast"/>
          <w:jc w:val="center"/>
        </w:trPr>
        <w:tc>
          <w:tcPr>
            <w:tcW w:w="694"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20805</w:t>
            </w:r>
          </w:p>
        </w:tc>
        <w:tc>
          <w:tcPr>
            <w:tcW w:w="1258" w:type="pct"/>
            <w:tcBorders>
              <w:top w:val="nil"/>
              <w:left w:val="nil"/>
              <w:bottom w:val="single" w:color="auto" w:sz="4" w:space="0"/>
              <w:right w:val="single" w:color="auto" w:sz="4" w:space="0"/>
            </w:tcBorders>
            <w:shd w:val="clear" w:color="000000" w:fill="FFFFFF"/>
            <w:noWrap/>
            <w:vAlign w:val="center"/>
          </w:tcPr>
          <w:p>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行政事业单位养老支出</w:t>
            </w:r>
          </w:p>
        </w:tc>
        <w:tc>
          <w:tcPr>
            <w:tcW w:w="50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368.26</w:t>
            </w:r>
          </w:p>
        </w:tc>
        <w:tc>
          <w:tcPr>
            <w:tcW w:w="469"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368.26</w:t>
            </w:r>
          </w:p>
        </w:tc>
        <w:tc>
          <w:tcPr>
            <w:tcW w:w="46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50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311"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79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10" w:hRule="atLeast"/>
          <w:jc w:val="center"/>
        </w:trPr>
        <w:tc>
          <w:tcPr>
            <w:tcW w:w="694"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2080505</w:t>
            </w:r>
          </w:p>
        </w:tc>
        <w:tc>
          <w:tcPr>
            <w:tcW w:w="1258" w:type="pct"/>
            <w:tcBorders>
              <w:top w:val="nil"/>
              <w:left w:val="nil"/>
              <w:bottom w:val="single" w:color="auto" w:sz="4" w:space="0"/>
              <w:right w:val="single" w:color="auto" w:sz="4" w:space="0"/>
            </w:tcBorders>
            <w:shd w:val="clear" w:color="000000" w:fill="FFFFFF"/>
            <w:noWrap/>
            <w:vAlign w:val="center"/>
          </w:tcPr>
          <w:p>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机关事业单位基本养老保险缴费支出</w:t>
            </w:r>
          </w:p>
        </w:tc>
        <w:tc>
          <w:tcPr>
            <w:tcW w:w="50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368.26</w:t>
            </w:r>
          </w:p>
        </w:tc>
        <w:tc>
          <w:tcPr>
            <w:tcW w:w="469"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368.26</w:t>
            </w:r>
          </w:p>
        </w:tc>
        <w:tc>
          <w:tcPr>
            <w:tcW w:w="46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50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311"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79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10" w:hRule="atLeast"/>
          <w:jc w:val="center"/>
        </w:trPr>
        <w:tc>
          <w:tcPr>
            <w:tcW w:w="694"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20808</w:t>
            </w:r>
          </w:p>
        </w:tc>
        <w:tc>
          <w:tcPr>
            <w:tcW w:w="1258" w:type="pct"/>
            <w:tcBorders>
              <w:top w:val="nil"/>
              <w:left w:val="nil"/>
              <w:bottom w:val="single" w:color="auto" w:sz="4" w:space="0"/>
              <w:right w:val="single" w:color="auto" w:sz="4" w:space="0"/>
            </w:tcBorders>
            <w:shd w:val="clear" w:color="000000" w:fill="FFFFFF"/>
            <w:noWrap/>
            <w:vAlign w:val="center"/>
          </w:tcPr>
          <w:p>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抚恤</w:t>
            </w:r>
          </w:p>
        </w:tc>
        <w:tc>
          <w:tcPr>
            <w:tcW w:w="50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51.81</w:t>
            </w:r>
          </w:p>
        </w:tc>
        <w:tc>
          <w:tcPr>
            <w:tcW w:w="469"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51.81</w:t>
            </w:r>
          </w:p>
        </w:tc>
        <w:tc>
          <w:tcPr>
            <w:tcW w:w="46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50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311"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79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10" w:hRule="atLeast"/>
          <w:jc w:val="center"/>
        </w:trPr>
        <w:tc>
          <w:tcPr>
            <w:tcW w:w="694"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2080801</w:t>
            </w:r>
          </w:p>
        </w:tc>
        <w:tc>
          <w:tcPr>
            <w:tcW w:w="1258" w:type="pct"/>
            <w:tcBorders>
              <w:top w:val="nil"/>
              <w:left w:val="nil"/>
              <w:bottom w:val="single" w:color="auto" w:sz="4" w:space="0"/>
              <w:right w:val="single" w:color="auto" w:sz="4" w:space="0"/>
            </w:tcBorders>
            <w:shd w:val="clear" w:color="000000" w:fill="FFFFFF"/>
            <w:noWrap/>
            <w:vAlign w:val="center"/>
          </w:tcPr>
          <w:p>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死亡抚恤</w:t>
            </w:r>
          </w:p>
        </w:tc>
        <w:tc>
          <w:tcPr>
            <w:tcW w:w="50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51.81</w:t>
            </w:r>
          </w:p>
        </w:tc>
        <w:tc>
          <w:tcPr>
            <w:tcW w:w="469"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51.81</w:t>
            </w:r>
          </w:p>
        </w:tc>
        <w:tc>
          <w:tcPr>
            <w:tcW w:w="46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50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311"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79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10" w:hRule="atLeast"/>
          <w:jc w:val="center"/>
        </w:trPr>
        <w:tc>
          <w:tcPr>
            <w:tcW w:w="694"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20899</w:t>
            </w:r>
          </w:p>
        </w:tc>
        <w:tc>
          <w:tcPr>
            <w:tcW w:w="1258" w:type="pct"/>
            <w:tcBorders>
              <w:top w:val="nil"/>
              <w:left w:val="nil"/>
              <w:bottom w:val="single" w:color="auto" w:sz="4" w:space="0"/>
              <w:right w:val="single" w:color="auto" w:sz="4" w:space="0"/>
            </w:tcBorders>
            <w:shd w:val="clear" w:color="000000" w:fill="FFFFFF"/>
            <w:noWrap/>
            <w:vAlign w:val="center"/>
          </w:tcPr>
          <w:p>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其他社会保障和就业支出</w:t>
            </w:r>
          </w:p>
        </w:tc>
        <w:tc>
          <w:tcPr>
            <w:tcW w:w="50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5.00</w:t>
            </w:r>
          </w:p>
        </w:tc>
        <w:tc>
          <w:tcPr>
            <w:tcW w:w="469"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5.00</w:t>
            </w:r>
          </w:p>
        </w:tc>
        <w:tc>
          <w:tcPr>
            <w:tcW w:w="46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50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311"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79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10" w:hRule="atLeast"/>
          <w:jc w:val="center"/>
        </w:trPr>
        <w:tc>
          <w:tcPr>
            <w:tcW w:w="694"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2089999</w:t>
            </w:r>
          </w:p>
        </w:tc>
        <w:tc>
          <w:tcPr>
            <w:tcW w:w="1258" w:type="pct"/>
            <w:tcBorders>
              <w:top w:val="nil"/>
              <w:left w:val="nil"/>
              <w:bottom w:val="single" w:color="auto" w:sz="4" w:space="0"/>
              <w:right w:val="single" w:color="auto" w:sz="4" w:space="0"/>
            </w:tcBorders>
            <w:shd w:val="clear" w:color="000000" w:fill="FFFFFF"/>
            <w:noWrap/>
            <w:vAlign w:val="center"/>
          </w:tcPr>
          <w:p>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其他社会保障和就业支出</w:t>
            </w:r>
          </w:p>
        </w:tc>
        <w:tc>
          <w:tcPr>
            <w:tcW w:w="50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5.00</w:t>
            </w:r>
          </w:p>
        </w:tc>
        <w:tc>
          <w:tcPr>
            <w:tcW w:w="469"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5.00</w:t>
            </w:r>
          </w:p>
        </w:tc>
        <w:tc>
          <w:tcPr>
            <w:tcW w:w="46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50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311"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79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10" w:hRule="atLeast"/>
          <w:jc w:val="center"/>
        </w:trPr>
        <w:tc>
          <w:tcPr>
            <w:tcW w:w="694"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210</w:t>
            </w:r>
          </w:p>
        </w:tc>
        <w:tc>
          <w:tcPr>
            <w:tcW w:w="1258" w:type="pct"/>
            <w:tcBorders>
              <w:top w:val="nil"/>
              <w:left w:val="nil"/>
              <w:bottom w:val="single" w:color="auto" w:sz="4" w:space="0"/>
              <w:right w:val="single" w:color="auto" w:sz="4" w:space="0"/>
            </w:tcBorders>
            <w:shd w:val="clear" w:color="000000" w:fill="FFFFFF"/>
            <w:noWrap/>
            <w:vAlign w:val="center"/>
          </w:tcPr>
          <w:p>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卫生健康支出</w:t>
            </w:r>
          </w:p>
        </w:tc>
        <w:tc>
          <w:tcPr>
            <w:tcW w:w="50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149.16</w:t>
            </w:r>
          </w:p>
        </w:tc>
        <w:tc>
          <w:tcPr>
            <w:tcW w:w="469"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149.16</w:t>
            </w:r>
          </w:p>
        </w:tc>
        <w:tc>
          <w:tcPr>
            <w:tcW w:w="46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50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311"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79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10" w:hRule="atLeast"/>
          <w:jc w:val="center"/>
        </w:trPr>
        <w:tc>
          <w:tcPr>
            <w:tcW w:w="694"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21011</w:t>
            </w:r>
          </w:p>
        </w:tc>
        <w:tc>
          <w:tcPr>
            <w:tcW w:w="1258" w:type="pct"/>
            <w:tcBorders>
              <w:top w:val="nil"/>
              <w:left w:val="nil"/>
              <w:bottom w:val="single" w:color="auto" w:sz="4" w:space="0"/>
              <w:right w:val="single" w:color="auto" w:sz="4" w:space="0"/>
            </w:tcBorders>
            <w:shd w:val="clear" w:color="000000" w:fill="FFFFFF"/>
            <w:noWrap/>
            <w:vAlign w:val="center"/>
          </w:tcPr>
          <w:p>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行政事业单位医疗</w:t>
            </w:r>
          </w:p>
        </w:tc>
        <w:tc>
          <w:tcPr>
            <w:tcW w:w="50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149.16</w:t>
            </w:r>
          </w:p>
        </w:tc>
        <w:tc>
          <w:tcPr>
            <w:tcW w:w="469"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149.16</w:t>
            </w:r>
          </w:p>
        </w:tc>
        <w:tc>
          <w:tcPr>
            <w:tcW w:w="46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50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311"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79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10" w:hRule="atLeast"/>
          <w:jc w:val="center"/>
        </w:trPr>
        <w:tc>
          <w:tcPr>
            <w:tcW w:w="694"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2101101</w:t>
            </w:r>
          </w:p>
        </w:tc>
        <w:tc>
          <w:tcPr>
            <w:tcW w:w="1258" w:type="pct"/>
            <w:tcBorders>
              <w:top w:val="nil"/>
              <w:left w:val="nil"/>
              <w:bottom w:val="single" w:color="auto" w:sz="4" w:space="0"/>
              <w:right w:val="single" w:color="auto" w:sz="4" w:space="0"/>
            </w:tcBorders>
            <w:shd w:val="clear" w:color="000000" w:fill="FFFFFF"/>
            <w:noWrap/>
            <w:vAlign w:val="center"/>
          </w:tcPr>
          <w:p>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行政单位医疗</w:t>
            </w:r>
          </w:p>
        </w:tc>
        <w:tc>
          <w:tcPr>
            <w:tcW w:w="50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149.16</w:t>
            </w:r>
          </w:p>
        </w:tc>
        <w:tc>
          <w:tcPr>
            <w:tcW w:w="469"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149.16</w:t>
            </w:r>
          </w:p>
        </w:tc>
        <w:tc>
          <w:tcPr>
            <w:tcW w:w="46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50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311"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79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10" w:hRule="atLeast"/>
          <w:jc w:val="center"/>
        </w:trPr>
        <w:tc>
          <w:tcPr>
            <w:tcW w:w="694"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221</w:t>
            </w:r>
          </w:p>
        </w:tc>
        <w:tc>
          <w:tcPr>
            <w:tcW w:w="1258" w:type="pct"/>
            <w:tcBorders>
              <w:top w:val="nil"/>
              <w:left w:val="nil"/>
              <w:bottom w:val="single" w:color="auto" w:sz="4" w:space="0"/>
              <w:right w:val="single" w:color="auto" w:sz="4" w:space="0"/>
            </w:tcBorders>
            <w:shd w:val="clear" w:color="000000" w:fill="FFFFFF"/>
            <w:noWrap/>
            <w:vAlign w:val="center"/>
          </w:tcPr>
          <w:p>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住房保障支出</w:t>
            </w:r>
          </w:p>
        </w:tc>
        <w:tc>
          <w:tcPr>
            <w:tcW w:w="50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262.80</w:t>
            </w:r>
          </w:p>
        </w:tc>
        <w:tc>
          <w:tcPr>
            <w:tcW w:w="469"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262.80</w:t>
            </w:r>
          </w:p>
        </w:tc>
        <w:tc>
          <w:tcPr>
            <w:tcW w:w="46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50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311"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79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10" w:hRule="atLeast"/>
          <w:jc w:val="center"/>
        </w:trPr>
        <w:tc>
          <w:tcPr>
            <w:tcW w:w="694"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22102</w:t>
            </w:r>
          </w:p>
        </w:tc>
        <w:tc>
          <w:tcPr>
            <w:tcW w:w="1258" w:type="pct"/>
            <w:tcBorders>
              <w:top w:val="nil"/>
              <w:left w:val="nil"/>
              <w:bottom w:val="single" w:color="auto" w:sz="4" w:space="0"/>
              <w:right w:val="single" w:color="auto" w:sz="4" w:space="0"/>
            </w:tcBorders>
            <w:shd w:val="clear" w:color="000000" w:fill="FFFFFF"/>
            <w:noWrap/>
            <w:vAlign w:val="center"/>
          </w:tcPr>
          <w:p>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住房改革支出</w:t>
            </w:r>
          </w:p>
        </w:tc>
        <w:tc>
          <w:tcPr>
            <w:tcW w:w="50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262.80</w:t>
            </w:r>
          </w:p>
        </w:tc>
        <w:tc>
          <w:tcPr>
            <w:tcW w:w="469"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262.80</w:t>
            </w:r>
          </w:p>
        </w:tc>
        <w:tc>
          <w:tcPr>
            <w:tcW w:w="46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50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311"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79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10" w:hRule="atLeast"/>
          <w:jc w:val="center"/>
        </w:trPr>
        <w:tc>
          <w:tcPr>
            <w:tcW w:w="694"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2210201</w:t>
            </w:r>
          </w:p>
        </w:tc>
        <w:tc>
          <w:tcPr>
            <w:tcW w:w="1258" w:type="pct"/>
            <w:tcBorders>
              <w:top w:val="nil"/>
              <w:left w:val="nil"/>
              <w:bottom w:val="single" w:color="auto" w:sz="4" w:space="0"/>
              <w:right w:val="single" w:color="auto" w:sz="4" w:space="0"/>
            </w:tcBorders>
            <w:shd w:val="clear" w:color="000000" w:fill="FFFFFF"/>
            <w:noWrap/>
            <w:vAlign w:val="center"/>
          </w:tcPr>
          <w:p>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住房公积金</w:t>
            </w:r>
          </w:p>
        </w:tc>
        <w:tc>
          <w:tcPr>
            <w:tcW w:w="502"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262.80</w:t>
            </w:r>
          </w:p>
        </w:tc>
        <w:tc>
          <w:tcPr>
            <w:tcW w:w="469" w:type="pct"/>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262.80</w:t>
            </w:r>
          </w:p>
        </w:tc>
        <w:tc>
          <w:tcPr>
            <w:tcW w:w="46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0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11"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79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bl>
    <w:p>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pPr>
        <w:widowControl/>
        <w:spacing w:line="400" w:lineRule="exact"/>
        <w:jc w:val="center"/>
        <w:textAlignment w:val="center"/>
        <w:rPr>
          <w:rFonts w:ascii="Times New Roman" w:hAnsi="Times New Roman" w:eastAsia="黑体"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pPr>
        <w:widowControl/>
        <w:tabs>
          <w:tab w:val="left" w:pos="3595"/>
          <w:tab w:val="left" w:pos="4031"/>
          <w:tab w:val="left" w:pos="5109"/>
          <w:tab w:val="left" w:pos="9152"/>
          <w:tab w:val="left" w:pos="9587"/>
          <w:tab w:val="left" w:pos="11160"/>
          <w:tab w:val="left" w:pos="12554"/>
          <w:tab w:val="left" w:pos="13948"/>
        </w:tabs>
        <w:jc w:val="both"/>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祁阳市市场监督管理局</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hint="eastAsia" w:ascii="Times New Roman" w:hAnsi="Times New Roman" w:eastAsia="仿宋_GB2312" w:cs="Times New Roman"/>
          <w:kern w:val="0"/>
          <w:sz w:val="24"/>
          <w:szCs w:val="24"/>
          <w:lang w:val="en-US" w:eastAsia="zh-CN"/>
        </w:rPr>
        <w:t xml:space="preserve">       </w:t>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12"/>
        <w:tblW w:w="0" w:type="auto"/>
        <w:jc w:val="center"/>
        <w:tblLayout w:type="autofit"/>
        <w:tblCellMar>
          <w:top w:w="0" w:type="dxa"/>
          <w:left w:w="108" w:type="dxa"/>
          <w:bottom w:w="0" w:type="dxa"/>
          <w:right w:w="108" w:type="dxa"/>
        </w:tblCellMar>
      </w:tblPr>
      <w:tblGrid>
        <w:gridCol w:w="3516"/>
        <w:gridCol w:w="616"/>
        <w:gridCol w:w="1126"/>
        <w:gridCol w:w="2636"/>
        <w:gridCol w:w="616"/>
        <w:gridCol w:w="1346"/>
        <w:gridCol w:w="1657"/>
        <w:gridCol w:w="1311"/>
        <w:gridCol w:w="1396"/>
      </w:tblGrid>
      <w:tr>
        <w:tblPrEx>
          <w:tblCellMar>
            <w:top w:w="0" w:type="dxa"/>
            <w:left w:w="108" w:type="dxa"/>
            <w:bottom w:w="0" w:type="dxa"/>
            <w:right w:w="108" w:type="dxa"/>
          </w:tblCellMar>
        </w:tblPrEx>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tblPrEx>
          <w:tblCellMar>
            <w:top w:w="0" w:type="dxa"/>
            <w:left w:w="108" w:type="dxa"/>
            <w:bottom w:w="0" w:type="dxa"/>
            <w:right w:w="108" w:type="dxa"/>
          </w:tblCellMar>
        </w:tblPrEx>
        <w:trPr>
          <w:trHeight w:val="63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tblPrEx>
          <w:tblCellMar>
            <w:top w:w="0" w:type="dxa"/>
            <w:left w:w="108" w:type="dxa"/>
            <w:bottom w:w="0" w:type="dxa"/>
            <w:right w:w="108" w:type="dxa"/>
          </w:tblCellMar>
        </w:tblPrEx>
        <w:trPr>
          <w:trHeight w:val="403"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4852.57</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一、一般公共服务支出</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33</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rPr>
              <w:t>4015.53</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4015.53</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3"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二、外交支出</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34</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3"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三、国防支出</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35</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3"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四、公共安全支出</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36</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3"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五、教育支出</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37</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3"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六、科学技术支出</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38</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3"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七、文化旅游体育与传媒支出</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39</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3"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8</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c>
          <w:tcPr>
            <w:tcW w:w="263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八、社会保障和就业支出</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425.07</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425.07</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r>
      <w:tr>
        <w:tblPrEx>
          <w:tblCellMar>
            <w:top w:w="0" w:type="dxa"/>
            <w:left w:w="108" w:type="dxa"/>
            <w:bottom w:w="0" w:type="dxa"/>
            <w:right w:w="108" w:type="dxa"/>
          </w:tblCellMar>
        </w:tblPrEx>
        <w:trPr>
          <w:trHeight w:val="403"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9</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c>
          <w:tcPr>
            <w:tcW w:w="263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九、卫生健康支出</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149.16</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149.16</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r>
      <w:tr>
        <w:tblPrEx>
          <w:tblCellMar>
            <w:top w:w="0" w:type="dxa"/>
            <w:left w:w="108" w:type="dxa"/>
            <w:bottom w:w="0" w:type="dxa"/>
            <w:right w:w="108" w:type="dxa"/>
          </w:tblCellMar>
        </w:tblPrEx>
        <w:trPr>
          <w:trHeight w:val="403"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10</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c>
          <w:tcPr>
            <w:tcW w:w="263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十、节能环保支出</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42</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r>
      <w:tr>
        <w:tblPrEx>
          <w:tblCellMar>
            <w:top w:w="0" w:type="dxa"/>
            <w:left w:w="108" w:type="dxa"/>
            <w:bottom w:w="0" w:type="dxa"/>
            <w:right w:w="108" w:type="dxa"/>
          </w:tblCellMar>
        </w:tblPrEx>
        <w:trPr>
          <w:trHeight w:val="403"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11</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c>
          <w:tcPr>
            <w:tcW w:w="263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十一、城乡社区支出</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43</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r>
      <w:tr>
        <w:tblPrEx>
          <w:tblCellMar>
            <w:top w:w="0" w:type="dxa"/>
            <w:left w:w="108" w:type="dxa"/>
            <w:bottom w:w="0" w:type="dxa"/>
            <w:right w:w="108" w:type="dxa"/>
          </w:tblCellMar>
        </w:tblPrEx>
        <w:trPr>
          <w:trHeight w:val="403"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12</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c>
          <w:tcPr>
            <w:tcW w:w="263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十二、农林水支出</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44</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r>
      <w:tr>
        <w:tblPrEx>
          <w:tblCellMar>
            <w:top w:w="0" w:type="dxa"/>
            <w:left w:w="108" w:type="dxa"/>
            <w:bottom w:w="0" w:type="dxa"/>
            <w:right w:w="108" w:type="dxa"/>
          </w:tblCellMar>
        </w:tblPrEx>
        <w:trPr>
          <w:trHeight w:val="403"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13</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c>
          <w:tcPr>
            <w:tcW w:w="263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十三、交通运输支出</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45</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r>
      <w:tr>
        <w:tblPrEx>
          <w:tblCellMar>
            <w:top w:w="0" w:type="dxa"/>
            <w:left w:w="108" w:type="dxa"/>
            <w:bottom w:w="0" w:type="dxa"/>
            <w:right w:w="108" w:type="dxa"/>
          </w:tblCellMar>
        </w:tblPrEx>
        <w:trPr>
          <w:trHeight w:val="403"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14</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c>
          <w:tcPr>
            <w:tcW w:w="263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十四、资源勘探工业信息等支出</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46</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r>
      <w:tr>
        <w:tblPrEx>
          <w:tblCellMar>
            <w:top w:w="0" w:type="dxa"/>
            <w:left w:w="108" w:type="dxa"/>
            <w:bottom w:w="0" w:type="dxa"/>
            <w:right w:w="108" w:type="dxa"/>
          </w:tblCellMar>
        </w:tblPrEx>
        <w:trPr>
          <w:trHeight w:val="403"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15</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c>
          <w:tcPr>
            <w:tcW w:w="263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十五、商业服务业等支出</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47</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r>
      <w:tr>
        <w:tblPrEx>
          <w:tblCellMar>
            <w:top w:w="0" w:type="dxa"/>
            <w:left w:w="108" w:type="dxa"/>
            <w:bottom w:w="0" w:type="dxa"/>
            <w:right w:w="108" w:type="dxa"/>
          </w:tblCellMar>
        </w:tblPrEx>
        <w:trPr>
          <w:trHeight w:val="403"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16</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c>
          <w:tcPr>
            <w:tcW w:w="263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十六、金融支出</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48</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r>
      <w:tr>
        <w:tblPrEx>
          <w:tblCellMar>
            <w:top w:w="0" w:type="dxa"/>
            <w:left w:w="108" w:type="dxa"/>
            <w:bottom w:w="0" w:type="dxa"/>
            <w:right w:w="108" w:type="dxa"/>
          </w:tblCellMar>
        </w:tblPrEx>
        <w:trPr>
          <w:trHeight w:val="403"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17</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c>
          <w:tcPr>
            <w:tcW w:w="263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十七、援助其他地区支出</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49</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r>
      <w:tr>
        <w:tblPrEx>
          <w:tblCellMar>
            <w:top w:w="0" w:type="dxa"/>
            <w:left w:w="108" w:type="dxa"/>
            <w:bottom w:w="0" w:type="dxa"/>
            <w:right w:w="108" w:type="dxa"/>
          </w:tblCellMar>
        </w:tblPrEx>
        <w:trPr>
          <w:trHeight w:val="403"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18</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c>
          <w:tcPr>
            <w:tcW w:w="263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十八、自然资源海洋气象等支出</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50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r>
      <w:tr>
        <w:tblPrEx>
          <w:tblCellMar>
            <w:top w:w="0" w:type="dxa"/>
            <w:left w:w="108" w:type="dxa"/>
            <w:bottom w:w="0" w:type="dxa"/>
            <w:right w:w="108" w:type="dxa"/>
          </w:tblCellMar>
        </w:tblPrEx>
        <w:trPr>
          <w:trHeight w:val="403"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19</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c>
          <w:tcPr>
            <w:tcW w:w="263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十九、住房保障支出</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51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262.8</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262.8</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r>
      <w:tr>
        <w:tblPrEx>
          <w:tblCellMar>
            <w:top w:w="0" w:type="dxa"/>
            <w:left w:w="108" w:type="dxa"/>
            <w:bottom w:w="0" w:type="dxa"/>
            <w:right w:w="108" w:type="dxa"/>
          </w:tblCellMar>
        </w:tblPrEx>
        <w:trPr>
          <w:trHeight w:val="403"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20</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c>
          <w:tcPr>
            <w:tcW w:w="263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二十、粮油物资储备支出</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52</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r>
      <w:tr>
        <w:tblPrEx>
          <w:tblCellMar>
            <w:top w:w="0" w:type="dxa"/>
            <w:left w:w="108" w:type="dxa"/>
            <w:bottom w:w="0" w:type="dxa"/>
            <w:right w:w="108" w:type="dxa"/>
          </w:tblCellMar>
        </w:tblPrEx>
        <w:trPr>
          <w:trHeight w:val="403"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21</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c>
          <w:tcPr>
            <w:tcW w:w="263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二十一、国有资本经营预算支出</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53</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r>
      <w:tr>
        <w:tblPrEx>
          <w:tblCellMar>
            <w:top w:w="0" w:type="dxa"/>
            <w:left w:w="108" w:type="dxa"/>
            <w:bottom w:w="0" w:type="dxa"/>
            <w:right w:w="108" w:type="dxa"/>
          </w:tblCellMar>
        </w:tblPrEx>
        <w:trPr>
          <w:trHeight w:val="403"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22</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c>
          <w:tcPr>
            <w:tcW w:w="263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二十二、灾害防治及应急管理支出</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54</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r>
      <w:tr>
        <w:tblPrEx>
          <w:tblCellMar>
            <w:top w:w="0" w:type="dxa"/>
            <w:left w:w="108" w:type="dxa"/>
            <w:bottom w:w="0" w:type="dxa"/>
            <w:right w:w="108" w:type="dxa"/>
          </w:tblCellMar>
        </w:tblPrEx>
        <w:trPr>
          <w:trHeight w:val="403"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23</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c>
          <w:tcPr>
            <w:tcW w:w="263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二十三、其他支出</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55</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r>
      <w:tr>
        <w:tblPrEx>
          <w:tblCellMar>
            <w:top w:w="0" w:type="dxa"/>
            <w:left w:w="108" w:type="dxa"/>
            <w:bottom w:w="0" w:type="dxa"/>
            <w:right w:w="108" w:type="dxa"/>
          </w:tblCellMar>
        </w:tblPrEx>
        <w:trPr>
          <w:trHeight w:val="403"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24</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c>
          <w:tcPr>
            <w:tcW w:w="263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二十四、债务还本支出</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56</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r>
      <w:tr>
        <w:tblPrEx>
          <w:tblCellMar>
            <w:top w:w="0" w:type="dxa"/>
            <w:left w:w="108" w:type="dxa"/>
            <w:bottom w:w="0" w:type="dxa"/>
            <w:right w:w="108" w:type="dxa"/>
          </w:tblCellMar>
        </w:tblPrEx>
        <w:trPr>
          <w:trHeight w:val="403"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25</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c>
          <w:tcPr>
            <w:tcW w:w="263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二十五、债务付息支出</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57</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r>
      <w:tr>
        <w:tblPrEx>
          <w:tblCellMar>
            <w:top w:w="0" w:type="dxa"/>
            <w:left w:w="108" w:type="dxa"/>
            <w:bottom w:w="0" w:type="dxa"/>
            <w:right w:w="108" w:type="dxa"/>
          </w:tblCellMar>
        </w:tblPrEx>
        <w:trPr>
          <w:trHeight w:val="403"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26</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c>
          <w:tcPr>
            <w:tcW w:w="263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二十六、抗疫特别国债安排的支出</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58</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r>
      <w:tr>
        <w:tblPrEx>
          <w:tblCellMar>
            <w:top w:w="0" w:type="dxa"/>
            <w:left w:w="108" w:type="dxa"/>
            <w:bottom w:w="0" w:type="dxa"/>
            <w:right w:w="108" w:type="dxa"/>
          </w:tblCellMar>
        </w:tblPrEx>
        <w:trPr>
          <w:trHeight w:val="403"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27</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4852.57</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59</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4852.57</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4852.57</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tblPrEx>
          <w:tblCellMar>
            <w:top w:w="0" w:type="dxa"/>
            <w:left w:w="108" w:type="dxa"/>
            <w:bottom w:w="0" w:type="dxa"/>
            <w:right w:w="108" w:type="dxa"/>
          </w:tblCellMar>
        </w:tblPrEx>
        <w:trPr>
          <w:trHeight w:val="403"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28</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60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3"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29</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61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3"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30</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62</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3"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31</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63</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3"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32</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4852.57</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16" w:type="dxa"/>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64</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4852.57</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4852.57</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pPr>
        <w:widowControl/>
        <w:jc w:val="center"/>
        <w:rPr>
          <w:rFonts w:ascii="Times New Roman" w:hAnsi="Times New Roman" w:eastAsia="方正小标宋_GBK" w:cs="Times New Roman"/>
          <w:kern w:val="0"/>
          <w:sz w:val="36"/>
          <w:szCs w:val="36"/>
        </w:rPr>
      </w:pPr>
    </w:p>
    <w:p>
      <w:pPr>
        <w:pStyle w:val="10"/>
        <w:rPr>
          <w:rFonts w:ascii="Times New Roman" w:hAnsi="Times New Roman" w:eastAsia="方正小标宋_GBK" w:cs="Times New Roman"/>
          <w:kern w:val="0"/>
          <w:sz w:val="36"/>
          <w:szCs w:val="36"/>
        </w:rPr>
      </w:pPr>
    </w:p>
    <w:p>
      <w:pPr>
        <w:pStyle w:val="6"/>
        <w:rPr>
          <w:rFonts w:ascii="Times New Roman" w:hAnsi="Times New Roman" w:eastAsia="方正小标宋_GBK" w:cs="Times New Roman"/>
          <w:kern w:val="0"/>
          <w:sz w:val="36"/>
          <w:szCs w:val="36"/>
        </w:rPr>
      </w:pPr>
    </w:p>
    <w:p>
      <w:pPr>
        <w:rPr>
          <w:rFonts w:ascii="Times New Roman" w:hAnsi="Times New Roman" w:eastAsia="方正小标宋_GBK" w:cs="Times New Roman"/>
          <w:kern w:val="0"/>
          <w:sz w:val="36"/>
          <w:szCs w:val="36"/>
        </w:rPr>
      </w:pPr>
    </w:p>
    <w:p>
      <w:pPr>
        <w:pStyle w:val="10"/>
        <w:rPr>
          <w:rFonts w:ascii="Times New Roman" w:hAnsi="Times New Roman" w:eastAsia="方正小标宋_GBK" w:cs="Times New Roman"/>
          <w:kern w:val="0"/>
          <w:sz w:val="36"/>
          <w:szCs w:val="36"/>
        </w:rPr>
      </w:pPr>
    </w:p>
    <w:p>
      <w:pPr>
        <w:pStyle w:val="6"/>
        <w:rPr>
          <w:rFonts w:ascii="Times New Roman" w:hAnsi="Times New Roman" w:eastAsia="方正小标宋_GBK" w:cs="Times New Roman"/>
          <w:kern w:val="0"/>
          <w:sz w:val="36"/>
          <w:szCs w:val="36"/>
        </w:rPr>
      </w:pPr>
    </w:p>
    <w:p>
      <w:pPr>
        <w:rPr>
          <w:rFonts w:ascii="Times New Roman" w:hAnsi="Times New Roman" w:eastAsia="方正小标宋_GBK" w:cs="Times New Roman"/>
          <w:kern w:val="0"/>
          <w:sz w:val="36"/>
          <w:szCs w:val="36"/>
        </w:rPr>
      </w:pPr>
    </w:p>
    <w:p>
      <w:pPr>
        <w:pStyle w:val="10"/>
        <w:rPr>
          <w:rFonts w:ascii="Times New Roman" w:hAnsi="Times New Roman" w:eastAsia="方正小标宋_GBK" w:cs="Times New Roman"/>
          <w:kern w:val="0"/>
          <w:sz w:val="36"/>
          <w:szCs w:val="36"/>
        </w:rPr>
      </w:pPr>
    </w:p>
    <w:p>
      <w:pPr>
        <w:pStyle w:val="6"/>
        <w:rPr>
          <w:rFonts w:ascii="Times New Roman" w:hAnsi="Times New Roman" w:eastAsia="方正小标宋_GBK" w:cs="Times New Roman"/>
          <w:kern w:val="0"/>
          <w:sz w:val="36"/>
          <w:szCs w:val="36"/>
        </w:rPr>
      </w:pPr>
    </w:p>
    <w:p>
      <w:pPr>
        <w:rPr>
          <w:rFonts w:ascii="Times New Roman" w:hAnsi="Times New Roman" w:eastAsia="方正小标宋_GBK" w:cs="Times New Roman"/>
          <w:kern w:val="0"/>
          <w:sz w:val="36"/>
          <w:szCs w:val="36"/>
        </w:rPr>
      </w:pPr>
    </w:p>
    <w:p>
      <w:pPr>
        <w:pStyle w:val="10"/>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Cs w:val="21"/>
          <w:lang w:eastAsia="zh-CN"/>
        </w:rPr>
        <w:t>祁阳市市场监督管理局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单位：万元</w:t>
      </w:r>
    </w:p>
    <w:tbl>
      <w:tblPr>
        <w:tblStyle w:val="12"/>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4852.57</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4,411.27</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441.29</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201</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eastAsia="zh-CN"/>
              </w:rPr>
              <w:t>一般公共服务支出</w:t>
            </w:r>
          </w:p>
        </w:tc>
        <w:tc>
          <w:tcPr>
            <w:tcW w:w="3000" w:type="dxa"/>
            <w:tcBorders>
              <w:top w:val="nil"/>
              <w:left w:val="nil"/>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4,015.53</w:t>
            </w:r>
          </w:p>
        </w:tc>
        <w:tc>
          <w:tcPr>
            <w:tcW w:w="3492" w:type="dxa"/>
            <w:tcBorders>
              <w:top w:val="nil"/>
              <w:left w:val="nil"/>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3,574.24</w:t>
            </w:r>
          </w:p>
        </w:tc>
        <w:tc>
          <w:tcPr>
            <w:tcW w:w="3000" w:type="dxa"/>
            <w:tcBorders>
              <w:top w:val="nil"/>
              <w:left w:val="nil"/>
              <w:bottom w:val="single" w:color="auto" w:sz="4" w:space="0"/>
              <w:right w:val="single" w:color="auto" w:sz="8" w:space="0"/>
            </w:tcBorders>
            <w:shd w:val="clear" w:color="auto" w:fill="auto"/>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441.29</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20114</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知识产权事务</w:t>
            </w:r>
          </w:p>
        </w:tc>
        <w:tc>
          <w:tcPr>
            <w:tcW w:w="3000" w:type="dxa"/>
            <w:tcBorders>
              <w:top w:val="nil"/>
              <w:left w:val="nil"/>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10.00</w:t>
            </w:r>
          </w:p>
        </w:tc>
        <w:tc>
          <w:tcPr>
            <w:tcW w:w="3492" w:type="dxa"/>
            <w:tcBorders>
              <w:top w:val="nil"/>
              <w:left w:val="nil"/>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kern w:val="2"/>
                <w:sz w:val="21"/>
                <w:szCs w:val="22"/>
                <w:lang w:val="en-US" w:eastAsia="zh-CN" w:bidi="ar-SA"/>
              </w:rPr>
            </w:pPr>
          </w:p>
        </w:tc>
        <w:tc>
          <w:tcPr>
            <w:tcW w:w="3000" w:type="dxa"/>
            <w:tcBorders>
              <w:top w:val="nil"/>
              <w:left w:val="nil"/>
              <w:bottom w:val="single" w:color="auto" w:sz="4" w:space="0"/>
              <w:right w:val="single" w:color="auto" w:sz="8" w:space="0"/>
            </w:tcBorders>
            <w:shd w:val="clear" w:color="auto" w:fill="auto"/>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2011499</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其他知识产权事务支出</w:t>
            </w:r>
          </w:p>
        </w:tc>
        <w:tc>
          <w:tcPr>
            <w:tcW w:w="3000" w:type="dxa"/>
            <w:tcBorders>
              <w:top w:val="nil"/>
              <w:left w:val="nil"/>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10.00</w:t>
            </w:r>
          </w:p>
        </w:tc>
        <w:tc>
          <w:tcPr>
            <w:tcW w:w="3492" w:type="dxa"/>
            <w:tcBorders>
              <w:top w:val="nil"/>
              <w:left w:val="nil"/>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kern w:val="2"/>
                <w:sz w:val="21"/>
                <w:szCs w:val="22"/>
                <w:lang w:val="en-US" w:eastAsia="zh-CN" w:bidi="ar-SA"/>
              </w:rPr>
            </w:pPr>
          </w:p>
        </w:tc>
        <w:tc>
          <w:tcPr>
            <w:tcW w:w="3000" w:type="dxa"/>
            <w:tcBorders>
              <w:top w:val="nil"/>
              <w:left w:val="nil"/>
              <w:bottom w:val="single" w:color="auto" w:sz="4" w:space="0"/>
              <w:right w:val="single" w:color="auto" w:sz="8" w:space="0"/>
            </w:tcBorders>
            <w:shd w:val="clear" w:color="auto" w:fill="auto"/>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20132</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组织事务</w:t>
            </w:r>
          </w:p>
        </w:tc>
        <w:tc>
          <w:tcPr>
            <w:tcW w:w="3000" w:type="dxa"/>
            <w:tcBorders>
              <w:top w:val="nil"/>
              <w:left w:val="nil"/>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2.40</w:t>
            </w:r>
          </w:p>
        </w:tc>
        <w:tc>
          <w:tcPr>
            <w:tcW w:w="3492" w:type="dxa"/>
            <w:tcBorders>
              <w:top w:val="nil"/>
              <w:left w:val="nil"/>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kern w:val="2"/>
                <w:sz w:val="21"/>
                <w:szCs w:val="22"/>
                <w:lang w:val="en-US" w:eastAsia="zh-CN" w:bidi="ar-SA"/>
              </w:rPr>
            </w:pPr>
          </w:p>
        </w:tc>
        <w:tc>
          <w:tcPr>
            <w:tcW w:w="3000" w:type="dxa"/>
            <w:tcBorders>
              <w:top w:val="nil"/>
              <w:left w:val="nil"/>
              <w:bottom w:val="single" w:color="auto" w:sz="4" w:space="0"/>
              <w:right w:val="single" w:color="auto" w:sz="8" w:space="0"/>
            </w:tcBorders>
            <w:shd w:val="clear" w:color="auto" w:fill="auto"/>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2.40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2013202</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一般行政管理事务</w:t>
            </w:r>
          </w:p>
        </w:tc>
        <w:tc>
          <w:tcPr>
            <w:tcW w:w="3000" w:type="dxa"/>
            <w:tcBorders>
              <w:top w:val="nil"/>
              <w:left w:val="nil"/>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2.40</w:t>
            </w:r>
          </w:p>
        </w:tc>
        <w:tc>
          <w:tcPr>
            <w:tcW w:w="3492" w:type="dxa"/>
            <w:tcBorders>
              <w:top w:val="nil"/>
              <w:left w:val="nil"/>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kern w:val="2"/>
                <w:sz w:val="21"/>
                <w:szCs w:val="22"/>
                <w:lang w:val="en-US" w:eastAsia="zh-CN" w:bidi="ar-SA"/>
              </w:rPr>
            </w:pPr>
          </w:p>
        </w:tc>
        <w:tc>
          <w:tcPr>
            <w:tcW w:w="3000" w:type="dxa"/>
            <w:tcBorders>
              <w:top w:val="nil"/>
              <w:left w:val="nil"/>
              <w:bottom w:val="single" w:color="auto" w:sz="4" w:space="0"/>
              <w:right w:val="single" w:color="auto" w:sz="8" w:space="0"/>
            </w:tcBorders>
            <w:shd w:val="clear" w:color="auto" w:fill="auto"/>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2.40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20138</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市场监督管理事务</w:t>
            </w:r>
          </w:p>
        </w:tc>
        <w:tc>
          <w:tcPr>
            <w:tcW w:w="3000" w:type="dxa"/>
            <w:tcBorders>
              <w:top w:val="nil"/>
              <w:left w:val="nil"/>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4,003.13</w:t>
            </w:r>
          </w:p>
        </w:tc>
        <w:tc>
          <w:tcPr>
            <w:tcW w:w="3492" w:type="dxa"/>
            <w:tcBorders>
              <w:top w:val="nil"/>
              <w:left w:val="nil"/>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kern w:val="2"/>
                <w:sz w:val="21"/>
                <w:szCs w:val="22"/>
                <w:lang w:val="en-US" w:eastAsia="zh-CN" w:bidi="ar-SA"/>
              </w:rPr>
              <w:t>3,574.24</w:t>
            </w:r>
          </w:p>
        </w:tc>
        <w:tc>
          <w:tcPr>
            <w:tcW w:w="3000" w:type="dxa"/>
            <w:tcBorders>
              <w:top w:val="nil"/>
              <w:left w:val="nil"/>
              <w:bottom w:val="single" w:color="auto" w:sz="4" w:space="0"/>
              <w:right w:val="single" w:color="auto" w:sz="8" w:space="0"/>
            </w:tcBorders>
            <w:shd w:val="clear" w:color="auto" w:fill="auto"/>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428.89</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2013801</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行政运行</w:t>
            </w:r>
          </w:p>
        </w:tc>
        <w:tc>
          <w:tcPr>
            <w:tcW w:w="3000" w:type="dxa"/>
            <w:tcBorders>
              <w:top w:val="nil"/>
              <w:left w:val="nil"/>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3,574.24</w:t>
            </w:r>
          </w:p>
        </w:tc>
        <w:tc>
          <w:tcPr>
            <w:tcW w:w="3492" w:type="dxa"/>
            <w:tcBorders>
              <w:top w:val="nil"/>
              <w:left w:val="nil"/>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kern w:val="2"/>
                <w:sz w:val="21"/>
                <w:szCs w:val="22"/>
                <w:lang w:val="en-US" w:eastAsia="zh-CN" w:bidi="ar-SA"/>
              </w:rPr>
              <w:t>3,574.24</w:t>
            </w:r>
          </w:p>
        </w:tc>
        <w:tc>
          <w:tcPr>
            <w:tcW w:w="3000" w:type="dxa"/>
            <w:tcBorders>
              <w:top w:val="nil"/>
              <w:left w:val="nil"/>
              <w:bottom w:val="single" w:color="auto" w:sz="4" w:space="0"/>
              <w:right w:val="single" w:color="auto" w:sz="8" w:space="0"/>
            </w:tcBorders>
            <w:shd w:val="clear" w:color="auto" w:fill="auto"/>
            <w:vAlign w:val="center"/>
          </w:tcPr>
          <w:p>
            <w:pPr>
              <w:jc w:val="right"/>
              <w:rPr>
                <w:rFonts w:hint="eastAsia" w:ascii="Times New Roman" w:hAnsi="Times New Roman" w:eastAsia="仿宋_GB2312" w:cs="Times New Roman"/>
                <w:kern w:val="2"/>
                <w:sz w:val="21"/>
                <w:szCs w:val="22"/>
                <w:lang w:val="en-US" w:eastAsia="zh-CN" w:bidi="ar-SA"/>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2013802</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一般行政管理事务</w:t>
            </w:r>
          </w:p>
        </w:tc>
        <w:tc>
          <w:tcPr>
            <w:tcW w:w="3000" w:type="dxa"/>
            <w:tcBorders>
              <w:top w:val="nil"/>
              <w:left w:val="nil"/>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362.94</w:t>
            </w:r>
          </w:p>
        </w:tc>
        <w:tc>
          <w:tcPr>
            <w:tcW w:w="3492" w:type="dxa"/>
            <w:tcBorders>
              <w:top w:val="nil"/>
              <w:left w:val="nil"/>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kern w:val="2"/>
                <w:sz w:val="21"/>
                <w:szCs w:val="22"/>
                <w:lang w:val="en-US" w:eastAsia="zh-CN" w:bidi="ar-SA"/>
              </w:rPr>
            </w:pPr>
          </w:p>
        </w:tc>
        <w:tc>
          <w:tcPr>
            <w:tcW w:w="3000" w:type="dxa"/>
            <w:tcBorders>
              <w:top w:val="nil"/>
              <w:left w:val="nil"/>
              <w:bottom w:val="single" w:color="auto" w:sz="4" w:space="0"/>
              <w:right w:val="single" w:color="auto" w:sz="8" w:space="0"/>
            </w:tcBorders>
            <w:shd w:val="clear" w:color="auto" w:fill="auto"/>
            <w:vAlign w:val="center"/>
          </w:tcPr>
          <w:p>
            <w:pPr>
              <w:jc w:val="right"/>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kern w:val="2"/>
                <w:sz w:val="21"/>
                <w:szCs w:val="22"/>
                <w:lang w:val="en-US" w:eastAsia="zh-CN" w:bidi="ar-SA"/>
              </w:rPr>
              <w:t>362.94</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2013812</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药品事务</w:t>
            </w:r>
          </w:p>
        </w:tc>
        <w:tc>
          <w:tcPr>
            <w:tcW w:w="3000" w:type="dxa"/>
            <w:tcBorders>
              <w:top w:val="nil"/>
              <w:left w:val="nil"/>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10.03</w:t>
            </w:r>
          </w:p>
        </w:tc>
        <w:tc>
          <w:tcPr>
            <w:tcW w:w="3492" w:type="dxa"/>
            <w:tcBorders>
              <w:top w:val="nil"/>
              <w:left w:val="nil"/>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kern w:val="2"/>
                <w:sz w:val="21"/>
                <w:szCs w:val="22"/>
                <w:lang w:val="en-US" w:eastAsia="zh-CN" w:bidi="ar-SA"/>
              </w:rPr>
            </w:pPr>
          </w:p>
        </w:tc>
        <w:tc>
          <w:tcPr>
            <w:tcW w:w="3000" w:type="dxa"/>
            <w:tcBorders>
              <w:top w:val="nil"/>
              <w:left w:val="nil"/>
              <w:bottom w:val="single" w:color="auto" w:sz="4" w:space="0"/>
              <w:right w:val="single" w:color="auto" w:sz="8" w:space="0"/>
            </w:tcBorders>
            <w:shd w:val="clear" w:color="auto" w:fill="auto"/>
            <w:vAlign w:val="center"/>
          </w:tcPr>
          <w:p>
            <w:pPr>
              <w:jc w:val="right"/>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kern w:val="2"/>
                <w:sz w:val="21"/>
                <w:szCs w:val="22"/>
                <w:lang w:val="en-US" w:eastAsia="zh-CN" w:bidi="ar-SA"/>
              </w:rPr>
              <w:t>10.03</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2013816</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食品安全监管</w:t>
            </w:r>
          </w:p>
        </w:tc>
        <w:tc>
          <w:tcPr>
            <w:tcW w:w="3000" w:type="dxa"/>
            <w:tcBorders>
              <w:top w:val="nil"/>
              <w:left w:val="nil"/>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6.36</w:t>
            </w:r>
          </w:p>
        </w:tc>
        <w:tc>
          <w:tcPr>
            <w:tcW w:w="3492" w:type="dxa"/>
            <w:tcBorders>
              <w:top w:val="nil"/>
              <w:left w:val="nil"/>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kern w:val="2"/>
                <w:sz w:val="21"/>
                <w:szCs w:val="22"/>
                <w:lang w:val="en-US" w:eastAsia="zh-CN" w:bidi="ar-SA"/>
              </w:rPr>
            </w:pPr>
          </w:p>
        </w:tc>
        <w:tc>
          <w:tcPr>
            <w:tcW w:w="3000" w:type="dxa"/>
            <w:tcBorders>
              <w:top w:val="nil"/>
              <w:left w:val="nil"/>
              <w:bottom w:val="single" w:color="auto" w:sz="4" w:space="0"/>
              <w:right w:val="single" w:color="auto" w:sz="8" w:space="0"/>
            </w:tcBorders>
            <w:shd w:val="clear" w:color="auto" w:fill="auto"/>
            <w:vAlign w:val="center"/>
          </w:tcPr>
          <w:p>
            <w:pPr>
              <w:jc w:val="right"/>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kern w:val="2"/>
                <w:sz w:val="21"/>
                <w:szCs w:val="22"/>
                <w:lang w:val="en-US" w:eastAsia="zh-CN" w:bidi="ar-SA"/>
              </w:rPr>
              <w:t>6.36</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2013899</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其他市场监督管理事务</w:t>
            </w:r>
          </w:p>
        </w:tc>
        <w:tc>
          <w:tcPr>
            <w:tcW w:w="3000" w:type="dxa"/>
            <w:tcBorders>
              <w:top w:val="nil"/>
              <w:left w:val="nil"/>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49.56</w:t>
            </w:r>
          </w:p>
        </w:tc>
        <w:tc>
          <w:tcPr>
            <w:tcW w:w="3492" w:type="dxa"/>
            <w:tcBorders>
              <w:top w:val="nil"/>
              <w:left w:val="nil"/>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kern w:val="2"/>
                <w:sz w:val="21"/>
                <w:szCs w:val="22"/>
                <w:lang w:val="en-US" w:eastAsia="zh-CN" w:bidi="ar-SA"/>
              </w:rPr>
            </w:pPr>
          </w:p>
        </w:tc>
        <w:tc>
          <w:tcPr>
            <w:tcW w:w="3000" w:type="dxa"/>
            <w:tcBorders>
              <w:top w:val="nil"/>
              <w:left w:val="nil"/>
              <w:bottom w:val="single" w:color="auto" w:sz="4" w:space="0"/>
              <w:right w:val="single" w:color="auto" w:sz="8" w:space="0"/>
            </w:tcBorders>
            <w:shd w:val="clear" w:color="auto" w:fill="auto"/>
            <w:vAlign w:val="center"/>
          </w:tcPr>
          <w:p>
            <w:pPr>
              <w:jc w:val="right"/>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kern w:val="2"/>
                <w:sz w:val="21"/>
                <w:szCs w:val="22"/>
                <w:lang w:val="en-US" w:eastAsia="zh-CN" w:bidi="ar-SA"/>
              </w:rPr>
              <w:t>49.56</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208</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社会保障和就业支出</w:t>
            </w:r>
          </w:p>
        </w:tc>
        <w:tc>
          <w:tcPr>
            <w:tcW w:w="3000" w:type="dxa"/>
            <w:tcBorders>
              <w:top w:val="nil"/>
              <w:left w:val="nil"/>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425.07</w:t>
            </w:r>
          </w:p>
        </w:tc>
        <w:tc>
          <w:tcPr>
            <w:tcW w:w="3492" w:type="dxa"/>
            <w:tcBorders>
              <w:top w:val="nil"/>
              <w:left w:val="nil"/>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kern w:val="2"/>
                <w:sz w:val="21"/>
                <w:szCs w:val="22"/>
                <w:lang w:val="en-US" w:eastAsia="zh-CN" w:bidi="ar-SA"/>
              </w:rPr>
              <w:t>425.07</w:t>
            </w:r>
          </w:p>
        </w:tc>
        <w:tc>
          <w:tcPr>
            <w:tcW w:w="3000" w:type="dxa"/>
            <w:tcBorders>
              <w:top w:val="nil"/>
              <w:left w:val="nil"/>
              <w:bottom w:val="single" w:color="auto" w:sz="4" w:space="0"/>
              <w:right w:val="single" w:color="auto" w:sz="8" w:space="0"/>
            </w:tcBorders>
            <w:shd w:val="clear" w:color="auto" w:fill="auto"/>
            <w:vAlign w:val="center"/>
          </w:tcPr>
          <w:p>
            <w:pPr>
              <w:jc w:val="right"/>
              <w:rPr>
                <w:rFonts w:hint="eastAsia" w:ascii="Times New Roman" w:hAnsi="Times New Roman" w:eastAsia="仿宋_GB2312" w:cs="Times New Roman"/>
                <w:kern w:val="2"/>
                <w:sz w:val="21"/>
                <w:szCs w:val="22"/>
                <w:lang w:val="en-US" w:eastAsia="zh-CN" w:bidi="ar-SA"/>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20805</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行政事业单位养老支出</w:t>
            </w:r>
          </w:p>
        </w:tc>
        <w:tc>
          <w:tcPr>
            <w:tcW w:w="3000" w:type="dxa"/>
            <w:tcBorders>
              <w:top w:val="nil"/>
              <w:left w:val="nil"/>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368.26</w:t>
            </w:r>
          </w:p>
        </w:tc>
        <w:tc>
          <w:tcPr>
            <w:tcW w:w="3492" w:type="dxa"/>
            <w:tcBorders>
              <w:top w:val="nil"/>
              <w:left w:val="nil"/>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kern w:val="2"/>
                <w:sz w:val="21"/>
                <w:szCs w:val="22"/>
                <w:lang w:val="en-US" w:eastAsia="zh-CN" w:bidi="ar-SA"/>
              </w:rPr>
              <w:t>368.26</w:t>
            </w:r>
          </w:p>
        </w:tc>
        <w:tc>
          <w:tcPr>
            <w:tcW w:w="3000" w:type="dxa"/>
            <w:tcBorders>
              <w:top w:val="nil"/>
              <w:left w:val="nil"/>
              <w:bottom w:val="single" w:color="auto" w:sz="4" w:space="0"/>
              <w:right w:val="single" w:color="auto" w:sz="8" w:space="0"/>
            </w:tcBorders>
            <w:shd w:val="clear" w:color="auto" w:fill="auto"/>
            <w:vAlign w:val="center"/>
          </w:tcPr>
          <w:p>
            <w:pPr>
              <w:jc w:val="right"/>
              <w:rPr>
                <w:rFonts w:hint="eastAsia" w:ascii="Times New Roman" w:hAnsi="Times New Roman" w:eastAsia="仿宋_GB2312" w:cs="Times New Roman"/>
                <w:kern w:val="2"/>
                <w:sz w:val="21"/>
                <w:szCs w:val="22"/>
                <w:lang w:val="en-US" w:eastAsia="zh-CN" w:bidi="ar-SA"/>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2080505</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368.26</w:t>
            </w:r>
          </w:p>
        </w:tc>
        <w:tc>
          <w:tcPr>
            <w:tcW w:w="3492" w:type="dxa"/>
            <w:tcBorders>
              <w:top w:val="nil"/>
              <w:left w:val="nil"/>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kern w:val="2"/>
                <w:sz w:val="21"/>
                <w:szCs w:val="22"/>
                <w:lang w:val="en-US" w:eastAsia="zh-CN" w:bidi="ar-SA"/>
              </w:rPr>
              <w:t>368.26</w:t>
            </w:r>
          </w:p>
        </w:tc>
        <w:tc>
          <w:tcPr>
            <w:tcW w:w="3000" w:type="dxa"/>
            <w:tcBorders>
              <w:top w:val="nil"/>
              <w:left w:val="nil"/>
              <w:bottom w:val="single" w:color="auto" w:sz="4" w:space="0"/>
              <w:right w:val="single" w:color="auto" w:sz="8" w:space="0"/>
            </w:tcBorders>
            <w:shd w:val="clear" w:color="auto" w:fill="auto"/>
            <w:vAlign w:val="center"/>
          </w:tcPr>
          <w:p>
            <w:pPr>
              <w:jc w:val="right"/>
              <w:rPr>
                <w:rFonts w:hint="eastAsia" w:ascii="Times New Roman" w:hAnsi="Times New Roman" w:eastAsia="仿宋_GB2312" w:cs="Times New Roman"/>
                <w:kern w:val="2"/>
                <w:sz w:val="21"/>
                <w:szCs w:val="22"/>
                <w:lang w:val="en-US" w:eastAsia="zh-CN" w:bidi="ar-SA"/>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20808</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抚恤</w:t>
            </w:r>
          </w:p>
        </w:tc>
        <w:tc>
          <w:tcPr>
            <w:tcW w:w="3000" w:type="dxa"/>
            <w:tcBorders>
              <w:top w:val="nil"/>
              <w:left w:val="nil"/>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51.81</w:t>
            </w:r>
          </w:p>
        </w:tc>
        <w:tc>
          <w:tcPr>
            <w:tcW w:w="3492" w:type="dxa"/>
            <w:tcBorders>
              <w:top w:val="nil"/>
              <w:left w:val="nil"/>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kern w:val="2"/>
                <w:sz w:val="21"/>
                <w:szCs w:val="22"/>
                <w:lang w:val="en-US" w:eastAsia="zh-CN" w:bidi="ar-SA"/>
              </w:rPr>
              <w:t>51.81</w:t>
            </w:r>
          </w:p>
        </w:tc>
        <w:tc>
          <w:tcPr>
            <w:tcW w:w="3000" w:type="dxa"/>
            <w:tcBorders>
              <w:top w:val="nil"/>
              <w:left w:val="nil"/>
              <w:bottom w:val="single" w:color="auto" w:sz="4" w:space="0"/>
              <w:right w:val="single" w:color="auto" w:sz="8" w:space="0"/>
            </w:tcBorders>
            <w:shd w:val="clear" w:color="auto" w:fill="auto"/>
            <w:vAlign w:val="center"/>
          </w:tcPr>
          <w:p>
            <w:pPr>
              <w:jc w:val="right"/>
              <w:rPr>
                <w:rFonts w:hint="eastAsia" w:ascii="Times New Roman" w:hAnsi="Times New Roman" w:eastAsia="仿宋_GB2312" w:cs="Times New Roman"/>
                <w:kern w:val="2"/>
                <w:sz w:val="21"/>
                <w:szCs w:val="22"/>
                <w:lang w:val="en-US" w:eastAsia="zh-CN" w:bidi="ar-SA"/>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2080801</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死亡抚恤</w:t>
            </w:r>
          </w:p>
        </w:tc>
        <w:tc>
          <w:tcPr>
            <w:tcW w:w="3000" w:type="dxa"/>
            <w:tcBorders>
              <w:top w:val="nil"/>
              <w:left w:val="nil"/>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51.81</w:t>
            </w:r>
          </w:p>
        </w:tc>
        <w:tc>
          <w:tcPr>
            <w:tcW w:w="3492" w:type="dxa"/>
            <w:tcBorders>
              <w:top w:val="nil"/>
              <w:left w:val="nil"/>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kern w:val="2"/>
                <w:sz w:val="21"/>
                <w:szCs w:val="22"/>
                <w:lang w:val="en-US" w:eastAsia="zh-CN" w:bidi="ar-SA"/>
              </w:rPr>
              <w:t>51.81</w:t>
            </w:r>
          </w:p>
        </w:tc>
        <w:tc>
          <w:tcPr>
            <w:tcW w:w="3000" w:type="dxa"/>
            <w:tcBorders>
              <w:top w:val="nil"/>
              <w:left w:val="nil"/>
              <w:bottom w:val="single" w:color="auto" w:sz="4" w:space="0"/>
              <w:right w:val="single" w:color="auto" w:sz="8" w:space="0"/>
            </w:tcBorders>
            <w:shd w:val="clear" w:color="auto" w:fill="auto"/>
            <w:vAlign w:val="center"/>
          </w:tcPr>
          <w:p>
            <w:pPr>
              <w:jc w:val="right"/>
              <w:rPr>
                <w:rFonts w:hint="eastAsia" w:ascii="Times New Roman" w:hAnsi="Times New Roman" w:eastAsia="仿宋_GB2312" w:cs="Times New Roman"/>
                <w:kern w:val="2"/>
                <w:sz w:val="21"/>
                <w:szCs w:val="22"/>
                <w:lang w:val="en-US" w:eastAsia="zh-CN" w:bidi="ar-SA"/>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20899</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其他社会保障和就业支出</w:t>
            </w:r>
          </w:p>
        </w:tc>
        <w:tc>
          <w:tcPr>
            <w:tcW w:w="3000" w:type="dxa"/>
            <w:tcBorders>
              <w:top w:val="nil"/>
              <w:left w:val="nil"/>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5.00</w:t>
            </w:r>
          </w:p>
        </w:tc>
        <w:tc>
          <w:tcPr>
            <w:tcW w:w="3492" w:type="dxa"/>
            <w:tcBorders>
              <w:top w:val="nil"/>
              <w:left w:val="nil"/>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kern w:val="2"/>
                <w:sz w:val="21"/>
                <w:szCs w:val="22"/>
                <w:lang w:val="en-US" w:eastAsia="zh-CN" w:bidi="ar-SA"/>
              </w:rPr>
              <w:t>5.00</w:t>
            </w:r>
          </w:p>
        </w:tc>
        <w:tc>
          <w:tcPr>
            <w:tcW w:w="3000" w:type="dxa"/>
            <w:tcBorders>
              <w:top w:val="nil"/>
              <w:left w:val="nil"/>
              <w:bottom w:val="single" w:color="auto" w:sz="4" w:space="0"/>
              <w:right w:val="single" w:color="auto" w:sz="8" w:space="0"/>
            </w:tcBorders>
            <w:shd w:val="clear" w:color="auto" w:fill="auto"/>
            <w:vAlign w:val="center"/>
          </w:tcPr>
          <w:p>
            <w:pPr>
              <w:jc w:val="right"/>
              <w:rPr>
                <w:rFonts w:hint="eastAsia" w:ascii="Times New Roman" w:hAnsi="Times New Roman" w:eastAsia="仿宋_GB2312" w:cs="Times New Roman"/>
                <w:kern w:val="2"/>
                <w:sz w:val="21"/>
                <w:szCs w:val="22"/>
                <w:lang w:val="en-US" w:eastAsia="zh-CN" w:bidi="ar-SA"/>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2089999</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其他社会保障和就业支出</w:t>
            </w:r>
          </w:p>
        </w:tc>
        <w:tc>
          <w:tcPr>
            <w:tcW w:w="3000" w:type="dxa"/>
            <w:tcBorders>
              <w:top w:val="nil"/>
              <w:left w:val="nil"/>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5.00</w:t>
            </w:r>
          </w:p>
        </w:tc>
        <w:tc>
          <w:tcPr>
            <w:tcW w:w="3492" w:type="dxa"/>
            <w:tcBorders>
              <w:top w:val="nil"/>
              <w:left w:val="nil"/>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kern w:val="2"/>
                <w:sz w:val="21"/>
                <w:szCs w:val="22"/>
                <w:lang w:val="en-US" w:eastAsia="zh-CN" w:bidi="ar-SA"/>
              </w:rPr>
              <w:t>5.00</w:t>
            </w:r>
          </w:p>
        </w:tc>
        <w:tc>
          <w:tcPr>
            <w:tcW w:w="3000" w:type="dxa"/>
            <w:tcBorders>
              <w:top w:val="nil"/>
              <w:left w:val="nil"/>
              <w:bottom w:val="single" w:color="auto" w:sz="4" w:space="0"/>
              <w:right w:val="single" w:color="auto" w:sz="8" w:space="0"/>
            </w:tcBorders>
            <w:shd w:val="clear" w:color="auto" w:fill="auto"/>
            <w:vAlign w:val="center"/>
          </w:tcPr>
          <w:p>
            <w:pPr>
              <w:jc w:val="right"/>
              <w:rPr>
                <w:rFonts w:hint="eastAsia" w:ascii="Times New Roman" w:hAnsi="Times New Roman" w:eastAsia="仿宋_GB2312" w:cs="Times New Roman"/>
                <w:kern w:val="2"/>
                <w:sz w:val="21"/>
                <w:szCs w:val="22"/>
                <w:lang w:val="en-US" w:eastAsia="zh-CN" w:bidi="ar-SA"/>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210</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卫生健康支出</w:t>
            </w:r>
          </w:p>
        </w:tc>
        <w:tc>
          <w:tcPr>
            <w:tcW w:w="3000" w:type="dxa"/>
            <w:tcBorders>
              <w:top w:val="nil"/>
              <w:left w:val="nil"/>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149.16</w:t>
            </w:r>
          </w:p>
        </w:tc>
        <w:tc>
          <w:tcPr>
            <w:tcW w:w="3492" w:type="dxa"/>
            <w:tcBorders>
              <w:top w:val="nil"/>
              <w:left w:val="nil"/>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kern w:val="2"/>
                <w:sz w:val="21"/>
                <w:szCs w:val="22"/>
                <w:lang w:val="en-US" w:eastAsia="zh-CN" w:bidi="ar-SA"/>
              </w:rPr>
              <w:t>149.16</w:t>
            </w:r>
          </w:p>
        </w:tc>
        <w:tc>
          <w:tcPr>
            <w:tcW w:w="3000" w:type="dxa"/>
            <w:tcBorders>
              <w:top w:val="nil"/>
              <w:left w:val="nil"/>
              <w:bottom w:val="single" w:color="auto" w:sz="4" w:space="0"/>
              <w:right w:val="single" w:color="auto" w:sz="8" w:space="0"/>
            </w:tcBorders>
            <w:shd w:val="clear" w:color="auto" w:fill="auto"/>
            <w:vAlign w:val="center"/>
          </w:tcPr>
          <w:p>
            <w:pPr>
              <w:jc w:val="right"/>
              <w:rPr>
                <w:rFonts w:hint="eastAsia" w:ascii="Times New Roman" w:hAnsi="Times New Roman" w:eastAsia="仿宋_GB2312" w:cs="Times New Roman"/>
                <w:kern w:val="2"/>
                <w:sz w:val="21"/>
                <w:szCs w:val="22"/>
                <w:lang w:val="en-US" w:eastAsia="zh-CN" w:bidi="ar-SA"/>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21011</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行政事业单位医疗</w:t>
            </w:r>
          </w:p>
        </w:tc>
        <w:tc>
          <w:tcPr>
            <w:tcW w:w="3000" w:type="dxa"/>
            <w:tcBorders>
              <w:top w:val="nil"/>
              <w:left w:val="nil"/>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149.16</w:t>
            </w:r>
          </w:p>
        </w:tc>
        <w:tc>
          <w:tcPr>
            <w:tcW w:w="3492" w:type="dxa"/>
            <w:tcBorders>
              <w:top w:val="nil"/>
              <w:left w:val="nil"/>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kern w:val="2"/>
                <w:sz w:val="21"/>
                <w:szCs w:val="22"/>
                <w:lang w:val="en-US" w:eastAsia="zh-CN" w:bidi="ar-SA"/>
              </w:rPr>
              <w:t>149.16</w:t>
            </w:r>
          </w:p>
        </w:tc>
        <w:tc>
          <w:tcPr>
            <w:tcW w:w="3000" w:type="dxa"/>
            <w:tcBorders>
              <w:top w:val="nil"/>
              <w:left w:val="nil"/>
              <w:bottom w:val="single" w:color="auto" w:sz="4" w:space="0"/>
              <w:right w:val="single" w:color="auto" w:sz="8" w:space="0"/>
            </w:tcBorders>
            <w:shd w:val="clear" w:color="auto" w:fill="auto"/>
            <w:vAlign w:val="center"/>
          </w:tcPr>
          <w:p>
            <w:pPr>
              <w:jc w:val="right"/>
              <w:rPr>
                <w:rFonts w:hint="eastAsia" w:ascii="Times New Roman" w:hAnsi="Times New Roman" w:eastAsia="仿宋_GB2312" w:cs="Times New Roman"/>
                <w:kern w:val="2"/>
                <w:sz w:val="21"/>
                <w:szCs w:val="22"/>
                <w:lang w:val="en-US" w:eastAsia="zh-CN" w:bidi="ar-SA"/>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2101101</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行政单位医疗</w:t>
            </w:r>
          </w:p>
        </w:tc>
        <w:tc>
          <w:tcPr>
            <w:tcW w:w="3000" w:type="dxa"/>
            <w:tcBorders>
              <w:top w:val="nil"/>
              <w:left w:val="nil"/>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149.16</w:t>
            </w:r>
          </w:p>
        </w:tc>
        <w:tc>
          <w:tcPr>
            <w:tcW w:w="3492" w:type="dxa"/>
            <w:tcBorders>
              <w:top w:val="nil"/>
              <w:left w:val="nil"/>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kern w:val="2"/>
                <w:sz w:val="21"/>
                <w:szCs w:val="22"/>
                <w:lang w:val="en-US" w:eastAsia="zh-CN" w:bidi="ar-SA"/>
              </w:rPr>
              <w:t>149.16</w:t>
            </w:r>
          </w:p>
        </w:tc>
        <w:tc>
          <w:tcPr>
            <w:tcW w:w="3000" w:type="dxa"/>
            <w:tcBorders>
              <w:top w:val="nil"/>
              <w:left w:val="nil"/>
              <w:bottom w:val="single" w:color="auto" w:sz="4" w:space="0"/>
              <w:right w:val="single" w:color="auto" w:sz="8" w:space="0"/>
            </w:tcBorders>
            <w:shd w:val="clear" w:color="auto" w:fill="auto"/>
            <w:vAlign w:val="center"/>
          </w:tcPr>
          <w:p>
            <w:pPr>
              <w:jc w:val="right"/>
              <w:rPr>
                <w:rFonts w:hint="eastAsia" w:ascii="Times New Roman" w:hAnsi="Times New Roman" w:eastAsia="仿宋_GB2312" w:cs="Times New Roman"/>
                <w:kern w:val="2"/>
                <w:sz w:val="21"/>
                <w:szCs w:val="22"/>
                <w:lang w:val="en-US" w:eastAsia="zh-CN" w:bidi="ar-SA"/>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221</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住房保障支出</w:t>
            </w:r>
          </w:p>
        </w:tc>
        <w:tc>
          <w:tcPr>
            <w:tcW w:w="3000" w:type="dxa"/>
            <w:tcBorders>
              <w:top w:val="nil"/>
              <w:left w:val="nil"/>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262.80</w:t>
            </w:r>
          </w:p>
        </w:tc>
        <w:tc>
          <w:tcPr>
            <w:tcW w:w="3492" w:type="dxa"/>
            <w:tcBorders>
              <w:top w:val="nil"/>
              <w:left w:val="nil"/>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kern w:val="2"/>
                <w:sz w:val="21"/>
                <w:szCs w:val="22"/>
                <w:lang w:val="en-US" w:eastAsia="zh-CN" w:bidi="ar-SA"/>
              </w:rPr>
              <w:t>262.80</w:t>
            </w:r>
          </w:p>
        </w:tc>
        <w:tc>
          <w:tcPr>
            <w:tcW w:w="3000" w:type="dxa"/>
            <w:tcBorders>
              <w:top w:val="nil"/>
              <w:left w:val="nil"/>
              <w:bottom w:val="single" w:color="auto" w:sz="4" w:space="0"/>
              <w:right w:val="single" w:color="auto" w:sz="8" w:space="0"/>
            </w:tcBorders>
            <w:shd w:val="clear" w:color="auto" w:fill="auto"/>
            <w:vAlign w:val="center"/>
          </w:tcPr>
          <w:p>
            <w:pPr>
              <w:jc w:val="right"/>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kern w:val="2"/>
                <w:sz w:val="21"/>
                <w:szCs w:val="22"/>
                <w:lang w:val="en-US" w:eastAsia="zh-CN" w:bidi="ar-SA"/>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22102</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住房改革支出</w:t>
            </w:r>
          </w:p>
        </w:tc>
        <w:tc>
          <w:tcPr>
            <w:tcW w:w="3000" w:type="dxa"/>
            <w:tcBorders>
              <w:top w:val="nil"/>
              <w:left w:val="nil"/>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262.80</w:t>
            </w:r>
          </w:p>
        </w:tc>
        <w:tc>
          <w:tcPr>
            <w:tcW w:w="3492" w:type="dxa"/>
            <w:tcBorders>
              <w:top w:val="nil"/>
              <w:left w:val="nil"/>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kern w:val="2"/>
                <w:sz w:val="21"/>
                <w:szCs w:val="22"/>
                <w:lang w:val="en-US" w:eastAsia="zh-CN" w:bidi="ar-SA"/>
              </w:rPr>
              <w:t>262.80</w:t>
            </w:r>
          </w:p>
        </w:tc>
        <w:tc>
          <w:tcPr>
            <w:tcW w:w="3000" w:type="dxa"/>
            <w:tcBorders>
              <w:top w:val="nil"/>
              <w:left w:val="nil"/>
              <w:bottom w:val="single" w:color="auto" w:sz="4" w:space="0"/>
              <w:right w:val="single" w:color="auto" w:sz="8" w:space="0"/>
            </w:tcBorders>
            <w:shd w:val="clear" w:color="auto" w:fill="auto"/>
            <w:vAlign w:val="center"/>
          </w:tcPr>
          <w:p>
            <w:pPr>
              <w:jc w:val="right"/>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kern w:val="2"/>
                <w:sz w:val="21"/>
                <w:szCs w:val="22"/>
                <w:lang w:val="en-US" w:eastAsia="zh-CN" w:bidi="ar-SA"/>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2210201</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住房公积金</w:t>
            </w:r>
          </w:p>
        </w:tc>
        <w:tc>
          <w:tcPr>
            <w:tcW w:w="3000" w:type="dxa"/>
            <w:tcBorders>
              <w:top w:val="nil"/>
              <w:left w:val="nil"/>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262.80</w:t>
            </w:r>
          </w:p>
        </w:tc>
        <w:tc>
          <w:tcPr>
            <w:tcW w:w="3492" w:type="dxa"/>
            <w:tcBorders>
              <w:top w:val="nil"/>
              <w:left w:val="nil"/>
              <w:bottom w:val="single" w:color="auto" w:sz="4" w:space="0"/>
              <w:right w:val="single" w:color="auto" w:sz="4" w:space="0"/>
            </w:tcBorders>
            <w:shd w:val="clear" w:color="auto" w:fill="auto"/>
            <w:vAlign w:val="center"/>
          </w:tcPr>
          <w:p>
            <w:pPr>
              <w:jc w:val="right"/>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kern w:val="2"/>
                <w:sz w:val="21"/>
                <w:szCs w:val="22"/>
                <w:lang w:val="en-US" w:eastAsia="zh-CN" w:bidi="ar-SA"/>
              </w:rPr>
              <w:t>262.80</w:t>
            </w:r>
          </w:p>
        </w:tc>
        <w:tc>
          <w:tcPr>
            <w:tcW w:w="3000" w:type="dxa"/>
            <w:tcBorders>
              <w:top w:val="nil"/>
              <w:left w:val="nil"/>
              <w:bottom w:val="single" w:color="auto" w:sz="4" w:space="0"/>
              <w:right w:val="single" w:color="auto" w:sz="8" w:space="0"/>
            </w:tcBorders>
            <w:shd w:val="clear" w:color="auto" w:fill="auto"/>
            <w:vAlign w:val="center"/>
          </w:tcPr>
          <w:p>
            <w:pPr>
              <w:jc w:val="right"/>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kern w:val="2"/>
                <w:sz w:val="21"/>
                <w:szCs w:val="22"/>
                <w:lang w:val="en-US" w:eastAsia="zh-CN" w:bidi="ar-SA"/>
              </w:rPr>
              <w:t>　</w:t>
            </w:r>
          </w:p>
        </w:tc>
      </w:tr>
    </w:tbl>
    <w:p>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pPr>
        <w:widowControl/>
        <w:wordWrap w:val="0"/>
        <w:spacing w:line="240" w:lineRule="exact"/>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公开06表</w:t>
      </w:r>
    </w:p>
    <w:p>
      <w:pPr>
        <w:widowControl/>
        <w:spacing w:line="240" w:lineRule="exact"/>
        <w:jc w:val="both"/>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val="en-US" w:eastAsia="zh-CN"/>
        </w:rPr>
        <w:t xml:space="preserve">祁阳市市场监督管理局                                                                                                  </w:t>
      </w:r>
      <w:r>
        <w:rPr>
          <w:rFonts w:ascii="Times New Roman" w:hAnsi="Times New Roman" w:eastAsia="仿宋_GB2312" w:cs="Times New Roman"/>
          <w:color w:val="000000"/>
          <w:kern w:val="0"/>
          <w:szCs w:val="21"/>
        </w:rPr>
        <w:t>单位：万元</w:t>
      </w:r>
    </w:p>
    <w:tbl>
      <w:tblPr>
        <w:tblStyle w:val="12"/>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color w:val="000000"/>
                <w:kern w:val="0"/>
                <w:sz w:val="18"/>
                <w:szCs w:val="18"/>
                <w:lang w:val="en-US" w:eastAsia="zh-CN"/>
              </w:rPr>
            </w:pPr>
            <w:r>
              <w:rPr>
                <w:rFonts w:hint="eastAsia" w:ascii="Times New Roman" w:hAnsi="Times New Roman" w:eastAsia="仿宋_GB2312" w:cs="Times New Roman"/>
                <w:color w:val="000000"/>
                <w:kern w:val="0"/>
                <w:sz w:val="18"/>
                <w:szCs w:val="18"/>
                <w:lang w:val="en-US" w:eastAsia="zh-CN"/>
              </w:rPr>
              <w:t>3753.23</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 w:val="18"/>
                <w:szCs w:val="18"/>
                <w:lang w:val="en-US" w:eastAsia="zh-CN"/>
              </w:rPr>
            </w:pPr>
            <w:r>
              <w:rPr>
                <w:rFonts w:hint="eastAsia" w:ascii="Times New Roman" w:hAnsi="Times New Roman" w:eastAsia="仿宋_GB2312" w:cs="Times New Roman"/>
                <w:color w:val="000000"/>
                <w:kern w:val="0"/>
                <w:sz w:val="18"/>
                <w:szCs w:val="18"/>
                <w:lang w:val="en-US" w:eastAsia="zh-CN"/>
              </w:rPr>
              <w:t>533.01</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bidi="ar-SA"/>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color w:val="000000"/>
                <w:kern w:val="0"/>
                <w:sz w:val="18"/>
                <w:szCs w:val="18"/>
                <w:lang w:val="en-US" w:eastAsia="zh-CN"/>
              </w:rPr>
            </w:pPr>
            <w:r>
              <w:rPr>
                <w:rFonts w:hint="eastAsia" w:ascii="Times New Roman" w:hAnsi="Times New Roman" w:eastAsia="仿宋_GB2312" w:cs="Times New Roman"/>
                <w:color w:val="000000"/>
                <w:kern w:val="0"/>
                <w:sz w:val="18"/>
                <w:szCs w:val="18"/>
                <w:lang w:val="en-US" w:eastAsia="zh-CN"/>
              </w:rPr>
              <w:t>1638.49</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 w:val="18"/>
                <w:szCs w:val="18"/>
                <w:lang w:val="en-US" w:eastAsia="zh-CN"/>
              </w:rPr>
            </w:pPr>
            <w:r>
              <w:rPr>
                <w:rFonts w:hint="eastAsia" w:ascii="Times New Roman" w:hAnsi="Times New Roman" w:eastAsia="仿宋_GB2312" w:cs="Times New Roman"/>
                <w:color w:val="000000"/>
                <w:kern w:val="0"/>
                <w:sz w:val="18"/>
                <w:szCs w:val="18"/>
                <w:lang w:val="en-US" w:eastAsia="zh-CN"/>
              </w:rPr>
              <w:t>41.60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bidi="ar-SA"/>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 w:val="18"/>
                <w:szCs w:val="18"/>
                <w:lang w:val="en-US" w:eastAsia="zh-CN"/>
              </w:rPr>
            </w:pPr>
            <w:r>
              <w:rPr>
                <w:rFonts w:hint="eastAsia" w:ascii="Times New Roman" w:hAnsi="Times New Roman" w:eastAsia="仿宋_GB2312" w:cs="Times New Roman"/>
                <w:color w:val="000000"/>
                <w:kern w:val="0"/>
                <w:sz w:val="18"/>
                <w:szCs w:val="18"/>
                <w:lang w:val="en-US" w:eastAsia="zh-CN"/>
              </w:rPr>
              <w:t>500.68</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 w:val="18"/>
                <w:szCs w:val="18"/>
                <w:lang w:val="en-US" w:eastAsia="zh-CN"/>
              </w:rPr>
            </w:pPr>
            <w:r>
              <w:rPr>
                <w:rFonts w:hint="eastAsia" w:ascii="Times New Roman" w:hAnsi="Times New Roman" w:eastAsia="仿宋_GB2312" w:cs="Times New Roman"/>
                <w:color w:val="000000"/>
                <w:kern w:val="0"/>
                <w:sz w:val="18"/>
                <w:szCs w:val="18"/>
                <w:lang w:val="en-US" w:eastAsia="zh-CN"/>
              </w:rPr>
              <w:t>67.03</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bidi="ar-SA"/>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 w:val="18"/>
                <w:szCs w:val="18"/>
                <w:lang w:val="en-US" w:eastAsia="zh-CN"/>
              </w:rPr>
            </w:pPr>
            <w:r>
              <w:rPr>
                <w:rFonts w:hint="eastAsia" w:ascii="Times New Roman" w:hAnsi="Times New Roman" w:eastAsia="仿宋_GB2312" w:cs="Times New Roman"/>
                <w:color w:val="000000"/>
                <w:kern w:val="0"/>
                <w:sz w:val="18"/>
                <w:szCs w:val="18"/>
                <w:lang w:val="en-US" w:eastAsia="zh-CN"/>
              </w:rPr>
              <w:t>811.49</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pPr>
              <w:jc w:val="right"/>
              <w:rPr>
                <w:rFonts w:hint="eastAsia" w:ascii="Times New Roman" w:hAnsi="Times New Roman" w:eastAsia="仿宋_GB2312" w:cs="Times New Roman"/>
                <w:color w:val="000000"/>
                <w:kern w:val="0"/>
                <w:sz w:val="18"/>
                <w:szCs w:val="18"/>
                <w:lang w:val="en-US" w:eastAsia="zh-CN" w:bidi="ar-SA"/>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bidi="ar-SA"/>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hint="eastAsia" w:ascii="Times New Roman" w:hAnsi="Times New Roman" w:eastAsia="仿宋_GB2312" w:cs="Times New Roman"/>
                <w:color w:val="000000"/>
                <w:kern w:val="0"/>
                <w:sz w:val="18"/>
                <w:szCs w:val="18"/>
                <w:lang w:val="en-US" w:eastAsia="zh-CN" w:bidi="ar-SA"/>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pPr>
              <w:jc w:val="right"/>
              <w:rPr>
                <w:rFonts w:hint="eastAsia" w:ascii="Times New Roman" w:hAnsi="Times New Roman" w:eastAsia="仿宋_GB2312" w:cs="Times New Roman"/>
                <w:color w:val="000000"/>
                <w:kern w:val="0"/>
                <w:sz w:val="18"/>
                <w:szCs w:val="18"/>
                <w:lang w:val="en-US" w:eastAsia="zh-CN" w:bidi="ar-SA"/>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bidi="ar-SA"/>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hint="eastAsia" w:ascii="Times New Roman" w:hAnsi="Times New Roman" w:eastAsia="仿宋_GB2312" w:cs="Times New Roman"/>
                <w:color w:val="000000"/>
                <w:kern w:val="0"/>
                <w:sz w:val="18"/>
                <w:szCs w:val="18"/>
                <w:lang w:val="en-US" w:eastAsia="zh-CN" w:bidi="ar-SA"/>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bidi="ar-SA"/>
              </w:rPr>
              <w:t>4.49</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bidi="ar-SA"/>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bidi="ar-SA"/>
              </w:rPr>
              <w:t>368.26</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bidi="ar-SA"/>
              </w:rPr>
              <w:t>19.36</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bidi="ar-SA"/>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hint="eastAsia" w:ascii="Times New Roman" w:hAnsi="Times New Roman" w:eastAsia="仿宋_GB2312" w:cs="Times New Roman"/>
                <w:color w:val="000000"/>
                <w:kern w:val="0"/>
                <w:sz w:val="18"/>
                <w:szCs w:val="18"/>
                <w:lang w:val="en-US" w:eastAsia="zh-CN" w:bidi="ar-SA"/>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bidi="ar-SA"/>
              </w:rPr>
              <w:t>9.62</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bidi="ar-SA"/>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bidi="ar-SA"/>
              </w:rPr>
              <w:t>149.16</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pPr>
              <w:jc w:val="right"/>
              <w:rPr>
                <w:rFonts w:hint="eastAsia" w:ascii="Times New Roman" w:hAnsi="Times New Roman" w:eastAsia="仿宋_GB2312" w:cs="Times New Roman"/>
                <w:color w:val="000000"/>
                <w:kern w:val="0"/>
                <w:sz w:val="18"/>
                <w:szCs w:val="18"/>
                <w:lang w:val="en-US" w:eastAsia="zh-CN" w:bidi="ar-SA"/>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bidi="ar-SA"/>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hint="eastAsia" w:ascii="Times New Roman" w:hAnsi="Times New Roman" w:eastAsia="仿宋_GB2312" w:cs="Times New Roman"/>
                <w:color w:val="000000"/>
                <w:kern w:val="0"/>
                <w:sz w:val="18"/>
                <w:szCs w:val="18"/>
                <w:lang w:val="en-US" w:eastAsia="zh-CN" w:bidi="ar-SA"/>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bidi="ar-SA"/>
              </w:rPr>
              <w:t>0.63</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bidi="ar-SA"/>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bidi="ar-SA"/>
              </w:rPr>
              <w:t>19.35</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bidi="ar-SA"/>
              </w:rPr>
              <w:t>45.73</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bidi="ar-SA"/>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bidi="ar-SA"/>
              </w:rPr>
              <w:t>262.80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pPr>
              <w:jc w:val="right"/>
              <w:rPr>
                <w:rFonts w:hint="eastAsia" w:ascii="Times New Roman" w:hAnsi="Times New Roman" w:eastAsia="仿宋_GB2312" w:cs="Times New Roman"/>
                <w:color w:val="000000"/>
                <w:kern w:val="0"/>
                <w:sz w:val="18"/>
                <w:szCs w:val="18"/>
                <w:lang w:val="en-US" w:eastAsia="zh-CN" w:bidi="ar-SA"/>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bidi="ar-SA"/>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hint="eastAsia" w:ascii="Times New Roman" w:hAnsi="Times New Roman" w:eastAsia="仿宋_GB2312" w:cs="Times New Roman"/>
                <w:color w:val="000000"/>
                <w:kern w:val="0"/>
                <w:sz w:val="18"/>
                <w:szCs w:val="18"/>
                <w:lang w:val="en-US" w:eastAsia="zh-CN" w:bidi="ar-SA"/>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bidi="ar-SA"/>
              </w:rPr>
              <w:t>7.62</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bidi="ar-SA"/>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bidi="ar-SA"/>
              </w:rPr>
              <w:t>3.00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bidi="ar-SA"/>
              </w:rPr>
              <w:t>8.18</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bidi="ar-SA"/>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bidi="ar-SA"/>
              </w:rPr>
              <w:t>125.03</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bidi="ar-SA"/>
              </w:rPr>
              <w:t>0.39</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bidi="ar-SA"/>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hint="eastAsia" w:ascii="Times New Roman" w:hAnsi="Times New Roman" w:eastAsia="仿宋_GB2312" w:cs="Times New Roman"/>
                <w:color w:val="000000"/>
                <w:kern w:val="0"/>
                <w:sz w:val="18"/>
                <w:szCs w:val="18"/>
                <w:lang w:val="en-US" w:eastAsia="zh-CN" w:bidi="ar-SA"/>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pPr>
              <w:jc w:val="right"/>
              <w:rPr>
                <w:rFonts w:hint="eastAsia" w:ascii="Times New Roman" w:hAnsi="Times New Roman" w:eastAsia="仿宋_GB2312" w:cs="Times New Roman"/>
                <w:color w:val="000000"/>
                <w:kern w:val="0"/>
                <w:sz w:val="18"/>
                <w:szCs w:val="18"/>
                <w:lang w:val="en-US" w:eastAsia="zh-CN" w:bidi="ar-SA"/>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bidi="ar-SA"/>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hint="eastAsia" w:ascii="Times New Roman" w:hAnsi="Times New Roman" w:eastAsia="仿宋_GB2312" w:cs="Times New Roman"/>
                <w:color w:val="000000"/>
                <w:kern w:val="0"/>
                <w:sz w:val="18"/>
                <w:szCs w:val="18"/>
                <w:lang w:val="en-US" w:eastAsia="zh-CN" w:bidi="ar-SA"/>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bidi="ar-SA"/>
              </w:rPr>
              <w:t>4.70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bidi="ar-SA"/>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hint="eastAsia" w:ascii="Times New Roman" w:hAnsi="Times New Roman" w:eastAsia="仿宋_GB2312" w:cs="Times New Roman"/>
                <w:color w:val="000000"/>
                <w:kern w:val="0"/>
                <w:sz w:val="18"/>
                <w:szCs w:val="18"/>
                <w:lang w:val="en-US" w:eastAsia="zh-CN" w:bidi="ar-SA"/>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pPr>
              <w:jc w:val="right"/>
              <w:rPr>
                <w:rFonts w:hint="eastAsia" w:ascii="Times New Roman" w:hAnsi="Times New Roman" w:eastAsia="仿宋_GB2312" w:cs="Times New Roman"/>
                <w:color w:val="000000"/>
                <w:kern w:val="0"/>
                <w:sz w:val="18"/>
                <w:szCs w:val="18"/>
                <w:lang w:val="en-US" w:eastAsia="zh-CN" w:bidi="ar-SA"/>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bidi="ar-SA"/>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bidi="ar-SA"/>
              </w:rPr>
              <w:t>51.81</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pPr>
              <w:jc w:val="right"/>
              <w:rPr>
                <w:rFonts w:hint="eastAsia" w:ascii="Times New Roman" w:hAnsi="Times New Roman" w:eastAsia="仿宋_GB2312" w:cs="Times New Roman"/>
                <w:color w:val="000000"/>
                <w:kern w:val="0"/>
                <w:sz w:val="18"/>
                <w:szCs w:val="18"/>
                <w:lang w:val="en-US" w:eastAsia="zh-CN" w:bidi="ar-SA"/>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bidi="ar-SA"/>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bidi="ar-SA"/>
              </w:rPr>
              <w:t>39.97</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pPr>
              <w:jc w:val="right"/>
              <w:rPr>
                <w:rFonts w:hint="eastAsia" w:ascii="Times New Roman" w:hAnsi="Times New Roman" w:eastAsia="仿宋_GB2312" w:cs="Times New Roman"/>
                <w:color w:val="000000"/>
                <w:kern w:val="0"/>
                <w:sz w:val="18"/>
                <w:szCs w:val="18"/>
                <w:lang w:val="en-US" w:eastAsia="zh-CN" w:bidi="ar-SA"/>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bidi="ar-SA"/>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hint="eastAsia" w:ascii="Times New Roman" w:hAnsi="Times New Roman" w:eastAsia="仿宋_GB2312" w:cs="Times New Roman"/>
                <w:color w:val="000000"/>
                <w:kern w:val="0"/>
                <w:sz w:val="18"/>
                <w:szCs w:val="18"/>
                <w:lang w:val="en-US" w:eastAsia="zh-CN" w:bidi="ar-SA"/>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bidi="ar-SA"/>
              </w:rPr>
              <w:t>36.24</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bidi="ar-SA"/>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hint="eastAsia" w:ascii="Times New Roman" w:hAnsi="Times New Roman" w:eastAsia="仿宋_GB2312" w:cs="Times New Roman"/>
                <w:color w:val="000000"/>
                <w:kern w:val="0"/>
                <w:sz w:val="18"/>
                <w:szCs w:val="18"/>
                <w:lang w:val="en-US" w:eastAsia="zh-CN" w:bidi="ar-SA"/>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bidi="ar-SA"/>
              </w:rPr>
              <w:t>12.20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bidi="ar-SA"/>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hint="eastAsia" w:ascii="Times New Roman" w:hAnsi="Times New Roman" w:eastAsia="仿宋_GB2312" w:cs="Times New Roman"/>
                <w:color w:val="000000"/>
                <w:kern w:val="0"/>
                <w:sz w:val="18"/>
                <w:szCs w:val="18"/>
                <w:lang w:val="en-US" w:eastAsia="zh-CN" w:bidi="ar-SA"/>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bidi="ar-SA"/>
              </w:rPr>
              <w:t>76.92</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bidi="ar-SA"/>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hint="eastAsia" w:ascii="Times New Roman" w:hAnsi="Times New Roman" w:eastAsia="仿宋_GB2312" w:cs="Times New Roman"/>
                <w:color w:val="000000"/>
                <w:kern w:val="0"/>
                <w:sz w:val="18"/>
                <w:szCs w:val="18"/>
                <w:lang w:val="en-US" w:eastAsia="zh-CN" w:bidi="ar-SA"/>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bidi="ar-SA"/>
              </w:rPr>
              <w:t>55.68</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pPr>
              <w:widowControl/>
              <w:jc w:val="left"/>
              <w:rPr>
                <w:rFonts w:ascii="Times New Roman" w:hAnsi="Times New Roman" w:eastAsia="仿宋_GB2312" w:cs="Times New Roman"/>
                <w:color w:val="000000"/>
                <w:kern w:val="0"/>
                <w:szCs w:val="20"/>
              </w:rPr>
            </w:pPr>
          </w:p>
          <w:tbl>
            <w:tblPr>
              <w:tblStyle w:val="12"/>
              <w:tblW w:w="3946" w:type="dxa"/>
              <w:tblInd w:w="0" w:type="dxa"/>
              <w:tblLayout w:type="fixed"/>
              <w:tblCellMar>
                <w:top w:w="0" w:type="dxa"/>
                <w:left w:w="108" w:type="dxa"/>
                <w:bottom w:w="0" w:type="dxa"/>
                <w:right w:w="108" w:type="dxa"/>
              </w:tblCellMar>
            </w:tblPr>
            <w:tblGrid>
              <w:gridCol w:w="3946"/>
            </w:tblGrid>
            <w:tr>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pPr>
              <w:widowControl/>
              <w:jc w:val="left"/>
              <w:rPr>
                <w:rFonts w:ascii="Times New Roman" w:hAnsi="Times New Roman" w:eastAsia="仿宋_GB2312" w:cs="Times New Roman"/>
                <w:color w:val="000000"/>
                <w:kern w:val="0"/>
                <w:szCs w:val="20"/>
              </w:rPr>
            </w:pPr>
          </w:p>
          <w:tbl>
            <w:tblPr>
              <w:tblStyle w:val="12"/>
              <w:tblW w:w="3946" w:type="dxa"/>
              <w:tblInd w:w="0" w:type="dxa"/>
              <w:tblLayout w:type="fixed"/>
              <w:tblCellMar>
                <w:top w:w="0" w:type="dxa"/>
                <w:left w:w="108" w:type="dxa"/>
                <w:bottom w:w="0" w:type="dxa"/>
                <w:right w:w="108" w:type="dxa"/>
              </w:tblCellMar>
            </w:tblPr>
            <w:tblGrid>
              <w:gridCol w:w="3946"/>
            </w:tblGrid>
            <w:tr>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bidi="ar-SA"/>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hint="eastAsia" w:ascii="Times New Roman" w:hAnsi="Times New Roman" w:eastAsia="仿宋_GB2312" w:cs="Times New Roman"/>
                <w:color w:val="000000"/>
                <w:kern w:val="0"/>
                <w:sz w:val="18"/>
                <w:szCs w:val="18"/>
                <w:lang w:val="en-US" w:eastAsia="zh-CN" w:bidi="ar-SA"/>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bidi="ar-SA"/>
              </w:rPr>
              <w:t>11.83</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bidi="ar-SA"/>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hint="eastAsia" w:ascii="Times New Roman" w:hAnsi="Times New Roman" w:eastAsia="仿宋_GB2312" w:cs="Times New Roman"/>
                <w:color w:val="000000"/>
                <w:kern w:val="0"/>
                <w:sz w:val="18"/>
                <w:szCs w:val="18"/>
                <w:lang w:val="en-US" w:eastAsia="zh-CN" w:bidi="ar-SA"/>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bidi="ar-SA"/>
              </w:rPr>
              <w:t>34.75</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bidi="ar-SA"/>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bidi="ar-SA"/>
              </w:rPr>
              <w:t>33.25</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pPr>
              <w:jc w:val="right"/>
              <w:rPr>
                <w:rFonts w:hint="eastAsia" w:ascii="Times New Roman" w:hAnsi="Times New Roman" w:eastAsia="仿宋_GB2312" w:cs="Times New Roman"/>
                <w:color w:val="000000"/>
                <w:kern w:val="0"/>
                <w:sz w:val="18"/>
                <w:szCs w:val="18"/>
                <w:lang w:val="en-US" w:eastAsia="zh-CN" w:bidi="ar-SA"/>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hint="eastAsia" w:ascii="Times New Roman" w:hAnsi="Times New Roman" w:eastAsia="仿宋_GB2312" w:cs="Times New Roman"/>
                <w:color w:val="000000"/>
                <w:kern w:val="0"/>
                <w:sz w:val="18"/>
                <w:szCs w:val="18"/>
                <w:lang w:val="en-US" w:eastAsia="zh-CN" w:bidi="ar-SA"/>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bidi="ar-SA"/>
              </w:rPr>
              <w:t>96.03</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 w:val="18"/>
                <w:szCs w:val="18"/>
                <w:lang w:val="en-US" w:eastAsia="zh-CN"/>
              </w:rPr>
            </w:pPr>
            <w:r>
              <w:rPr>
                <w:rFonts w:hint="eastAsia" w:ascii="Times New Roman" w:hAnsi="Times New Roman" w:eastAsia="仿宋_GB2312" w:cs="Times New Roman"/>
                <w:color w:val="000000"/>
                <w:kern w:val="0"/>
                <w:sz w:val="18"/>
                <w:szCs w:val="18"/>
                <w:lang w:val="en-US" w:eastAsia="zh-CN"/>
              </w:rPr>
              <w:t>　</w:t>
            </w:r>
          </w:p>
        </w:tc>
      </w:tr>
      <w:tr>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bidi="ar-SA"/>
              </w:rPr>
              <w:t>3878.26</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color w:val="000000"/>
                <w:kern w:val="0"/>
                <w:sz w:val="18"/>
                <w:szCs w:val="18"/>
                <w:lang w:val="en-US" w:eastAsia="zh-CN"/>
              </w:rPr>
            </w:pPr>
            <w:r>
              <w:rPr>
                <w:rFonts w:hint="eastAsia" w:ascii="Times New Roman" w:hAnsi="Times New Roman" w:eastAsia="仿宋_GB2312" w:cs="Times New Roman"/>
                <w:color w:val="000000"/>
                <w:kern w:val="0"/>
                <w:sz w:val="18"/>
                <w:szCs w:val="18"/>
                <w:lang w:val="en-US" w:eastAsia="zh-CN"/>
              </w:rPr>
              <w:t>533.01</w:t>
            </w:r>
          </w:p>
        </w:tc>
      </w:tr>
    </w:tbl>
    <w:p>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pPr>
        <w:widowControl/>
        <w:spacing w:line="400" w:lineRule="exact"/>
        <w:jc w:val="center"/>
        <w:textAlignment w:val="center"/>
        <w:rPr>
          <w:rFonts w:ascii="Times New Roman" w:hAnsi="Times New Roman" w:eastAsia="仿宋_GB2312"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Cs w:val="21"/>
          <w:lang w:val="en-US" w:eastAsia="zh-CN"/>
        </w:rPr>
        <w:t>祁阳市市场监督管理局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2"/>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9"/>
                <w:rFonts w:hint="default" w:ascii="Times New Roman" w:hAnsi="Times New Roman" w:eastAsia="仿宋_GB2312" w:cs="Times New Roman"/>
                <w:b/>
                <w:bCs/>
                <w:lang w:bidi="ar"/>
              </w:rPr>
              <w:t xml:space="preserve">   </w:t>
            </w:r>
            <w:r>
              <w:rPr>
                <w:rStyle w:val="20"/>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bl>
    <w:p>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pPr>
        <w:widowControl/>
        <w:jc w:val="left"/>
        <w:textAlignment w:val="center"/>
        <w:rPr>
          <w:rFonts w:ascii="Times New Roman" w:hAnsi="Times New Roman" w:eastAsia="仿宋_GB2312" w:cs="Times New Roman"/>
          <w:color w:val="000000"/>
          <w:kern w:val="0"/>
          <w:sz w:val="24"/>
          <w:szCs w:val="24"/>
          <w:lang w:bidi="ar"/>
        </w:rPr>
      </w:pPr>
    </w:p>
    <w:p>
      <w:pPr>
        <w:widowControl/>
        <w:jc w:val="left"/>
        <w:textAlignment w:val="center"/>
        <w:rPr>
          <w:rFonts w:ascii="Times New Roman" w:hAnsi="Times New Roman" w:eastAsia="方正小标宋_GBK" w:cs="Times New Roman"/>
          <w:color w:val="000000"/>
          <w:kern w:val="0"/>
          <w:sz w:val="36"/>
          <w:szCs w:val="36"/>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w:t>
      </w:r>
    </w:p>
    <w:p>
      <w:pPr>
        <w:widowControl/>
        <w:spacing w:line="400" w:lineRule="exact"/>
        <w:textAlignment w:val="center"/>
        <w:rPr>
          <w:rFonts w:ascii="Times New Roman" w:hAnsi="Times New Roman" w:eastAsia="黑体" w:cs="Times New Roman"/>
          <w:color w:val="000000"/>
          <w:kern w:val="0"/>
          <w:sz w:val="36"/>
          <w:szCs w:val="36"/>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w:t>
      </w:r>
      <w:r>
        <w:rPr>
          <w:rFonts w:hint="eastAsia" w:ascii="Times New Roman" w:hAnsi="Times New Roman" w:eastAsia="仿宋_GB2312" w:cs="Times New Roman"/>
          <w:color w:val="000000"/>
          <w:kern w:val="0"/>
          <w:sz w:val="20"/>
          <w:szCs w:val="20"/>
          <w:lang w:val="en-US" w:eastAsia="zh-CN" w:bidi="ar"/>
        </w:rPr>
        <w:t xml:space="preserve">          </w:t>
      </w:r>
      <w:r>
        <w:rPr>
          <w:rFonts w:ascii="Times New Roman" w:hAnsi="Times New Roman" w:eastAsia="仿宋_GB2312" w:cs="Times New Roman"/>
          <w:color w:val="000000"/>
          <w:kern w:val="0"/>
          <w:sz w:val="20"/>
          <w:szCs w:val="20"/>
          <w:lang w:bidi="ar"/>
        </w:rPr>
        <w:t>公开08表</w:t>
      </w:r>
    </w:p>
    <w:p>
      <w:pPr>
        <w:widowControl/>
        <w:tabs>
          <w:tab w:val="left" w:pos="1326"/>
          <w:tab w:val="left" w:pos="2027"/>
          <w:tab w:val="left" w:pos="4319"/>
          <w:tab w:val="left" w:pos="7634"/>
          <w:tab w:val="left" w:pos="10949"/>
        </w:tabs>
        <w:jc w:val="both"/>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Cs w:val="21"/>
          <w:lang w:val="en-US" w:eastAsia="zh-CN"/>
        </w:rPr>
        <w:t>祁阳市市场监督管理局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lang w:val="en-US" w:eastAsia="zh-CN"/>
        </w:rPr>
        <w:t xml:space="preserve">       </w:t>
      </w:r>
      <w:r>
        <w:rPr>
          <w:rFonts w:ascii="Times New Roman" w:hAnsi="Times New Roman" w:eastAsia="仿宋_GB2312" w:cs="Times New Roman"/>
          <w:color w:val="000000"/>
          <w:kern w:val="0"/>
          <w:sz w:val="20"/>
          <w:szCs w:val="20"/>
          <w:lang w:bidi="ar"/>
        </w:rPr>
        <w:t>单位：万元</w:t>
      </w:r>
    </w:p>
    <w:tbl>
      <w:tblPr>
        <w:tblStyle w:val="12"/>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21"/>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bl>
    <w:p>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pPr>
        <w:widowControl/>
        <w:jc w:val="left"/>
        <w:textAlignment w:val="center"/>
        <w:rPr>
          <w:rFonts w:ascii="Times New Roman" w:hAnsi="Times New Roman" w:eastAsia="宋体" w:cs="Times New Roman"/>
          <w:color w:val="000000"/>
          <w:kern w:val="0"/>
          <w:sz w:val="24"/>
          <w:szCs w:val="24"/>
          <w:lang w:bidi="ar"/>
        </w:rPr>
      </w:pPr>
    </w:p>
    <w:p>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w:t>
      </w:r>
    </w:p>
    <w:p>
      <w:pPr>
        <w:widowControl/>
        <w:jc w:val="center"/>
        <w:rPr>
          <w:rFonts w:ascii="Times New Roman" w:hAnsi="Times New Roman" w:eastAsia="方正小标宋_GBK" w:cs="Times New Roman"/>
          <w:color w:val="000000"/>
          <w:kern w:val="0"/>
          <w:sz w:val="36"/>
          <w:szCs w:val="36"/>
        </w:rPr>
      </w:pPr>
    </w:p>
    <w:p>
      <w:pPr>
        <w:pStyle w:val="10"/>
        <w:spacing w:line="400" w:lineRule="exact"/>
        <w:rPr>
          <w:rFonts w:ascii="Times New Roman" w:hAnsi="Times New Roman" w:eastAsia="华文中宋"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both"/>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hint="eastAsia" w:ascii="Times New Roman" w:hAnsi="Times New Roman" w:eastAsia="仿宋_GB2312" w:cs="Times New Roman"/>
          <w:color w:val="000000"/>
          <w:kern w:val="0"/>
          <w:szCs w:val="21"/>
          <w:lang w:val="en-US" w:eastAsia="zh-CN"/>
        </w:rPr>
        <w:t>祁阳市市场监督管理局</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hint="eastAsia" w:ascii="Times New Roman" w:hAnsi="Times New Roman" w:eastAsia="楷体_GB2312" w:cs="Times New Roman"/>
          <w:color w:val="000000"/>
          <w:sz w:val="20"/>
          <w:szCs w:val="20"/>
          <w:lang w:val="en-US" w:eastAsia="zh-CN"/>
        </w:rPr>
        <w:t xml:space="preserve">    </w:t>
      </w:r>
      <w:r>
        <w:rPr>
          <w:rFonts w:ascii="Times New Roman" w:hAnsi="Times New Roman" w:eastAsia="楷体_GB2312" w:cs="Times New Roman"/>
          <w:color w:val="000000"/>
          <w:kern w:val="0"/>
          <w:sz w:val="20"/>
          <w:szCs w:val="20"/>
          <w:lang w:bidi="ar"/>
        </w:rPr>
        <w:t>单位：万元</w:t>
      </w:r>
    </w:p>
    <w:tbl>
      <w:tblPr>
        <w:tblStyle w:val="12"/>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20.6</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仿宋_GB2312" w:cs="Times New Roman"/>
                <w:color w:val="000000"/>
                <w:kern w:val="2"/>
                <w:sz w:val="22"/>
                <w:szCs w:val="22"/>
                <w:lang w:val="en-US" w:eastAsia="zh-CN" w:bidi="ar-SA"/>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kern w:val="2"/>
                <w:sz w:val="22"/>
                <w:szCs w:val="22"/>
                <w:lang w:val="en-US" w:eastAsia="zh-CN" w:bidi="ar-SA"/>
              </w:rPr>
              <w:t>14.10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仿宋_GB2312" w:cs="Times New Roman"/>
                <w:color w:val="000000"/>
                <w:kern w:val="2"/>
                <w:sz w:val="22"/>
                <w:szCs w:val="22"/>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kern w:val="2"/>
                <w:sz w:val="22"/>
                <w:szCs w:val="22"/>
                <w:lang w:val="en-US" w:eastAsia="zh-CN" w:bidi="ar-SA"/>
              </w:rPr>
              <w:t>14.10</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kern w:val="2"/>
                <w:sz w:val="22"/>
                <w:szCs w:val="22"/>
                <w:lang w:val="en-US" w:eastAsia="zh-CN" w:bidi="ar-SA"/>
              </w:rPr>
              <w:t>6.50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kern w:val="2"/>
                <w:sz w:val="22"/>
                <w:szCs w:val="22"/>
                <w:lang w:val="en-US" w:eastAsia="zh-CN" w:bidi="ar-SA"/>
              </w:rPr>
              <w:t>16.53</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仿宋_GB2312" w:cs="Times New Roman"/>
                <w:color w:val="000000"/>
                <w:kern w:val="2"/>
                <w:sz w:val="22"/>
                <w:szCs w:val="22"/>
                <w:lang w:val="en-US" w:eastAsia="zh-CN" w:bidi="ar-SA"/>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kern w:val="2"/>
                <w:sz w:val="22"/>
                <w:szCs w:val="22"/>
                <w:lang w:val="en-US" w:eastAsia="zh-CN" w:bidi="ar-SA"/>
              </w:rPr>
              <w:t>11.83</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仿宋_GB2312" w:cs="Times New Roman"/>
                <w:color w:val="000000"/>
                <w:kern w:val="2"/>
                <w:sz w:val="22"/>
                <w:szCs w:val="22"/>
                <w:lang w:val="en-US" w:eastAsia="zh-CN" w:bidi="ar-SA"/>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kern w:val="2"/>
                <w:sz w:val="22"/>
                <w:szCs w:val="22"/>
                <w:lang w:val="en-US" w:eastAsia="zh-CN" w:bidi="ar-SA"/>
              </w:rPr>
              <w:t>11.83</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kern w:val="2"/>
                <w:sz w:val="22"/>
                <w:szCs w:val="22"/>
                <w:lang w:val="en-US" w:eastAsia="zh-CN" w:bidi="ar-SA"/>
              </w:rPr>
              <w:t>4.70</w:t>
            </w:r>
          </w:p>
        </w:tc>
      </w:tr>
    </w:tbl>
    <w:p>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pPr>
        <w:pStyle w:val="16"/>
        <w:rPr>
          <w:rFonts w:ascii="Times New Roman" w:hAnsi="Times New Roman" w:cs="Times New Roman"/>
          <w:sz w:val="72"/>
          <w:szCs w:val="72"/>
        </w:rPr>
      </w:pPr>
    </w:p>
    <w:p>
      <w:pPr>
        <w:pStyle w:val="16"/>
        <w:rPr>
          <w:rFonts w:ascii="Times New Roman" w:hAnsi="Times New Roman" w:cs="Times New Roman"/>
          <w:sz w:val="72"/>
          <w:szCs w:val="72"/>
        </w:rPr>
      </w:pPr>
    </w:p>
    <w:p>
      <w:pPr>
        <w:pStyle w:val="16"/>
        <w:rPr>
          <w:rFonts w:ascii="Times New Roman" w:hAnsi="Times New Roman" w:cs="Times New Roman"/>
          <w:sz w:val="72"/>
          <w:szCs w:val="72"/>
        </w:rPr>
      </w:pPr>
    </w:p>
    <w:p>
      <w:pPr>
        <w:pStyle w:val="16"/>
        <w:jc w:val="center"/>
        <w:rPr>
          <w:rFonts w:ascii="Times New Roman" w:hAnsi="Times New Roman" w:cs="Times New Roman"/>
          <w:sz w:val="72"/>
          <w:szCs w:val="72"/>
        </w:rPr>
      </w:pPr>
    </w:p>
    <w:p>
      <w:pPr>
        <w:pStyle w:val="16"/>
        <w:jc w:val="center"/>
        <w:rPr>
          <w:rFonts w:ascii="Times New Roman" w:hAnsi="Times New Roman" w:eastAsia="方正小标宋_GBK" w:cs="Times New Roman"/>
          <w:sz w:val="72"/>
          <w:szCs w:val="72"/>
        </w:rPr>
      </w:pPr>
    </w:p>
    <w:p>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pPr>
        <w:pStyle w:val="16"/>
        <w:overflowPunct w:val="0"/>
        <w:autoSpaceDE/>
        <w:autoSpaceDN/>
        <w:spacing w:line="600" w:lineRule="exact"/>
        <w:ind w:firstLine="640" w:firstLineChars="200"/>
        <w:jc w:val="both"/>
        <w:rPr>
          <w:rFonts w:hint="default" w:ascii="Times New Roman" w:hAnsi="Times New Roman" w:eastAsia="仿宋_GB2312" w:cs="Times New Roman"/>
          <w:sz w:val="32"/>
          <w:szCs w:val="32"/>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4852.57</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276.19</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5.69</w:t>
      </w:r>
      <w:r>
        <w:rPr>
          <w:rFonts w:ascii="Times New Roman" w:hAnsi="Times New Roman" w:eastAsia="仿宋_GB2312" w:cs="Times New Roman"/>
          <w:sz w:val="32"/>
          <w:szCs w:val="32"/>
        </w:rPr>
        <w:t>%，主要是因为人员经费增加。</w:t>
      </w:r>
    </w:p>
    <w:p>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4852.57</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4852.57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4852.57</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4411.27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90.91</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441.29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9.09</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4852.57</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276.19</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5.69</w:t>
      </w:r>
      <w:r>
        <w:rPr>
          <w:rFonts w:ascii="Times New Roman" w:hAnsi="Times New Roman" w:eastAsia="仿宋_GB2312" w:cs="Times New Roman"/>
          <w:sz w:val="32"/>
          <w:szCs w:val="32"/>
        </w:rPr>
        <w:t>%，主要是因为人员经费增加。</w:t>
      </w:r>
    </w:p>
    <w:p>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pPr>
        <w:pStyle w:val="16"/>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4852.57</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276.19</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5.69</w:t>
      </w:r>
      <w:r>
        <w:rPr>
          <w:rFonts w:ascii="Times New Roman" w:hAnsi="Times New Roman" w:eastAsia="仿宋_GB2312" w:cs="Times New Roman"/>
          <w:sz w:val="32"/>
          <w:szCs w:val="32"/>
        </w:rPr>
        <w:t>%，主要是因为人员经费增加。</w:t>
      </w:r>
    </w:p>
    <w:p>
      <w:pPr>
        <w:pStyle w:val="16"/>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4852.57</w:t>
      </w:r>
      <w:r>
        <w:rPr>
          <w:rFonts w:ascii="Times New Roman" w:hAnsi="Times New Roman" w:eastAsia="仿宋_GB2312" w:cs="Times New Roman"/>
          <w:sz w:val="32"/>
          <w:szCs w:val="32"/>
        </w:rPr>
        <w:t>万元，主要用于以下方面：一般公共服务（</w:t>
      </w:r>
      <w:r>
        <w:rPr>
          <w:rFonts w:hint="eastAsia" w:ascii="Times New Roman" w:hAnsi="Times New Roman" w:eastAsia="仿宋_GB2312" w:cs="Times New Roman"/>
          <w:sz w:val="32"/>
          <w:szCs w:val="32"/>
          <w:lang w:val="en-US" w:eastAsia="zh-CN"/>
        </w:rPr>
        <w:t>201</w:t>
      </w:r>
      <w:r>
        <w:rPr>
          <w:rFonts w:ascii="Times New Roman" w:hAnsi="Times New Roman" w:eastAsia="仿宋_GB2312" w:cs="Times New Roman"/>
          <w:sz w:val="32"/>
          <w:szCs w:val="32"/>
        </w:rPr>
        <w:t>）支出</w:t>
      </w:r>
      <w:r>
        <w:rPr>
          <w:rFonts w:hint="eastAsia" w:ascii="Times New Roman" w:hAnsi="Times New Roman" w:eastAsia="仿宋_GB2312" w:cs="Times New Roman"/>
          <w:sz w:val="32"/>
          <w:szCs w:val="32"/>
          <w:lang w:val="en-US" w:eastAsia="zh-CN"/>
        </w:rPr>
        <w:t>4015.53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82.75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社会保障和就业（</w:t>
      </w:r>
      <w:r>
        <w:rPr>
          <w:rFonts w:hint="eastAsia" w:ascii="Times New Roman" w:hAnsi="Times New Roman" w:eastAsia="仿宋_GB2312" w:cs="Times New Roman"/>
          <w:sz w:val="32"/>
          <w:szCs w:val="32"/>
          <w:lang w:val="en-US" w:eastAsia="zh-CN"/>
        </w:rPr>
        <w:t>208</w:t>
      </w:r>
      <w:r>
        <w:rPr>
          <w:rFonts w:hint="eastAsia" w:ascii="Times New Roman" w:hAnsi="Times New Roman" w:eastAsia="仿宋_GB2312" w:cs="Times New Roman"/>
          <w:sz w:val="32"/>
          <w:szCs w:val="32"/>
          <w:lang w:eastAsia="zh-CN"/>
        </w:rPr>
        <w:t>）支出</w:t>
      </w:r>
      <w:r>
        <w:rPr>
          <w:rFonts w:hint="eastAsia" w:ascii="Times New Roman" w:hAnsi="Times New Roman" w:eastAsia="仿宋_GB2312" w:cs="Times New Roman"/>
          <w:sz w:val="32"/>
          <w:szCs w:val="32"/>
          <w:lang w:val="en-US" w:eastAsia="zh-CN"/>
        </w:rPr>
        <w:t>425.07</w:t>
      </w:r>
      <w:r>
        <w:rPr>
          <w:rFonts w:hint="eastAsia" w:ascii="Times New Roman" w:hAnsi="Times New Roman" w:eastAsia="仿宋_GB2312" w:cs="Times New Roman"/>
          <w:sz w:val="32"/>
          <w:szCs w:val="32"/>
          <w:lang w:eastAsia="zh-CN"/>
        </w:rPr>
        <w:t>万元，占</w:t>
      </w:r>
      <w:r>
        <w:rPr>
          <w:rFonts w:hint="eastAsia" w:ascii="Times New Roman" w:hAnsi="Times New Roman" w:eastAsia="仿宋_GB2312" w:cs="Times New Roman"/>
          <w:sz w:val="32"/>
          <w:szCs w:val="32"/>
          <w:lang w:val="en-US" w:eastAsia="zh-CN"/>
        </w:rPr>
        <w:t>8.76</w:t>
      </w:r>
      <w:r>
        <w:rPr>
          <w:rFonts w:hint="eastAsia" w:ascii="Times New Roman" w:hAnsi="Times New Roman" w:eastAsia="仿宋_GB2312" w:cs="Times New Roman"/>
          <w:sz w:val="32"/>
          <w:szCs w:val="32"/>
          <w:lang w:eastAsia="zh-CN"/>
        </w:rPr>
        <w:t>%；卫生健康（</w:t>
      </w:r>
      <w:r>
        <w:rPr>
          <w:rFonts w:hint="eastAsia" w:ascii="Times New Roman" w:hAnsi="Times New Roman" w:eastAsia="仿宋_GB2312" w:cs="Times New Roman"/>
          <w:sz w:val="32"/>
          <w:szCs w:val="32"/>
          <w:lang w:val="en-US" w:eastAsia="zh-CN"/>
        </w:rPr>
        <w:t>210</w:t>
      </w:r>
      <w:r>
        <w:rPr>
          <w:rFonts w:hint="eastAsia" w:ascii="Times New Roman" w:hAnsi="Times New Roman" w:eastAsia="仿宋_GB2312" w:cs="Times New Roman"/>
          <w:sz w:val="32"/>
          <w:szCs w:val="32"/>
          <w:lang w:eastAsia="zh-CN"/>
        </w:rPr>
        <w:t>）支出</w:t>
      </w:r>
      <w:r>
        <w:rPr>
          <w:rFonts w:hint="eastAsia" w:ascii="Times New Roman" w:hAnsi="Times New Roman" w:eastAsia="仿宋_GB2312" w:cs="Times New Roman"/>
          <w:sz w:val="32"/>
          <w:szCs w:val="32"/>
          <w:lang w:val="en-US" w:eastAsia="zh-CN"/>
        </w:rPr>
        <w:t>149.16</w:t>
      </w:r>
      <w:r>
        <w:rPr>
          <w:rFonts w:hint="eastAsia" w:ascii="Times New Roman" w:hAnsi="Times New Roman" w:eastAsia="仿宋_GB2312" w:cs="Times New Roman"/>
          <w:sz w:val="32"/>
          <w:szCs w:val="32"/>
          <w:lang w:eastAsia="zh-CN"/>
        </w:rPr>
        <w:t>万元，占</w:t>
      </w:r>
      <w:r>
        <w:rPr>
          <w:rFonts w:hint="eastAsia" w:ascii="Times New Roman" w:hAnsi="Times New Roman" w:eastAsia="仿宋_GB2312" w:cs="Times New Roman"/>
          <w:sz w:val="32"/>
          <w:szCs w:val="32"/>
          <w:lang w:val="en-US" w:eastAsia="zh-CN"/>
        </w:rPr>
        <w:t>3.07</w:t>
      </w:r>
      <w:r>
        <w:rPr>
          <w:rFonts w:hint="eastAsia" w:ascii="Times New Roman" w:hAnsi="Times New Roman" w:eastAsia="仿宋_GB2312" w:cs="Times New Roman"/>
          <w:sz w:val="32"/>
          <w:szCs w:val="32"/>
          <w:lang w:eastAsia="zh-CN"/>
        </w:rPr>
        <w:t>%；住房保障支出（</w:t>
      </w:r>
      <w:r>
        <w:rPr>
          <w:rFonts w:hint="eastAsia" w:ascii="Times New Roman" w:hAnsi="Times New Roman" w:eastAsia="仿宋_GB2312" w:cs="Times New Roman"/>
          <w:sz w:val="32"/>
          <w:szCs w:val="32"/>
          <w:lang w:val="en-US" w:eastAsia="zh-CN"/>
        </w:rPr>
        <w:t>221</w:t>
      </w:r>
      <w:r>
        <w:rPr>
          <w:rFonts w:hint="eastAsia" w:ascii="Times New Roman" w:hAnsi="Times New Roman" w:eastAsia="仿宋_GB2312" w:cs="Times New Roman"/>
          <w:sz w:val="32"/>
          <w:szCs w:val="32"/>
          <w:lang w:eastAsia="zh-CN"/>
        </w:rPr>
        <w:t>）支出</w:t>
      </w:r>
      <w:r>
        <w:rPr>
          <w:rFonts w:hint="eastAsia" w:ascii="Times New Roman" w:hAnsi="Times New Roman" w:eastAsia="仿宋_GB2312" w:cs="Times New Roman"/>
          <w:sz w:val="32"/>
          <w:szCs w:val="32"/>
          <w:lang w:val="en-US" w:eastAsia="zh-CN"/>
        </w:rPr>
        <w:t>262.80</w:t>
      </w:r>
      <w:r>
        <w:rPr>
          <w:rFonts w:hint="eastAsia" w:ascii="Times New Roman" w:hAnsi="Times New Roman" w:eastAsia="仿宋_GB2312" w:cs="Times New Roman"/>
          <w:sz w:val="32"/>
          <w:szCs w:val="32"/>
          <w:lang w:eastAsia="zh-CN"/>
        </w:rPr>
        <w:t>万元，占</w:t>
      </w:r>
      <w:r>
        <w:rPr>
          <w:rFonts w:hint="eastAsia" w:ascii="Times New Roman" w:hAnsi="Times New Roman" w:eastAsia="仿宋_GB2312" w:cs="Times New Roman"/>
          <w:sz w:val="32"/>
          <w:szCs w:val="32"/>
          <w:lang w:val="en-US" w:eastAsia="zh-CN"/>
        </w:rPr>
        <w:t>5.42</w:t>
      </w:r>
      <w:r>
        <w:rPr>
          <w:rFonts w:hint="eastAsia" w:ascii="Times New Roman" w:hAnsi="Times New Roman" w:eastAsia="仿宋_GB2312" w:cs="Times New Roman"/>
          <w:sz w:val="32"/>
          <w:szCs w:val="32"/>
          <w:lang w:eastAsia="zh-CN"/>
        </w:rPr>
        <w:t>%</w:t>
      </w:r>
    </w:p>
    <w:p>
      <w:pPr>
        <w:pStyle w:val="16"/>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4442.53</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4852.57</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109.23</w:t>
      </w:r>
      <w:r>
        <w:rPr>
          <w:rFonts w:ascii="Times New Roman" w:hAnsi="Times New Roman" w:eastAsia="仿宋_GB2312" w:cs="Times New Roman"/>
          <w:sz w:val="32"/>
          <w:szCs w:val="32"/>
        </w:rPr>
        <w:t>%，其中：</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w:t>
      </w:r>
      <w:r>
        <w:rPr>
          <w:rFonts w:hint="eastAsia" w:ascii="Times New Roman" w:hAnsi="Times New Roman" w:eastAsia="仿宋_GB2312" w:cs="Times New Roman"/>
          <w:sz w:val="32"/>
          <w:szCs w:val="32"/>
          <w:lang w:val="en-US" w:eastAsia="zh-CN"/>
        </w:rPr>
        <w:t>201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市场监督管理事务</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20138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行政运行</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2013801</w:t>
      </w:r>
      <w:r>
        <w:rPr>
          <w:rFonts w:ascii="Times New Roman" w:hAnsi="Times New Roman" w:eastAsia="仿宋_GB2312" w:cs="Times New Roman"/>
          <w:sz w:val="32"/>
          <w:szCs w:val="32"/>
        </w:rPr>
        <w:t>）。</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bookmarkStart w:id="3" w:name="_GoBack"/>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3417.15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3574.24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104.60</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eastAsia="zh-CN"/>
        </w:rPr>
        <w:t>人员异动及晋升</w:t>
      </w:r>
      <w:r>
        <w:rPr>
          <w:rFonts w:hint="default" w:ascii="Times New Roman" w:hAnsi="Times New Roman" w:eastAsia="仿宋_GB2312" w:cs="Times New Roman"/>
          <w:sz w:val="32"/>
          <w:szCs w:val="32"/>
          <w:lang w:eastAsia="zh-CN"/>
        </w:rPr>
        <w:t>，</w:t>
      </w:r>
      <w:r>
        <w:rPr>
          <w:rFonts w:ascii="Times New Roman" w:hAnsi="Times New Roman" w:eastAsia="仿宋_GB2312" w:cs="Times New Roman"/>
          <w:sz w:val="32"/>
          <w:szCs w:val="32"/>
        </w:rPr>
        <w:t>人员经费增加。</w:t>
      </w:r>
    </w:p>
    <w:bookmarkEnd w:id="3"/>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2、一般公共服务（</w:t>
      </w:r>
      <w:r>
        <w:rPr>
          <w:rFonts w:hint="eastAsia" w:ascii="Times New Roman" w:hAnsi="Times New Roman" w:eastAsia="仿宋_GB2312" w:cs="Times New Roman"/>
          <w:sz w:val="32"/>
          <w:szCs w:val="32"/>
          <w:lang w:val="en-US" w:eastAsia="zh-CN"/>
        </w:rPr>
        <w:t>201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市场监督管理事务</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20138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一般行政管理事务</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2013802</w:t>
      </w:r>
      <w:r>
        <w:rPr>
          <w:rFonts w:ascii="Times New Roman" w:hAnsi="Times New Roman" w:eastAsia="仿宋_GB2312" w:cs="Times New Roman"/>
          <w:sz w:val="32"/>
          <w:szCs w:val="32"/>
        </w:rPr>
        <w:t>）。</w:t>
      </w:r>
    </w:p>
    <w:p>
      <w:pPr>
        <w:pStyle w:val="16"/>
        <w:overflowPunct w:val="0"/>
        <w:autoSpaceDE/>
        <w:autoSpaceDN/>
        <w:spacing w:line="600" w:lineRule="exact"/>
        <w:ind w:firstLine="640" w:firstLineChars="200"/>
        <w:jc w:val="both"/>
        <w:rPr>
          <w:rFonts w:hint="eastAsia" w:ascii="Times New Roman" w:hAnsi="Times New Roman" w:eastAsia="仿宋_GB2312"/>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240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362.94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151.23</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sz w:val="32"/>
          <w:szCs w:val="32"/>
        </w:rPr>
        <w:t>本年财政追加预算</w:t>
      </w:r>
      <w:r>
        <w:rPr>
          <w:rFonts w:hint="eastAsia" w:ascii="Times New Roman" w:hAnsi="Times New Roman" w:eastAsia="仿宋_GB2312"/>
          <w:sz w:val="32"/>
          <w:szCs w:val="32"/>
          <w:lang w:eastAsia="zh-CN"/>
        </w:rPr>
        <w:t>。</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sz w:val="32"/>
          <w:szCs w:val="32"/>
          <w:lang w:val="en-US" w:eastAsia="zh-CN"/>
        </w:rPr>
        <w:t>3、</w:t>
      </w:r>
      <w:r>
        <w:rPr>
          <w:rFonts w:ascii="Times New Roman" w:hAnsi="Times New Roman" w:eastAsia="仿宋_GB2312" w:cs="Times New Roman"/>
          <w:sz w:val="32"/>
          <w:szCs w:val="32"/>
        </w:rPr>
        <w:t>一般公共服务（</w:t>
      </w:r>
      <w:r>
        <w:rPr>
          <w:rFonts w:hint="eastAsia" w:ascii="Times New Roman" w:hAnsi="Times New Roman" w:eastAsia="仿宋_GB2312" w:cs="Times New Roman"/>
          <w:sz w:val="32"/>
          <w:szCs w:val="32"/>
          <w:lang w:val="en-US" w:eastAsia="zh-CN"/>
        </w:rPr>
        <w:t>201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知识产权事务</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20114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其他知识产权事务支出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2011499</w:t>
      </w:r>
      <w:r>
        <w:rPr>
          <w:rFonts w:ascii="Times New Roman" w:hAnsi="Times New Roman" w:eastAsia="仿宋_GB2312" w:cs="Times New Roman"/>
          <w:sz w:val="32"/>
          <w:szCs w:val="32"/>
        </w:rPr>
        <w:t>）。</w:t>
      </w:r>
    </w:p>
    <w:p>
      <w:pPr>
        <w:pStyle w:val="16"/>
        <w:overflowPunct w:val="0"/>
        <w:autoSpaceDE/>
        <w:autoSpaceDN/>
        <w:spacing w:line="600" w:lineRule="exact"/>
        <w:ind w:firstLine="640" w:firstLineChars="200"/>
        <w:jc w:val="both"/>
        <w:rPr>
          <w:rFonts w:hint="eastAsia" w:ascii="Times New Roman" w:hAnsi="Times New Roman" w:eastAsia="仿宋_GB2312"/>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万元，</w:t>
      </w:r>
      <w:r>
        <w:rPr>
          <w:rFonts w:hint="eastAsia" w:ascii="Times New Roman" w:hAnsi="Times New Roman" w:eastAsia="仿宋_GB2312"/>
          <w:sz w:val="32"/>
          <w:szCs w:val="32"/>
        </w:rPr>
        <w:t>由于预算数为0，无法计算百分比，</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sz w:val="32"/>
          <w:szCs w:val="32"/>
        </w:rPr>
        <w:t>本年财政追加预算</w:t>
      </w:r>
      <w:r>
        <w:rPr>
          <w:rFonts w:hint="eastAsia" w:ascii="Times New Roman" w:hAnsi="Times New Roman" w:eastAsia="仿宋_GB2312"/>
          <w:sz w:val="32"/>
          <w:szCs w:val="32"/>
          <w:lang w:eastAsia="zh-CN"/>
        </w:rPr>
        <w:t>。</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sz w:val="32"/>
          <w:szCs w:val="32"/>
          <w:lang w:val="en-US" w:eastAsia="zh-CN"/>
        </w:rPr>
        <w:t>4、</w:t>
      </w:r>
      <w:r>
        <w:rPr>
          <w:rFonts w:ascii="Times New Roman" w:hAnsi="Times New Roman" w:eastAsia="仿宋_GB2312" w:cs="Times New Roman"/>
          <w:sz w:val="32"/>
          <w:szCs w:val="32"/>
        </w:rPr>
        <w:t>一般公共服务（</w:t>
      </w:r>
      <w:r>
        <w:rPr>
          <w:rFonts w:hint="eastAsia" w:ascii="Times New Roman" w:hAnsi="Times New Roman" w:eastAsia="仿宋_GB2312" w:cs="Times New Roman"/>
          <w:sz w:val="32"/>
          <w:szCs w:val="32"/>
          <w:lang w:val="en-US" w:eastAsia="zh-CN"/>
        </w:rPr>
        <w:t>201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组织事务</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20132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一般行政管理事务</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2013202</w:t>
      </w:r>
      <w:r>
        <w:rPr>
          <w:rFonts w:ascii="Times New Roman" w:hAnsi="Times New Roman" w:eastAsia="仿宋_GB2312" w:cs="Times New Roman"/>
          <w:sz w:val="32"/>
          <w:szCs w:val="32"/>
        </w:rPr>
        <w:t>）。</w:t>
      </w:r>
    </w:p>
    <w:p>
      <w:pPr>
        <w:pStyle w:val="16"/>
        <w:overflowPunct w:val="0"/>
        <w:autoSpaceDE/>
        <w:autoSpaceDN/>
        <w:spacing w:line="600" w:lineRule="exact"/>
        <w:ind w:firstLine="640" w:firstLineChars="200"/>
        <w:jc w:val="both"/>
        <w:rPr>
          <w:rFonts w:hint="eastAsia" w:ascii="Times New Roman" w:hAnsi="Times New Roman" w:eastAsia="仿宋_GB2312"/>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2.4</w:t>
      </w:r>
      <w:r>
        <w:rPr>
          <w:rFonts w:ascii="Times New Roman" w:hAnsi="Times New Roman" w:eastAsia="仿宋_GB2312" w:cs="Times New Roman"/>
          <w:sz w:val="32"/>
          <w:szCs w:val="32"/>
        </w:rPr>
        <w:t>万元，</w:t>
      </w:r>
      <w:r>
        <w:rPr>
          <w:rFonts w:hint="eastAsia" w:ascii="Times New Roman" w:hAnsi="Times New Roman" w:eastAsia="仿宋_GB2312"/>
          <w:sz w:val="32"/>
          <w:szCs w:val="32"/>
        </w:rPr>
        <w:t>由于预算数为0，无法计算百分比</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sz w:val="32"/>
          <w:szCs w:val="32"/>
        </w:rPr>
        <w:t>本年财政追加预算</w:t>
      </w:r>
      <w:r>
        <w:rPr>
          <w:rFonts w:hint="eastAsia" w:ascii="Times New Roman" w:hAnsi="Times New Roman" w:eastAsia="仿宋_GB2312"/>
          <w:sz w:val="32"/>
          <w:szCs w:val="32"/>
          <w:lang w:eastAsia="zh-CN"/>
        </w:rPr>
        <w:t>。</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sz w:val="32"/>
          <w:szCs w:val="32"/>
          <w:lang w:val="en-US" w:eastAsia="zh-CN"/>
        </w:rPr>
        <w:t>5、</w:t>
      </w:r>
      <w:r>
        <w:rPr>
          <w:rFonts w:ascii="Times New Roman" w:hAnsi="Times New Roman" w:eastAsia="仿宋_GB2312" w:cs="Times New Roman"/>
          <w:sz w:val="32"/>
          <w:szCs w:val="32"/>
        </w:rPr>
        <w:t>一般公共服务（</w:t>
      </w:r>
      <w:r>
        <w:rPr>
          <w:rFonts w:hint="eastAsia" w:ascii="Times New Roman" w:hAnsi="Times New Roman" w:eastAsia="仿宋_GB2312" w:cs="Times New Roman"/>
          <w:sz w:val="32"/>
          <w:szCs w:val="32"/>
          <w:lang w:val="en-US" w:eastAsia="zh-CN"/>
        </w:rPr>
        <w:t>201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市场监督管理事务</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20138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药品事务</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2013812</w:t>
      </w:r>
      <w:r>
        <w:rPr>
          <w:rFonts w:ascii="Times New Roman" w:hAnsi="Times New Roman" w:eastAsia="仿宋_GB2312" w:cs="Times New Roman"/>
          <w:sz w:val="32"/>
          <w:szCs w:val="32"/>
        </w:rPr>
        <w:t>）。</w:t>
      </w:r>
    </w:p>
    <w:p>
      <w:pPr>
        <w:pStyle w:val="16"/>
        <w:overflowPunct w:val="0"/>
        <w:autoSpaceDE/>
        <w:autoSpaceDN/>
        <w:spacing w:line="600" w:lineRule="exact"/>
        <w:ind w:firstLine="640" w:firstLineChars="200"/>
        <w:jc w:val="both"/>
        <w:rPr>
          <w:rFonts w:hint="eastAsia" w:ascii="Times New Roman" w:hAnsi="Times New Roman" w:eastAsia="仿宋_GB2312"/>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10.03</w:t>
      </w:r>
      <w:r>
        <w:rPr>
          <w:rFonts w:ascii="Times New Roman" w:hAnsi="Times New Roman" w:eastAsia="仿宋_GB2312" w:cs="Times New Roman"/>
          <w:sz w:val="32"/>
          <w:szCs w:val="32"/>
        </w:rPr>
        <w:t>万元，</w:t>
      </w:r>
      <w:r>
        <w:rPr>
          <w:rFonts w:hint="eastAsia" w:ascii="Times New Roman" w:hAnsi="Times New Roman" w:eastAsia="仿宋_GB2312"/>
          <w:sz w:val="32"/>
          <w:szCs w:val="32"/>
        </w:rPr>
        <w:t>由于预算数为0，无法计算百分比</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sz w:val="32"/>
          <w:szCs w:val="32"/>
        </w:rPr>
        <w:t>本年财政下达上级指标</w:t>
      </w:r>
      <w:r>
        <w:rPr>
          <w:rFonts w:hint="eastAsia" w:ascii="Times New Roman" w:hAnsi="Times New Roman" w:eastAsia="仿宋_GB2312"/>
          <w:sz w:val="32"/>
          <w:szCs w:val="32"/>
          <w:lang w:eastAsia="zh-CN"/>
        </w:rPr>
        <w:t>。</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sz w:val="32"/>
          <w:szCs w:val="32"/>
          <w:lang w:val="en-US" w:eastAsia="zh-CN"/>
        </w:rPr>
        <w:t>6、</w:t>
      </w:r>
      <w:r>
        <w:rPr>
          <w:rFonts w:ascii="Times New Roman" w:hAnsi="Times New Roman" w:eastAsia="仿宋_GB2312" w:cs="Times New Roman"/>
          <w:sz w:val="32"/>
          <w:szCs w:val="32"/>
        </w:rPr>
        <w:t>一般公共服务（</w:t>
      </w:r>
      <w:r>
        <w:rPr>
          <w:rFonts w:hint="eastAsia" w:ascii="Times New Roman" w:hAnsi="Times New Roman" w:eastAsia="仿宋_GB2312" w:cs="Times New Roman"/>
          <w:sz w:val="32"/>
          <w:szCs w:val="32"/>
          <w:lang w:val="en-US" w:eastAsia="zh-CN"/>
        </w:rPr>
        <w:t>201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市场监督管理事务</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20138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食品安全监管</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2013816</w:t>
      </w:r>
      <w:r>
        <w:rPr>
          <w:rFonts w:ascii="Times New Roman" w:hAnsi="Times New Roman" w:eastAsia="仿宋_GB2312" w:cs="Times New Roman"/>
          <w:sz w:val="32"/>
          <w:szCs w:val="32"/>
        </w:rPr>
        <w:t>）。</w:t>
      </w:r>
    </w:p>
    <w:p>
      <w:pPr>
        <w:pStyle w:val="16"/>
        <w:overflowPunct w:val="0"/>
        <w:autoSpaceDE/>
        <w:autoSpaceDN/>
        <w:spacing w:line="600" w:lineRule="exact"/>
        <w:ind w:firstLine="640" w:firstLineChars="200"/>
        <w:jc w:val="both"/>
        <w:rPr>
          <w:rFonts w:hint="eastAsia" w:ascii="Times New Roman" w:hAnsi="Times New Roman" w:eastAsia="仿宋_GB2312"/>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6.36</w:t>
      </w:r>
      <w:r>
        <w:rPr>
          <w:rFonts w:ascii="Times New Roman" w:hAnsi="Times New Roman" w:eastAsia="仿宋_GB2312" w:cs="Times New Roman"/>
          <w:sz w:val="32"/>
          <w:szCs w:val="32"/>
        </w:rPr>
        <w:t>万元，</w:t>
      </w:r>
      <w:r>
        <w:rPr>
          <w:rFonts w:hint="eastAsia" w:ascii="Times New Roman" w:hAnsi="Times New Roman" w:eastAsia="仿宋_GB2312"/>
          <w:sz w:val="32"/>
          <w:szCs w:val="32"/>
        </w:rPr>
        <w:t>由于预算数为0，无法计算百分比</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sz w:val="32"/>
          <w:szCs w:val="32"/>
        </w:rPr>
        <w:t>本年财政下达上级指标</w:t>
      </w:r>
      <w:r>
        <w:rPr>
          <w:rFonts w:hint="eastAsia" w:ascii="Times New Roman" w:hAnsi="Times New Roman" w:eastAsia="仿宋_GB2312"/>
          <w:sz w:val="32"/>
          <w:szCs w:val="32"/>
          <w:lang w:eastAsia="zh-CN"/>
        </w:rPr>
        <w:t>。</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sz w:val="32"/>
          <w:szCs w:val="32"/>
          <w:lang w:val="en-US" w:eastAsia="zh-CN"/>
        </w:rPr>
        <w:t>7、</w:t>
      </w:r>
      <w:r>
        <w:rPr>
          <w:rFonts w:ascii="Times New Roman" w:hAnsi="Times New Roman" w:eastAsia="仿宋_GB2312" w:cs="Times New Roman"/>
          <w:sz w:val="32"/>
          <w:szCs w:val="32"/>
        </w:rPr>
        <w:t>一般公共服务（</w:t>
      </w:r>
      <w:r>
        <w:rPr>
          <w:rFonts w:hint="eastAsia" w:ascii="Times New Roman" w:hAnsi="Times New Roman" w:eastAsia="仿宋_GB2312" w:cs="Times New Roman"/>
          <w:sz w:val="32"/>
          <w:szCs w:val="32"/>
          <w:lang w:val="en-US" w:eastAsia="zh-CN"/>
        </w:rPr>
        <w:t>201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市场监督管理事务</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20138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其他市场监督管理事务</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2013899</w:t>
      </w:r>
      <w:r>
        <w:rPr>
          <w:rFonts w:ascii="Times New Roman" w:hAnsi="Times New Roman" w:eastAsia="仿宋_GB2312" w:cs="Times New Roman"/>
          <w:sz w:val="32"/>
          <w:szCs w:val="32"/>
        </w:rPr>
        <w:t>）。</w:t>
      </w:r>
    </w:p>
    <w:p>
      <w:pPr>
        <w:pStyle w:val="16"/>
        <w:overflowPunct w:val="0"/>
        <w:autoSpaceDE/>
        <w:autoSpaceDN/>
        <w:spacing w:line="600" w:lineRule="exact"/>
        <w:ind w:firstLine="640" w:firstLineChars="200"/>
        <w:jc w:val="both"/>
        <w:rPr>
          <w:rFonts w:hint="eastAsia" w:ascii="Times New Roman" w:hAnsi="Times New Roman" w:eastAsia="仿宋_GB2312"/>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49.56</w:t>
      </w:r>
      <w:r>
        <w:rPr>
          <w:rFonts w:ascii="Times New Roman" w:hAnsi="Times New Roman" w:eastAsia="仿宋_GB2312" w:cs="Times New Roman"/>
          <w:sz w:val="32"/>
          <w:szCs w:val="32"/>
        </w:rPr>
        <w:t>万元，</w:t>
      </w:r>
      <w:r>
        <w:rPr>
          <w:rFonts w:hint="eastAsia" w:ascii="Times New Roman" w:hAnsi="Times New Roman" w:eastAsia="仿宋_GB2312"/>
          <w:sz w:val="32"/>
          <w:szCs w:val="32"/>
        </w:rPr>
        <w:t>由于预算数为0，无法计算百分比</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sz w:val="32"/>
          <w:szCs w:val="32"/>
        </w:rPr>
        <w:t>本年财政下达上级指标</w:t>
      </w:r>
      <w:r>
        <w:rPr>
          <w:rFonts w:hint="eastAsia" w:ascii="Times New Roman" w:hAnsi="Times New Roman" w:eastAsia="仿宋_GB2312"/>
          <w:sz w:val="32"/>
          <w:szCs w:val="32"/>
          <w:lang w:eastAsia="zh-CN"/>
        </w:rPr>
        <w:t>。</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sz w:val="32"/>
          <w:szCs w:val="32"/>
          <w:lang w:val="en-US" w:eastAsia="zh-CN"/>
        </w:rPr>
        <w:t>8、</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208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行政事业单位养老支出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20805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机关事业单位基本养老保险缴费支出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2080505</w:t>
      </w:r>
      <w:r>
        <w:rPr>
          <w:rFonts w:ascii="Times New Roman" w:hAnsi="Times New Roman" w:eastAsia="仿宋_GB2312" w:cs="Times New Roman"/>
          <w:sz w:val="32"/>
          <w:szCs w:val="32"/>
        </w:rPr>
        <w:t>）。</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368.26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368.26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与</w:t>
      </w:r>
      <w:r>
        <w:rPr>
          <w:rFonts w:hint="eastAsia" w:ascii="Times New Roman" w:hAnsi="Times New Roman" w:eastAsia="仿宋_GB2312" w:cs="Times New Roman"/>
          <w:sz w:val="32"/>
          <w:szCs w:val="32"/>
        </w:rPr>
        <w:t>年初预算数</w:t>
      </w:r>
      <w:r>
        <w:rPr>
          <w:rFonts w:hint="eastAsia" w:ascii="Times New Roman" w:hAnsi="Times New Roman" w:eastAsia="仿宋_GB2312" w:cs="Times New Roman"/>
          <w:sz w:val="32"/>
          <w:szCs w:val="32"/>
          <w:lang w:eastAsia="zh-CN"/>
        </w:rPr>
        <w:t>持平</w:t>
      </w:r>
      <w:r>
        <w:rPr>
          <w:rFonts w:hint="eastAsia" w:ascii="Times New Roman" w:hAnsi="Times New Roman" w:eastAsia="仿宋_GB2312" w:cs="Times New Roman"/>
          <w:sz w:val="32"/>
          <w:szCs w:val="32"/>
        </w:rPr>
        <w:t>的主要原因是：</w:t>
      </w:r>
      <w:r>
        <w:rPr>
          <w:rFonts w:hint="eastAsia" w:ascii="Times New Roman" w:hAnsi="Times New Roman" w:eastAsia="仿宋_GB2312" w:cs="Times New Roman"/>
          <w:sz w:val="32"/>
          <w:szCs w:val="32"/>
          <w:lang w:eastAsia="zh-CN"/>
        </w:rPr>
        <w:t>严格按预算数执行。</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9、</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208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抚恤</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20808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死亡抚恤</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2080801</w:t>
      </w:r>
      <w:r>
        <w:rPr>
          <w:rFonts w:ascii="Times New Roman" w:hAnsi="Times New Roman" w:eastAsia="仿宋_GB2312" w:cs="Times New Roman"/>
          <w:sz w:val="32"/>
          <w:szCs w:val="32"/>
        </w:rPr>
        <w:t>）。</w:t>
      </w:r>
    </w:p>
    <w:p>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51.81</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无法计算百分比，决算数大于年初预算数的主要原因是：本年财政追加预算。</w:t>
      </w:r>
    </w:p>
    <w:p>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10、社会保障和就业支出（208）其他社会保障和就业支出（20899）其他社会保障和就业支出（2089999）。</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无法计算百分比，决算数大于年初预算数的主要原因是：本年财政追加预算。</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11、</w:t>
      </w:r>
      <w:r>
        <w:rPr>
          <w:rFonts w:hint="eastAsia" w:ascii="Times New Roman" w:hAnsi="Times New Roman" w:eastAsia="仿宋_GB2312" w:cs="Times New Roman"/>
          <w:sz w:val="32"/>
          <w:szCs w:val="32"/>
        </w:rPr>
        <w:t>卫生健康支出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210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行政事业单位医疗</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21011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行政单位医疗</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2101101</w:t>
      </w:r>
      <w:r>
        <w:rPr>
          <w:rFonts w:ascii="Times New Roman" w:hAnsi="Times New Roman" w:eastAsia="仿宋_GB2312" w:cs="Times New Roman"/>
          <w:sz w:val="32"/>
          <w:szCs w:val="32"/>
        </w:rPr>
        <w:t>）。</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149.16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149.16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与</w:t>
      </w:r>
      <w:r>
        <w:rPr>
          <w:rFonts w:hint="eastAsia" w:ascii="Times New Roman" w:hAnsi="Times New Roman" w:eastAsia="仿宋_GB2312" w:cs="Times New Roman"/>
          <w:sz w:val="32"/>
          <w:szCs w:val="32"/>
        </w:rPr>
        <w:t>年初预算数</w:t>
      </w:r>
      <w:r>
        <w:rPr>
          <w:rFonts w:hint="eastAsia" w:ascii="Times New Roman" w:hAnsi="Times New Roman" w:eastAsia="仿宋_GB2312" w:cs="Times New Roman"/>
          <w:sz w:val="32"/>
          <w:szCs w:val="32"/>
          <w:lang w:eastAsia="zh-CN"/>
        </w:rPr>
        <w:t>持平</w:t>
      </w:r>
      <w:r>
        <w:rPr>
          <w:rFonts w:hint="eastAsia" w:ascii="Times New Roman" w:hAnsi="Times New Roman" w:eastAsia="仿宋_GB2312" w:cs="Times New Roman"/>
          <w:sz w:val="32"/>
          <w:szCs w:val="32"/>
        </w:rPr>
        <w:t>的主要原因是：</w:t>
      </w:r>
      <w:r>
        <w:rPr>
          <w:rFonts w:hint="eastAsia" w:ascii="Times New Roman" w:hAnsi="Times New Roman" w:eastAsia="仿宋_GB2312" w:cs="Times New Roman"/>
          <w:sz w:val="32"/>
          <w:szCs w:val="32"/>
          <w:lang w:eastAsia="zh-CN"/>
        </w:rPr>
        <w:t>严格按预算数执行。</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12、</w:t>
      </w:r>
      <w:r>
        <w:rPr>
          <w:rFonts w:hint="eastAsia" w:ascii="Times New Roman" w:hAnsi="Times New Roman" w:eastAsia="仿宋_GB2312" w:cs="Times New Roman"/>
          <w:sz w:val="32"/>
          <w:szCs w:val="32"/>
        </w:rPr>
        <w:t>住房保障支出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221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住房改革支出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22102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住房公积金</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2210201</w:t>
      </w:r>
      <w:r>
        <w:rPr>
          <w:rFonts w:ascii="Times New Roman" w:hAnsi="Times New Roman" w:eastAsia="仿宋_GB2312" w:cs="Times New Roman"/>
          <w:sz w:val="32"/>
          <w:szCs w:val="32"/>
        </w:rPr>
        <w:t>）。</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267.96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262.8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98.07</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小</w:t>
      </w:r>
      <w:r>
        <w:rPr>
          <w:rFonts w:ascii="Times New Roman" w:hAnsi="Times New Roman" w:eastAsia="仿宋_GB2312" w:cs="Times New Roman"/>
          <w:sz w:val="32"/>
          <w:szCs w:val="32"/>
        </w:rPr>
        <w:t>于年初预算数的主要原因是：</w:t>
      </w:r>
      <w:r>
        <w:rPr>
          <w:rFonts w:hint="eastAsia" w:ascii="Times New Roman" w:hAnsi="Times New Roman" w:eastAsia="仿宋_GB2312" w:cs="Times New Roman"/>
          <w:sz w:val="32"/>
          <w:szCs w:val="32"/>
          <w:lang w:eastAsia="zh-CN"/>
        </w:rPr>
        <w:t>人员异动及晋升。</w:t>
      </w:r>
    </w:p>
    <w:p>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rPr>
        <w:t>4411.27</w:t>
      </w:r>
      <w:r>
        <w:rPr>
          <w:rFonts w:ascii="Times New Roman" w:hAnsi="Times New Roman" w:eastAsia="仿宋_GB2312" w:cs="Times New Roman"/>
          <w:sz w:val="32"/>
          <w:szCs w:val="32"/>
        </w:rPr>
        <w:t>万元，其中：</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rPr>
        <w:t>3878.26</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87.92</w:t>
      </w:r>
      <w:r>
        <w:rPr>
          <w:rFonts w:ascii="Times New Roman" w:hAnsi="Times New Roman" w:eastAsia="仿宋_GB2312" w:cs="Times New Roman"/>
          <w:sz w:val="32"/>
          <w:szCs w:val="32"/>
        </w:rPr>
        <w:t>%,主要包括基本工资、津贴补贴、奖金、</w:t>
      </w:r>
      <w:r>
        <w:rPr>
          <w:rFonts w:hint="eastAsia" w:ascii="Times New Roman" w:hAnsi="Times New Roman" w:eastAsia="仿宋_GB2312"/>
          <w:b w:val="0"/>
          <w:bCs w:val="0"/>
          <w:sz w:val="32"/>
          <w:szCs w:val="32"/>
        </w:rPr>
        <w:t>机关事业单位基本养老保险缴费、职工基本医疗保险缴费、其他社会保障缴费、</w:t>
      </w:r>
      <w:r>
        <w:rPr>
          <w:rFonts w:hint="eastAsia" w:ascii="Times New Roman" w:hAnsi="Times New Roman" w:eastAsia="仿宋_GB2312"/>
          <w:b w:val="0"/>
          <w:bCs w:val="0"/>
          <w:sz w:val="32"/>
          <w:szCs w:val="32"/>
          <w:lang w:eastAsia="zh-CN"/>
        </w:rPr>
        <w:t>住房公积金、其他工资福利支出、</w:t>
      </w:r>
      <w:r>
        <w:rPr>
          <w:rFonts w:hint="eastAsia" w:ascii="Times New Roman" w:hAnsi="Times New Roman" w:eastAsia="仿宋_GB2312"/>
          <w:b w:val="0"/>
          <w:bCs w:val="0"/>
          <w:sz w:val="32"/>
          <w:szCs w:val="32"/>
        </w:rPr>
        <w:t>抚恤金</w:t>
      </w:r>
      <w:r>
        <w:rPr>
          <w:rFonts w:hint="eastAsia" w:ascii="Times New Roman" w:hAnsi="Times New Roman" w:eastAsia="仿宋_GB2312"/>
          <w:b w:val="0"/>
          <w:bCs w:val="0"/>
          <w:sz w:val="32"/>
          <w:szCs w:val="32"/>
          <w:lang w:eastAsia="zh-CN"/>
        </w:rPr>
        <w:t>、生活补助、其他对个人和家庭的补助</w:t>
      </w:r>
      <w:r>
        <w:rPr>
          <w:rFonts w:hint="eastAsia" w:ascii="Times New Roman" w:hAnsi="Times New Roman" w:eastAsia="仿宋_GB2312"/>
          <w:b w:val="0"/>
          <w:bCs w:val="0"/>
          <w:sz w:val="32"/>
          <w:szCs w:val="32"/>
        </w:rPr>
        <w:t>。</w:t>
      </w:r>
    </w:p>
    <w:p>
      <w:pPr>
        <w:pStyle w:val="16"/>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rPr>
        <w:t>533.01</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12.08</w:t>
      </w:r>
      <w:r>
        <w:rPr>
          <w:rFonts w:ascii="Times New Roman" w:hAnsi="Times New Roman" w:eastAsia="仿宋_GB2312" w:cs="Times New Roman"/>
          <w:sz w:val="32"/>
          <w:szCs w:val="32"/>
        </w:rPr>
        <w:t>%，主要包括办公费、印刷费、</w:t>
      </w:r>
      <w:r>
        <w:rPr>
          <w:rFonts w:hint="eastAsia" w:ascii="Times New Roman" w:hAnsi="Times New Roman" w:eastAsia="仿宋_GB2312" w:cs="Times New Roman"/>
          <w:sz w:val="32"/>
          <w:szCs w:val="32"/>
          <w:lang w:eastAsia="zh-CN"/>
        </w:rPr>
        <w:t>水费、电费、邮电费、物业管理费、</w:t>
      </w:r>
      <w:r>
        <w:rPr>
          <w:rFonts w:hint="eastAsia" w:ascii="Times New Roman" w:hAnsi="Times New Roman" w:eastAsia="仿宋_GB2312"/>
          <w:sz w:val="32"/>
          <w:szCs w:val="32"/>
        </w:rPr>
        <w:t>差旅费、维修（护）费、租赁费、会议费、公务接待费、</w:t>
      </w:r>
      <w:r>
        <w:rPr>
          <w:rFonts w:hint="eastAsia" w:ascii="Times New Roman" w:hAnsi="Times New Roman" w:eastAsia="仿宋_GB2312"/>
          <w:sz w:val="32"/>
          <w:szCs w:val="32"/>
          <w:lang w:eastAsia="zh-CN"/>
        </w:rPr>
        <w:t>劳务费</w:t>
      </w:r>
      <w:r>
        <w:rPr>
          <w:rFonts w:hint="eastAsia" w:ascii="Times New Roman" w:hAnsi="Times New Roman" w:eastAsia="仿宋_GB2312"/>
          <w:sz w:val="32"/>
          <w:szCs w:val="32"/>
        </w:rPr>
        <w:t>、委托业务费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工会经费、福利费、公务用车运行维护费、其他交通费用</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其他商品和服务支出。</w:t>
      </w:r>
    </w:p>
    <w:p>
      <w:pPr>
        <w:pStyle w:val="16"/>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pPr>
        <w:pStyle w:val="16"/>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20.6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16.53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80.24</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6.05</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26.79</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val="en-US" w:eastAsia="zh-CN"/>
        </w:rPr>
        <w:t>我局</w:t>
      </w:r>
      <w:r>
        <w:rPr>
          <w:rFonts w:hint="eastAsia" w:ascii="Times New Roman" w:hAnsi="Times New Roman" w:eastAsia="仿宋_GB2312"/>
          <w:sz w:val="32"/>
          <w:szCs w:val="32"/>
        </w:rPr>
        <w:t>加强“三公”经费管理，严控“三公”经费支出</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sz w:val="32"/>
          <w:szCs w:val="32"/>
        </w:rPr>
        <w:t>认真贯彻落实中央八项规定精神和厉行节约要求，从严控制“三公”经费支出</w:t>
      </w:r>
      <w:r>
        <w:rPr>
          <w:rFonts w:ascii="Times New Roman" w:hAnsi="Times New Roman" w:eastAsia="仿宋_GB2312" w:cs="Times New Roman"/>
          <w:sz w:val="32"/>
          <w:szCs w:val="32"/>
        </w:rPr>
        <w:t>。</w:t>
      </w:r>
    </w:p>
    <w:p>
      <w:pPr>
        <w:pStyle w:val="16"/>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yellow"/>
          <w:lang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本单位无</w:t>
      </w:r>
      <w:r>
        <w:rPr>
          <w:rFonts w:ascii="Times New Roman" w:hAnsi="Times New Roman" w:eastAsia="仿宋_GB2312" w:cs="Times New Roman"/>
          <w:sz w:val="32"/>
          <w:szCs w:val="32"/>
        </w:rPr>
        <w:t>因公出国（境）费支出。2024年度安排因公出国（境）团组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r>
        <w:rPr>
          <w:rFonts w:hint="eastAsia" w:ascii="Times New Roman" w:hAnsi="Times New Roman" w:eastAsia="仿宋_GB2312" w:cs="Times New Roman"/>
          <w:sz w:val="32"/>
          <w:szCs w:val="32"/>
          <w:lang w:eastAsia="zh-CN"/>
        </w:rPr>
        <w:t>。</w:t>
      </w:r>
    </w:p>
    <w:p>
      <w:pPr>
        <w:pStyle w:val="16"/>
        <w:keepNext w:val="0"/>
        <w:keepLines w:val="0"/>
        <w:pageBreakBefore w:val="0"/>
        <w:widowControl w:val="0"/>
        <w:kinsoku/>
        <w:wordWrap/>
        <w:overflowPunct/>
        <w:topLinePunct w:val="0"/>
        <w:bidi w:val="0"/>
        <w:snapToGrid/>
        <w:spacing w:line="54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14.1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11.83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83.9</w:t>
      </w:r>
      <w:r>
        <w:rPr>
          <w:rFonts w:ascii="Times New Roman" w:hAnsi="Times New Roman" w:eastAsia="仿宋_GB2312" w:cs="Times New Roman"/>
          <w:sz w:val="32"/>
          <w:szCs w:val="32"/>
        </w:rPr>
        <w:t>%；</w:t>
      </w:r>
      <w:r>
        <w:rPr>
          <w:rFonts w:hint="eastAsia" w:ascii="Times New Roman" w:hAnsi="Times New Roman" w:eastAsia="仿宋_GB2312"/>
          <w:sz w:val="32"/>
          <w:szCs w:val="32"/>
        </w:rPr>
        <w:t>与上年相比持平，无增减变化，无变化的主要原因是</w:t>
      </w:r>
      <w:r>
        <w:rPr>
          <w:rFonts w:hint="eastAsia" w:ascii="Times New Roman" w:hAnsi="Times New Roman" w:eastAsia="仿宋_GB2312"/>
          <w:sz w:val="32"/>
          <w:szCs w:val="32"/>
          <w:lang w:eastAsia="zh-CN"/>
        </w:rPr>
        <w:t>我局</w:t>
      </w:r>
      <w:r>
        <w:rPr>
          <w:rFonts w:hint="eastAsia" w:ascii="Times New Roman" w:hAnsi="Times New Roman" w:eastAsia="仿宋_GB2312"/>
          <w:sz w:val="32"/>
          <w:szCs w:val="32"/>
        </w:rPr>
        <w:t>严格</w:t>
      </w:r>
      <w:r>
        <w:rPr>
          <w:rFonts w:hint="eastAsia" w:ascii="Times New Roman" w:hAnsi="Times New Roman" w:eastAsia="仿宋_GB2312"/>
          <w:color w:val="000000" w:themeColor="text1"/>
          <w:sz w:val="32"/>
          <w:szCs w:val="32"/>
          <w14:textFill>
            <w14:solidFill>
              <w14:schemeClr w14:val="tx1"/>
            </w14:solidFill>
          </w14:textFill>
        </w:rPr>
        <w:t>控制了公务用车运行维护费支出</w:t>
      </w:r>
      <w:r>
        <w:rPr>
          <w:rFonts w:hint="eastAsia" w:ascii="Times New Roman" w:hAnsi="Times New Roman" w:eastAsia="仿宋_GB2312"/>
          <w:sz w:val="32"/>
          <w:szCs w:val="32"/>
        </w:rPr>
        <w:t>。</w:t>
      </w:r>
      <w:r>
        <w:rPr>
          <w:rFonts w:ascii="Times New Roman" w:hAnsi="Times New Roman" w:eastAsia="仿宋_GB2312" w:cs="Times New Roman"/>
          <w:sz w:val="32"/>
          <w:szCs w:val="32"/>
        </w:rPr>
        <w:t>其中：</w:t>
      </w:r>
    </w:p>
    <w:p>
      <w:pPr>
        <w:pStyle w:val="16"/>
        <w:keepNext w:val="0"/>
        <w:keepLines w:val="0"/>
        <w:pageBreakBefore w:val="0"/>
        <w:widowControl w:val="0"/>
        <w:kinsoku/>
        <w:wordWrap/>
        <w:overflowPunct/>
        <w:topLinePunct w:val="0"/>
        <w:bidi w:val="0"/>
        <w:snapToGrid/>
        <w:spacing w:line="54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sz w:val="32"/>
          <w:szCs w:val="32"/>
        </w:rPr>
        <w:t>由于预算数为0，无法计算百分比</w:t>
      </w:r>
      <w:r>
        <w:rPr>
          <w:rFonts w:hint="eastAsia" w:ascii="Times New Roman" w:hAnsi="Times New Roman" w:eastAsia="仿宋_GB2312" w:cs="Times New Roman"/>
          <w:sz w:val="32"/>
          <w:szCs w:val="32"/>
          <w:lang w:eastAsia="zh-CN"/>
        </w:rPr>
        <w:t>；</w:t>
      </w:r>
      <w:r>
        <w:rPr>
          <w:rFonts w:hint="eastAsia" w:ascii="Times New Roman" w:hAnsi="Times New Roman" w:eastAsia="仿宋_GB2312"/>
          <w:sz w:val="32"/>
          <w:szCs w:val="32"/>
        </w:rPr>
        <w:t>决算数与预算数持平的主要原因是无公务用车购置费支出，与上年相比持平，无增减变化，无变化的主要原因是无公务用车购置费支出。</w:t>
      </w:r>
      <w:r>
        <w:rPr>
          <w:rFonts w:ascii="Times New Roman" w:hAnsi="Times New Roman" w:eastAsia="仿宋_GB2312" w:cs="Times New Roman"/>
          <w:sz w:val="32"/>
          <w:szCs w:val="32"/>
        </w:rPr>
        <w:t>单位本级更新公务用车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r>
        <w:rPr>
          <w:rFonts w:ascii="Times New Roman" w:hAnsi="Times New Roman" w:eastAsia="仿宋_GB2312" w:cs="Times New Roman"/>
          <w:color w:val="000000" w:themeColor="text1"/>
          <w:sz w:val="32"/>
          <w:szCs w:val="32"/>
          <w14:textFill>
            <w14:solidFill>
              <w14:schemeClr w14:val="tx1"/>
            </w14:solidFill>
          </w14:textFill>
        </w:rPr>
        <w:t>。</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14.1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11.83</w:t>
      </w:r>
      <w:r>
        <w:rPr>
          <w:rFonts w:ascii="Times New Roman" w:hAnsi="Times New Roman" w:eastAsia="仿宋_GB2312" w:cs="Times New Roman"/>
          <w:sz w:val="32"/>
          <w:szCs w:val="32"/>
        </w:rPr>
        <w:t>万元，</w:t>
      </w:r>
    </w:p>
    <w:p>
      <w:pPr>
        <w:pStyle w:val="16"/>
        <w:overflowPunct w:val="0"/>
        <w:autoSpaceDE/>
        <w:autoSpaceDN/>
        <w:spacing w:line="600" w:lineRule="exact"/>
        <w:ind w:firstLine="640" w:firstLineChars="200"/>
        <w:jc w:val="both"/>
        <w:rPr>
          <w:rFonts w:ascii="Times New Roman" w:hAnsi="Times New Roman" w:eastAsia="楷体" w:cs="Times New Roman"/>
          <w:b/>
          <w:bCs/>
          <w:i/>
          <w:sz w:val="32"/>
          <w:szCs w:val="32"/>
        </w:rPr>
      </w:pPr>
      <w:r>
        <w:rPr>
          <w:rFonts w:ascii="Times New Roman" w:hAnsi="Times New Roman" w:eastAsia="仿宋_GB2312" w:cs="Times New Roman"/>
          <w:sz w:val="32"/>
          <w:szCs w:val="32"/>
        </w:rPr>
        <w:t>主要是</w:t>
      </w:r>
      <w:r>
        <w:rPr>
          <w:rFonts w:hint="eastAsia" w:ascii="Times New Roman" w:hAnsi="Times New Roman" w:eastAsia="仿宋_GB2312" w:cs="Times New Roman"/>
          <w:sz w:val="32"/>
          <w:szCs w:val="32"/>
          <w:lang w:eastAsia="zh-CN"/>
        </w:rPr>
        <w:t>车辆维修、保险费、油卡费等</w:t>
      </w:r>
      <w:r>
        <w:rPr>
          <w:rFonts w:ascii="Times New Roman" w:hAnsi="Times New Roman" w:eastAsia="仿宋_GB2312" w:cs="Times New Roman"/>
          <w:sz w:val="32"/>
          <w:szCs w:val="32"/>
        </w:rPr>
        <w:t>支出，完成预算的</w:t>
      </w:r>
      <w:r>
        <w:rPr>
          <w:rFonts w:hint="eastAsia" w:ascii="Times New Roman" w:hAnsi="Times New Roman" w:eastAsia="仿宋_GB2312" w:cs="Times New Roman"/>
          <w:sz w:val="32"/>
          <w:szCs w:val="32"/>
          <w:lang w:val="en-US" w:eastAsia="zh-CN"/>
        </w:rPr>
        <w:t>83.9</w:t>
      </w:r>
      <w:r>
        <w:rPr>
          <w:rFonts w:ascii="Times New Roman" w:hAnsi="Times New Roman" w:eastAsia="仿宋_GB2312" w:cs="Times New Roman"/>
          <w:sz w:val="32"/>
          <w:szCs w:val="32"/>
        </w:rPr>
        <w:t>%；与上年</w:t>
      </w:r>
      <w:r>
        <w:rPr>
          <w:rFonts w:hint="eastAsia" w:ascii="Times New Roman" w:hAnsi="Times New Roman" w:eastAsia="仿宋_GB2312"/>
          <w:sz w:val="32"/>
          <w:szCs w:val="32"/>
        </w:rPr>
        <w:t>相比持平，无增减变化</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sz w:val="32"/>
          <w:szCs w:val="32"/>
        </w:rPr>
        <w:t>认真贯彻落实中央八项规定精神和厉行节约要求，从严控制公务用车运行维护费支出</w:t>
      </w:r>
      <w:r>
        <w:rPr>
          <w:rFonts w:ascii="Times New Roman" w:hAnsi="Times New Roman" w:eastAsia="仿宋_GB2312" w:cs="Times New Roman"/>
          <w:sz w:val="32"/>
          <w:szCs w:val="32"/>
        </w:rPr>
        <w:t>。决算数</w:t>
      </w:r>
      <w:r>
        <w:rPr>
          <w:rFonts w:hint="eastAsia" w:ascii="Times New Roman" w:hAnsi="Times New Roman" w:eastAsia="仿宋_GB2312"/>
          <w:sz w:val="32"/>
          <w:szCs w:val="32"/>
        </w:rPr>
        <w:t>与上年相比无变化的主要原因是</w:t>
      </w:r>
      <w:r>
        <w:rPr>
          <w:rFonts w:hint="eastAsia" w:ascii="Times New Roman" w:hAnsi="Times New Roman" w:eastAsia="仿宋_GB2312"/>
          <w:sz w:val="32"/>
          <w:szCs w:val="32"/>
          <w:lang w:eastAsia="zh-CN"/>
        </w:rPr>
        <w:t>我局</w:t>
      </w:r>
      <w:r>
        <w:rPr>
          <w:rFonts w:hint="eastAsia" w:ascii="Times New Roman" w:hAnsi="Times New Roman" w:eastAsia="仿宋_GB2312"/>
          <w:sz w:val="32"/>
          <w:szCs w:val="32"/>
        </w:rPr>
        <w:t>严格</w:t>
      </w:r>
      <w:r>
        <w:rPr>
          <w:rFonts w:hint="eastAsia" w:ascii="Times New Roman" w:hAnsi="Times New Roman" w:eastAsia="仿宋_GB2312"/>
          <w:color w:val="000000" w:themeColor="text1"/>
          <w:sz w:val="32"/>
          <w:szCs w:val="32"/>
          <w14:textFill>
            <w14:solidFill>
              <w14:schemeClr w14:val="tx1"/>
            </w14:solidFill>
          </w14:textFill>
        </w:rPr>
        <w:t>控制了公务用车运行维护费支出</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辆。</w:t>
      </w:r>
    </w:p>
    <w:p>
      <w:pPr>
        <w:pStyle w:val="16"/>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6.5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4.7</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72.31</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6.05</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56.28</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rPr>
        <w:t>认真贯彻落实中央八项规定精神和厉行节约要求，从严控制公务接待费支出</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rPr>
        <w:t>实行归口统一管理，先审批后安排，并明确接待地点和接待标准，凡未经批准或超过决算限额的公务接待一律不予报销。</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2024年度共接待来访团组</w:t>
      </w:r>
      <w:r>
        <w:rPr>
          <w:rFonts w:hint="default" w:ascii="Times New Roman" w:hAnsi="Times New Roman" w:eastAsia="仿宋_GB2312" w:cs="Times New Roman"/>
          <w:sz w:val="32"/>
          <w:szCs w:val="32"/>
        </w:rPr>
        <w:t>80</w:t>
      </w:r>
      <w:r>
        <w:rPr>
          <w:rFonts w:ascii="Times New Roman" w:hAnsi="Times New Roman" w:eastAsia="仿宋_GB2312" w:cs="Times New Roman"/>
          <w:sz w:val="32"/>
          <w:szCs w:val="32"/>
        </w:rPr>
        <w:t>个、来宾</w:t>
      </w:r>
      <w:r>
        <w:rPr>
          <w:rFonts w:hint="default" w:ascii="Times New Roman" w:hAnsi="Times New Roman" w:eastAsia="仿宋_GB2312" w:cs="Times New Roman"/>
          <w:sz w:val="32"/>
          <w:szCs w:val="32"/>
        </w:rPr>
        <w:t>400</w:t>
      </w:r>
      <w:r>
        <w:rPr>
          <w:rFonts w:ascii="Times New Roman" w:hAnsi="Times New Roman" w:eastAsia="仿宋_GB2312" w:cs="Times New Roman"/>
          <w:sz w:val="32"/>
          <w:szCs w:val="32"/>
        </w:rPr>
        <w:t>人次，主要是公务往来发生的接待支出。</w:t>
      </w:r>
    </w:p>
    <w:p>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年度本单位无政府性基金收支。</w:t>
      </w:r>
    </w:p>
    <w:p>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pPr>
        <w:pStyle w:val="16"/>
        <w:overflowPunct w:val="0"/>
        <w:autoSpaceDE/>
        <w:autoSpaceDN/>
        <w:spacing w:line="600" w:lineRule="exact"/>
        <w:ind w:firstLine="640" w:firstLineChars="200"/>
        <w:jc w:val="both"/>
        <w:rPr>
          <w:rFonts w:ascii="Times New Roman" w:hAnsi="Times New Roman" w:eastAsia="仿宋_GB2312"/>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rPr>
        <w:t>533.01</w:t>
      </w:r>
      <w:r>
        <w:rPr>
          <w:rFonts w:ascii="Times New Roman" w:hAnsi="Times New Roman" w:eastAsia="仿宋_GB2312" w:cs="Times New Roman"/>
          <w:sz w:val="32"/>
          <w:szCs w:val="32"/>
        </w:rPr>
        <w:t>万元，比年初预算数减少</w:t>
      </w:r>
      <w:r>
        <w:rPr>
          <w:rFonts w:hint="eastAsia" w:ascii="Times New Roman" w:hAnsi="Times New Roman" w:eastAsia="仿宋_GB2312" w:cs="Times New Roman"/>
          <w:sz w:val="32"/>
          <w:szCs w:val="32"/>
          <w:lang w:val="en-US" w:eastAsia="zh-CN"/>
        </w:rPr>
        <w:t>158.99</w:t>
      </w:r>
      <w:r>
        <w:rPr>
          <w:rFonts w:ascii="Times New Roman" w:hAnsi="Times New Roman" w:eastAsia="仿宋_GB2312" w:cs="Times New Roman"/>
          <w:sz w:val="32"/>
          <w:szCs w:val="32"/>
        </w:rPr>
        <w:t xml:space="preserve"> 万元，降低</w:t>
      </w:r>
      <w:r>
        <w:rPr>
          <w:rFonts w:hint="eastAsia" w:ascii="Times New Roman" w:hAnsi="Times New Roman" w:eastAsia="仿宋_GB2312" w:cs="Times New Roman"/>
          <w:sz w:val="32"/>
          <w:szCs w:val="32"/>
          <w:lang w:val="en-US" w:eastAsia="zh-CN"/>
        </w:rPr>
        <w:t>22.98</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eastAsia="zh-CN"/>
        </w:rPr>
        <w:t>单位</w:t>
      </w:r>
      <w:r>
        <w:rPr>
          <w:rFonts w:hint="eastAsia" w:ascii="Times New Roman" w:hAnsi="Times New Roman" w:eastAsia="仿宋_GB2312"/>
          <w:sz w:val="32"/>
          <w:szCs w:val="32"/>
        </w:rPr>
        <w:t>按照政府部门过紧日子要求，节省部分经费的开支。</w:t>
      </w:r>
    </w:p>
    <w:p>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pPr>
        <w:pStyle w:val="16"/>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0.39</w:t>
      </w:r>
      <w:r>
        <w:rPr>
          <w:rFonts w:ascii="Times New Roman" w:hAnsi="Times New Roman" w:eastAsia="仿宋_GB2312" w:cs="Times New Roman"/>
          <w:sz w:val="32"/>
          <w:szCs w:val="32"/>
        </w:rPr>
        <w:t>万元，用于召开</w:t>
      </w:r>
      <w:r>
        <w:rPr>
          <w:rFonts w:hint="default" w:ascii="Times New Roman" w:hAnsi="Times New Roman" w:eastAsia="仿宋_GB2312" w:cs="Times New Roman"/>
          <w:sz w:val="32"/>
          <w:szCs w:val="32"/>
          <w:lang w:eastAsia="zh-CN"/>
        </w:rPr>
        <w:t>全体党员大</w:t>
      </w:r>
      <w:r>
        <w:rPr>
          <w:rFonts w:hint="eastAsia" w:ascii="Times New Roman" w:hAnsi="Times New Roman" w:eastAsia="仿宋_GB2312" w:cs="Times New Roman"/>
          <w:sz w:val="32"/>
          <w:szCs w:val="32"/>
          <w:lang w:eastAsia="zh-CN"/>
        </w:rPr>
        <w:t>会</w:t>
      </w:r>
      <w:r>
        <w:rPr>
          <w:rFonts w:ascii="Times New Roman" w:hAnsi="Times New Roman" w:eastAsia="仿宋_GB2312" w:cs="Times New Roman"/>
          <w:sz w:val="32"/>
          <w:szCs w:val="32"/>
        </w:rPr>
        <w:t>，人数</w:t>
      </w:r>
      <w:r>
        <w:rPr>
          <w:rFonts w:hint="default" w:ascii="Times New Roman" w:hAnsi="Times New Roman" w:eastAsia="仿宋_GB2312" w:cs="Times New Roman"/>
          <w:sz w:val="32"/>
          <w:szCs w:val="32"/>
        </w:rPr>
        <w:t>198</w:t>
      </w:r>
      <w:r>
        <w:rPr>
          <w:rFonts w:ascii="Times New Roman" w:hAnsi="Times New Roman" w:eastAsia="仿宋_GB2312" w:cs="Times New Roman"/>
          <w:sz w:val="32"/>
          <w:szCs w:val="32"/>
        </w:rPr>
        <w:t>人，内容为机关党委换届选举；开支培训费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sz w:val="32"/>
          <w:szCs w:val="32"/>
        </w:rPr>
        <w:t>未开展培训</w:t>
      </w:r>
      <w:r>
        <w:rPr>
          <w:rFonts w:ascii="Times New Roman" w:hAnsi="Times New Roman" w:eastAsia="仿宋_GB2312" w:cs="Times New Roman"/>
          <w:sz w:val="32"/>
          <w:szCs w:val="32"/>
        </w:rPr>
        <w:t>，人数</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w:t>
      </w:r>
      <w:r>
        <w:rPr>
          <w:rFonts w:hint="eastAsia" w:ascii="Times New Roman" w:hAnsi="Times New Roman" w:eastAsia="仿宋_GB2312" w:cs="Times New Roman"/>
          <w:sz w:val="32"/>
          <w:szCs w:val="32"/>
          <w:lang w:eastAsia="zh-CN"/>
        </w:rPr>
        <w:t>未</w:t>
      </w:r>
      <w:r>
        <w:rPr>
          <w:rFonts w:ascii="Times New Roman" w:hAnsi="Times New Roman" w:eastAsia="仿宋_GB2312" w:cs="Times New Roman"/>
          <w:sz w:val="32"/>
          <w:szCs w:val="32"/>
        </w:rPr>
        <w:t>举办节庆、晚会、论坛、赛事</w:t>
      </w:r>
      <w:r>
        <w:rPr>
          <w:rFonts w:hint="eastAsia" w:ascii="Times New Roman" w:hAnsi="Times New Roman" w:eastAsia="仿宋_GB2312" w:cs="Times New Roman"/>
          <w:sz w:val="32"/>
          <w:szCs w:val="32"/>
          <w:lang w:eastAsia="zh-CN"/>
        </w:rPr>
        <w:t>等</w:t>
      </w:r>
      <w:r>
        <w:rPr>
          <w:rFonts w:ascii="Times New Roman" w:hAnsi="Times New Roman" w:eastAsia="仿宋_GB2312" w:cs="Times New Roman"/>
          <w:sz w:val="32"/>
          <w:szCs w:val="32"/>
        </w:rPr>
        <w:t>活动，开支</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p>
    <w:p>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pPr>
        <w:pStyle w:val="16"/>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422</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92.33</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1.51</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328.15</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365.43</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86.59</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359.83</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98.47</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82.76</w:t>
      </w:r>
      <w:r>
        <w:rPr>
          <w:rFonts w:ascii="Times New Roman" w:hAnsi="Times New Roman" w:eastAsia="仿宋_GB2312" w:cs="Times New Roman"/>
          <w:color w:val="auto"/>
          <w:sz w:val="32"/>
          <w:szCs w:val="32"/>
        </w:rPr>
        <w:t>%。</w:t>
      </w:r>
    </w:p>
    <w:p>
      <w:pPr>
        <w:pStyle w:val="16"/>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pPr>
        <w:pStyle w:val="16"/>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pPr>
        <w:pStyle w:val="16"/>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pP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rPr>
        <w:t>4852.57</w:t>
      </w:r>
      <w:r>
        <w:rPr>
          <w:rFonts w:ascii="Times New Roman" w:hAnsi="Times New Roman" w:eastAsia="仿宋_GB2312" w:cs="Times New Roman"/>
          <w:kern w:val="0"/>
          <w:sz w:val="32"/>
          <w:szCs w:val="32"/>
        </w:rPr>
        <w:t xml:space="preserve"> 万元。其中，一般公共预算项目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40</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0.82</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二是部门评价开展情况。</w:t>
      </w:r>
      <w:r>
        <w:rPr>
          <w:rFonts w:ascii="Times New Roman" w:hAnsi="Times New Roman" w:eastAsia="仿宋_GB2312" w:cs="Times New Roman"/>
          <w:kern w:val="0"/>
          <w:sz w:val="32"/>
          <w:szCs w:val="32"/>
        </w:rPr>
        <w:t>组织对所属单位2024年度“</w:t>
      </w:r>
      <w:r>
        <w:rPr>
          <w:rFonts w:hint="eastAsia" w:ascii="Times New Roman" w:hAnsi="Times New Roman" w:eastAsia="仿宋_GB2312" w:cs="Times New Roman"/>
          <w:sz w:val="32"/>
          <w:szCs w:val="32"/>
          <w:lang w:val="en-US" w:eastAsia="zh-CN"/>
        </w:rPr>
        <w:t>食药品检测能力建设专项经费</w:t>
      </w:r>
      <w:r>
        <w:rPr>
          <w:rFonts w:ascii="Times New Roman" w:hAnsi="Times New Roman" w:eastAsia="仿宋_GB2312" w:cs="Times New Roman"/>
          <w:kern w:val="0"/>
          <w:sz w:val="32"/>
          <w:szCs w:val="32"/>
        </w:rPr>
        <w:t>”</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kern w:val="0"/>
          <w:sz w:val="32"/>
          <w:szCs w:val="32"/>
        </w:rPr>
        <w:t>个项目开展了部门评价，涉及一般公共预算支出</w:t>
      </w:r>
      <w:r>
        <w:rPr>
          <w:rFonts w:hint="eastAsia" w:ascii="Times New Roman" w:hAnsi="Times New Roman" w:eastAsia="仿宋_GB2312" w:cs="Times New Roman"/>
          <w:kern w:val="0"/>
          <w:sz w:val="32"/>
          <w:szCs w:val="32"/>
          <w:lang w:val="en-US" w:eastAsia="zh-CN"/>
        </w:rPr>
        <w:t>40</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r>
        <w:rPr>
          <w:rFonts w:ascii="Times New Roman" w:hAnsi="Times New Roman" w:eastAsia="仿宋_GB2312" w:cs="Times New Roman"/>
          <w:b/>
          <w:bCs/>
          <w:kern w:val="0"/>
          <w:sz w:val="32"/>
          <w:szCs w:val="32"/>
        </w:rPr>
        <w:t>三是事前绩效评估开展情况。</w:t>
      </w:r>
      <w:r>
        <w:rPr>
          <w:rFonts w:ascii="Times New Roman" w:hAnsi="Times New Roman" w:eastAsia="仿宋_GB2312" w:cs="Times New Roman"/>
          <w:kern w:val="0"/>
          <w:sz w:val="32"/>
          <w:szCs w:val="32"/>
        </w:rPr>
        <w:t>组织对2024年度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个新增重大政策和</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个重大项目开展事前绩效评估，共涉及资金</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w:t>
      </w:r>
    </w:p>
    <w:p>
      <w:pPr>
        <w:overflowPunct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4442.53</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4852.57</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109.23</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default" w:ascii="Times New Roman" w:hAnsi="Times New Roman" w:eastAsia="仿宋_GB2312" w:cs="Times New Roman"/>
          <w:sz w:val="32"/>
          <w:szCs w:val="32"/>
        </w:rPr>
        <w:t>98</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“优秀”。绩效目标完成情况：年度总体目标基本实现，各绩效指标基本完成。发现的主要问题及原因：一是</w:t>
      </w:r>
      <w:r>
        <w:rPr>
          <w:rFonts w:hint="eastAsia" w:ascii="Times New Roman" w:hAnsi="Times New Roman" w:eastAsia="仿宋_GB2312" w:cs="Times New Roman"/>
          <w:sz w:val="32"/>
          <w:szCs w:val="32"/>
          <w:lang w:val="en-US" w:eastAsia="zh-CN"/>
        </w:rPr>
        <w:t>部分食品药品、特种设备经营主体安全意识不强，未能按相关规定全面落实企业主体责任，安全监管形势不能掉以轻心</w:t>
      </w:r>
      <w:r>
        <w:rPr>
          <w:rFonts w:ascii="Times New Roman" w:hAnsi="Times New Roman" w:eastAsia="仿宋_GB2312" w:cs="Times New Roman"/>
          <w:sz w:val="32"/>
          <w:szCs w:val="32"/>
        </w:rPr>
        <w:t>。下一步改进措施：</w:t>
      </w:r>
      <w:r>
        <w:rPr>
          <w:rFonts w:hint="eastAsia" w:ascii="Times New Roman" w:hAnsi="Times New Roman" w:eastAsia="仿宋_GB2312" w:cs="Times New Roman"/>
          <w:sz w:val="32"/>
          <w:szCs w:val="32"/>
          <w:lang w:val="en-US" w:eastAsia="zh-CN"/>
        </w:rPr>
        <w:t>加强食品、药品安全监管</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强化特种设备安全监管，强化重点工业产品安全监管</w:t>
      </w:r>
      <w:r>
        <w:rPr>
          <w:rFonts w:ascii="Times New Roman" w:hAnsi="Times New Roman" w:eastAsia="仿宋_GB2312" w:cs="Times New Roman"/>
          <w:sz w:val="32"/>
          <w:szCs w:val="32"/>
        </w:rPr>
        <w:t>。</w:t>
      </w:r>
      <w:r>
        <w:rPr>
          <w:rFonts w:ascii="Times New Roman" w:hAnsi="Times New Roman" w:eastAsia="仿宋_GB2312" w:cs="Times New Roman"/>
          <w:b/>
          <w:bCs/>
          <w:kern w:val="0"/>
          <w:sz w:val="32"/>
          <w:szCs w:val="32"/>
        </w:rPr>
        <w:t>二是部门评价结果。</w:t>
      </w:r>
      <w:r>
        <w:rPr>
          <w:rFonts w:hint="eastAsia" w:ascii="Times New Roman" w:hAnsi="Times New Roman" w:eastAsia="仿宋_GB2312" w:cs="Times New Roman"/>
          <w:sz w:val="32"/>
          <w:szCs w:val="32"/>
        </w:rPr>
        <w:t>食品药品检测能力建设专项经费</w:t>
      </w:r>
      <w:r>
        <w:rPr>
          <w:rFonts w:ascii="Times New Roman" w:hAnsi="Times New Roman" w:eastAsia="仿宋_GB2312" w:cs="Times New Roman"/>
          <w:sz w:val="32"/>
          <w:szCs w:val="32"/>
        </w:rPr>
        <w:t>项目全年预算数</w:t>
      </w:r>
      <w:r>
        <w:rPr>
          <w:rFonts w:hint="default" w:ascii="Times New Roman" w:hAnsi="Times New Roman" w:eastAsia="仿宋_GB2312" w:cs="Times New Roman"/>
          <w:sz w:val="32"/>
          <w:szCs w:val="32"/>
        </w:rPr>
        <w:t>40</w:t>
      </w:r>
      <w:r>
        <w:rPr>
          <w:rFonts w:ascii="Times New Roman" w:hAnsi="Times New Roman" w:eastAsia="仿宋_GB2312" w:cs="Times New Roman"/>
          <w:sz w:val="32"/>
          <w:szCs w:val="32"/>
        </w:rPr>
        <w:t>万元，执行数</w:t>
      </w:r>
      <w:r>
        <w:rPr>
          <w:rFonts w:hint="default" w:ascii="Times New Roman" w:hAnsi="Times New Roman" w:eastAsia="仿宋_GB2312" w:cs="Times New Roman"/>
          <w:sz w:val="32"/>
          <w:szCs w:val="32"/>
        </w:rPr>
        <w:t>40</w:t>
      </w:r>
      <w:r>
        <w:rPr>
          <w:rFonts w:ascii="Times New Roman" w:hAnsi="Times New Roman" w:eastAsia="仿宋_GB2312" w:cs="Times New Roman"/>
          <w:sz w:val="32"/>
          <w:szCs w:val="32"/>
        </w:rPr>
        <w:t>万元，完成预算的</w:t>
      </w:r>
      <w:r>
        <w:rPr>
          <w:rFonts w:hint="default" w:ascii="Times New Roman" w:hAnsi="Times New Roman" w:eastAsia="仿宋_GB2312" w:cs="Times New Roman"/>
          <w:sz w:val="32"/>
          <w:szCs w:val="32"/>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default" w:ascii="Times New Roman" w:hAnsi="Times New Roman" w:eastAsia="仿宋_GB2312" w:cs="Times New Roman"/>
          <w:sz w:val="32"/>
          <w:szCs w:val="32"/>
        </w:rPr>
        <w:t>99</w:t>
      </w:r>
      <w:r>
        <w:rPr>
          <w:rFonts w:ascii="Times New Roman" w:hAnsi="Times New Roman" w:eastAsia="仿宋_GB2312" w:cs="Times New Roman"/>
          <w:sz w:val="32"/>
          <w:szCs w:val="32"/>
        </w:rPr>
        <w:t>分，评价等级为“优秀”。发现的主要问题及原</w:t>
      </w:r>
      <w:r>
        <w:rPr>
          <w:rFonts w:hint="default" w:ascii="Times New Roman" w:hAnsi="Times New Roman" w:eastAsia="仿宋_GB2312" w:cs="Times New Roman"/>
          <w:sz w:val="32"/>
          <w:szCs w:val="32"/>
        </w:rPr>
        <w:t>因：</w:t>
      </w:r>
      <w:r>
        <w:rPr>
          <w:rFonts w:hint="eastAsia" w:ascii="Times New Roman" w:hAnsi="Times New Roman" w:eastAsia="仿宋_GB2312" w:cs="Times New Roman"/>
          <w:sz w:val="32"/>
          <w:szCs w:val="32"/>
          <w:lang w:val="en-US" w:eastAsia="zh-CN"/>
        </w:rPr>
        <w:t>部分检验验测设备</w:t>
      </w:r>
      <w:r>
        <w:rPr>
          <w:rFonts w:hint="eastAsia" w:ascii="仿宋_GB2312" w:hAnsi="仿宋_GB2312" w:eastAsia="仿宋_GB2312" w:cs="仿宋_GB2312"/>
          <w:color w:val="auto"/>
          <w:sz w:val="30"/>
          <w:szCs w:val="30"/>
          <w:lang w:val="en-US" w:eastAsia="zh-CN"/>
        </w:rPr>
        <w:t>老化</w:t>
      </w:r>
      <w:r>
        <w:rPr>
          <w:rFonts w:hint="default" w:ascii="仿宋_GB2312" w:hAnsi="仿宋_GB2312" w:eastAsia="仿宋_GB2312" w:cs="仿宋_GB2312"/>
          <w:color w:val="auto"/>
          <w:sz w:val="30"/>
          <w:szCs w:val="30"/>
          <w:lang w:eastAsia="zh-CN"/>
        </w:rPr>
        <w:t>，</w:t>
      </w:r>
      <w:r>
        <w:rPr>
          <w:rFonts w:hint="eastAsia" w:ascii="Times New Roman" w:hAnsi="Times New Roman" w:eastAsia="仿宋_GB2312" w:cs="Times New Roman"/>
          <w:sz w:val="32"/>
          <w:szCs w:val="32"/>
          <w:lang w:val="en-US" w:eastAsia="zh-CN"/>
        </w:rPr>
        <w:t>检验检测能力不足</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技术支撑能力不强</w:t>
      </w:r>
      <w:r>
        <w:rPr>
          <w:rFonts w:ascii="Times New Roman" w:hAnsi="Times New Roman" w:eastAsia="仿宋_GB2312" w:cs="Times New Roman"/>
          <w:sz w:val="32"/>
          <w:szCs w:val="32"/>
        </w:rPr>
        <w:t>。下一步改进措施：更新</w:t>
      </w:r>
      <w:r>
        <w:rPr>
          <w:rFonts w:hint="eastAsia" w:ascii="Times New Roman" w:hAnsi="Times New Roman" w:eastAsia="仿宋_GB2312" w:cs="Times New Roman"/>
          <w:sz w:val="32"/>
          <w:szCs w:val="32"/>
          <w:lang w:val="en-US" w:eastAsia="zh-CN"/>
        </w:rPr>
        <w:t>检验验测设备</w:t>
      </w:r>
      <w:r>
        <w:rPr>
          <w:rFonts w:hint="default" w:ascii="Times New Roman" w:hAnsi="Times New Roman" w:eastAsia="仿宋_GB2312" w:cs="Times New Roman"/>
          <w:sz w:val="32"/>
          <w:szCs w:val="32"/>
          <w:lang w:eastAsia="zh-CN"/>
        </w:rPr>
        <w:t>，</w:t>
      </w:r>
      <w:r>
        <w:rPr>
          <w:rFonts w:ascii="Times New Roman" w:hAnsi="Times New Roman" w:eastAsia="仿宋_GB2312" w:cs="Times New Roman"/>
          <w:sz w:val="32"/>
          <w:szCs w:val="32"/>
        </w:rPr>
        <w:t>提高</w:t>
      </w:r>
      <w:r>
        <w:rPr>
          <w:rFonts w:hint="eastAsia" w:ascii="Times New Roman" w:hAnsi="Times New Roman" w:eastAsia="仿宋_GB2312" w:cs="Times New Roman"/>
          <w:sz w:val="32"/>
          <w:szCs w:val="32"/>
          <w:lang w:val="en-US" w:eastAsia="zh-CN"/>
        </w:rPr>
        <w:t>检验检测能力</w:t>
      </w:r>
      <w:r>
        <w:rPr>
          <w:rFonts w:ascii="Times New Roman" w:hAnsi="Times New Roman" w:eastAsia="仿宋_GB2312" w:cs="Times New Roman"/>
          <w:sz w:val="32"/>
          <w:szCs w:val="32"/>
        </w:rPr>
        <w:t>。</w:t>
      </w:r>
      <w:r>
        <w:rPr>
          <w:rFonts w:ascii="Times New Roman" w:hAnsi="Times New Roman" w:eastAsia="仿宋_GB2312" w:cs="Times New Roman"/>
          <w:b/>
          <w:bCs/>
          <w:kern w:val="0"/>
          <w:sz w:val="32"/>
          <w:szCs w:val="32"/>
        </w:rPr>
        <w:t>三是事前绩效评估结果。</w:t>
      </w:r>
      <w:r>
        <w:rPr>
          <w:rFonts w:ascii="Times New Roman" w:hAnsi="Times New Roman" w:eastAsia="仿宋_GB2312" w:cs="Times New Roman"/>
          <w:kern w:val="0"/>
          <w:sz w:val="32"/>
          <w:szCs w:val="32"/>
        </w:rPr>
        <w:t>2024年度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个重大项目事前绩效评估，其中，</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个项目评估通过，涉及资金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个项目评估不通过，涉及资金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p>
    <w:p>
      <w:pPr>
        <w:pStyle w:val="16"/>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楷体_GB2312" w:cs="Times New Roman"/>
          <w:b/>
          <w:bCs/>
          <w:color w:val="auto"/>
          <w:kern w:val="2"/>
          <w:sz w:val="32"/>
          <w:szCs w:val="32"/>
        </w:rPr>
        <w:t>（三）评价结果应用情况。</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sz w:val="72"/>
          <w:szCs w:val="72"/>
        </w:rPr>
      </w:pPr>
      <w:r>
        <w:rPr>
          <w:rFonts w:hint="eastAsia" w:ascii="Times New Roman" w:hAnsi="Times New Roman" w:eastAsia="仿宋_GB2312" w:cs="Times New Roman"/>
          <w:color w:val="auto"/>
          <w:sz w:val="32"/>
          <w:szCs w:val="32"/>
          <w:lang w:val="en-US" w:eastAsia="zh-CN" w:bidi="ar-SA"/>
        </w:rPr>
        <w:t>我局结合单位实际，根据2024年度业务工作报告及2024年实际工作情况，开展绩效自评。对于上年度绩效评价结果提出的需要整改的情况，我局领导高度重视，在评价工作结束后，积极开展整改行动抓落实，对照问题清单，认真填写整改报告书，对问题切实改正，用制度的手段规范资金使用，提升了资金使用效益，为</w:t>
      </w:r>
      <w:r>
        <w:rPr>
          <w:rFonts w:hint="default" w:ascii="Times New Roman" w:hAnsi="Times New Roman" w:eastAsia="仿宋_GB2312" w:cs="Times New Roman"/>
          <w:color w:val="auto"/>
          <w:sz w:val="32"/>
          <w:szCs w:val="32"/>
          <w:lang w:eastAsia="zh-CN" w:bidi="ar-SA"/>
        </w:rPr>
        <w:t>2025年</w:t>
      </w:r>
      <w:r>
        <w:rPr>
          <w:rFonts w:hint="eastAsia" w:ascii="Times New Roman" w:hAnsi="Times New Roman" w:eastAsia="仿宋_GB2312" w:cs="Times New Roman"/>
          <w:color w:val="auto"/>
          <w:sz w:val="32"/>
          <w:szCs w:val="32"/>
          <w:lang w:val="en-US" w:eastAsia="zh-CN" w:bidi="ar-SA"/>
        </w:rPr>
        <w:t>绩效评价</w:t>
      </w:r>
      <w:r>
        <w:rPr>
          <w:rFonts w:hint="default" w:ascii="Times New Roman" w:hAnsi="Times New Roman" w:eastAsia="仿宋_GB2312" w:cs="Times New Roman"/>
          <w:color w:val="auto"/>
          <w:sz w:val="32"/>
          <w:szCs w:val="32"/>
          <w:lang w:eastAsia="zh-CN" w:bidi="ar-SA"/>
        </w:rPr>
        <w:t>、</w:t>
      </w:r>
      <w:r>
        <w:rPr>
          <w:rFonts w:ascii="Times New Roman" w:hAnsi="Times New Roman" w:eastAsia="仿宋_GB2312" w:cs="Times New Roman"/>
          <w:color w:val="auto"/>
          <w:sz w:val="32"/>
          <w:szCs w:val="32"/>
        </w:rPr>
        <w:t>预算安排</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资金管理等方面</w:t>
      </w:r>
      <w:r>
        <w:rPr>
          <w:rFonts w:hint="eastAsia" w:ascii="Times New Roman" w:hAnsi="Times New Roman" w:eastAsia="仿宋_GB2312" w:cs="Times New Roman"/>
          <w:color w:val="auto"/>
          <w:sz w:val="32"/>
          <w:szCs w:val="32"/>
          <w:lang w:val="en-US" w:eastAsia="zh-CN" w:bidi="ar-SA"/>
        </w:rPr>
        <w:t>做好准备。</w:t>
      </w:r>
    </w:p>
    <w:p>
      <w:pPr>
        <w:pStyle w:val="16"/>
        <w:spacing w:line="360" w:lineRule="auto"/>
        <w:jc w:val="center"/>
        <w:rPr>
          <w:rFonts w:ascii="Times New Roman" w:hAnsi="Times New Roman" w:eastAsia="方正小标宋_GBK" w:cs="Times New Roman"/>
          <w:sz w:val="52"/>
          <w:szCs w:val="52"/>
        </w:rPr>
      </w:pPr>
    </w:p>
    <w:p>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pPr>
        <w:widowControl/>
        <w:jc w:val="left"/>
        <w:rPr>
          <w:rFonts w:ascii="Times New Roman" w:hAnsi="Times New Roman" w:cs="Times New Roman"/>
          <w:color w:val="000000"/>
          <w:kern w:val="0"/>
          <w:sz w:val="32"/>
          <w:szCs w:val="32"/>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left"/>
        <w:rPr>
          <w:rFonts w:ascii="Calibri" w:hAnsi="Calibri" w:cs="Calibri"/>
          <w:i w:val="0"/>
          <w:iCs w:val="0"/>
          <w:caps w:val="0"/>
          <w:color w:val="666666"/>
          <w:spacing w:val="0"/>
          <w:sz w:val="21"/>
          <w:szCs w:val="21"/>
          <w:u w:val="none"/>
        </w:rPr>
      </w:pPr>
      <w:r>
        <w:rPr>
          <w:rFonts w:ascii="仿宋" w:hAnsi="仿宋" w:eastAsia="仿宋" w:cs="仿宋"/>
          <w:i w:val="0"/>
          <w:iCs w:val="0"/>
          <w:caps w:val="0"/>
          <w:color w:val="000000"/>
          <w:spacing w:val="0"/>
          <w:sz w:val="32"/>
          <w:szCs w:val="32"/>
          <w:u w:val="none"/>
          <w:shd w:val="clear" w:color="auto" w:fill="FFFFFF"/>
        </w:rPr>
        <w:t>一、收入科目</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1</w:t>
      </w:r>
      <w:r>
        <w:rPr>
          <w:rFonts w:hint="eastAsia" w:ascii="仿宋" w:hAnsi="仿宋" w:eastAsia="仿宋" w:cs="仿宋"/>
          <w:i w:val="0"/>
          <w:iCs w:val="0"/>
          <w:caps w:val="0"/>
          <w:color w:val="000000"/>
          <w:spacing w:val="0"/>
          <w:sz w:val="32"/>
          <w:szCs w:val="32"/>
          <w:u w:val="none"/>
          <w:shd w:val="clear" w:color="auto" w:fill="FFFFFF"/>
        </w:rPr>
        <w:t>、财政拨款收入：指财政当年拨付的资金。</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2</w:t>
      </w:r>
      <w:r>
        <w:rPr>
          <w:rFonts w:hint="eastAsia" w:ascii="仿宋" w:hAnsi="仿宋" w:eastAsia="仿宋" w:cs="仿宋"/>
          <w:i w:val="0"/>
          <w:iCs w:val="0"/>
          <w:caps w:val="0"/>
          <w:color w:val="000000"/>
          <w:spacing w:val="0"/>
          <w:sz w:val="32"/>
          <w:szCs w:val="32"/>
          <w:u w:val="none"/>
          <w:shd w:val="clear" w:color="auto" w:fill="FFFFFF"/>
        </w:rPr>
        <w:t>、事业收入：指事业单位开展专业业务活动及辅助活动取得的收入。</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3</w:t>
      </w:r>
      <w:r>
        <w:rPr>
          <w:rFonts w:hint="eastAsia" w:ascii="仿宋" w:hAnsi="仿宋" w:eastAsia="仿宋" w:cs="仿宋"/>
          <w:i w:val="0"/>
          <w:iCs w:val="0"/>
          <w:caps w:val="0"/>
          <w:color w:val="000000"/>
          <w:spacing w:val="0"/>
          <w:sz w:val="32"/>
          <w:szCs w:val="32"/>
          <w:u w:val="none"/>
          <w:shd w:val="clear" w:color="auto" w:fill="FFFFFF"/>
        </w:rPr>
        <w:t>、经营收入：指事业单位在专业业务活动及其辅助活动之外开展非独立核算经营活动取得的收入。</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4</w:t>
      </w:r>
      <w:r>
        <w:rPr>
          <w:rFonts w:hint="eastAsia" w:ascii="仿宋" w:hAnsi="仿宋" w:eastAsia="仿宋" w:cs="仿宋"/>
          <w:i w:val="0"/>
          <w:iCs w:val="0"/>
          <w:caps w:val="0"/>
          <w:color w:val="000000"/>
          <w:spacing w:val="0"/>
          <w:sz w:val="32"/>
          <w:szCs w:val="32"/>
          <w:u w:val="none"/>
          <w:shd w:val="clear" w:color="auto" w:fill="FFFFFF"/>
        </w:rPr>
        <w:t>、其他收入：指除上述“财政拨款收入”、“事业收入”、“经营收入”等以外的收入。</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5</w:t>
      </w:r>
      <w:r>
        <w:rPr>
          <w:rFonts w:hint="eastAsia" w:ascii="仿宋" w:hAnsi="仿宋" w:eastAsia="仿宋" w:cs="仿宋"/>
          <w:i w:val="0"/>
          <w:iCs w:val="0"/>
          <w:caps w:val="0"/>
          <w:color w:val="000000"/>
          <w:spacing w:val="0"/>
          <w:sz w:val="32"/>
          <w:szCs w:val="32"/>
          <w:u w:val="none"/>
          <w:shd w:val="clear" w:color="auto" w:fill="FFFFFF"/>
        </w:rPr>
        <w:t>、用事业基金弥补收支差额：指事业单位在当年的“财政拨款收入”、“事业收入”、“经营收入”、“其他收入”不足以安排当年支出的情况下，使用以前年积累的事业基金（事业单位当年收支相抵后按国家规定提取、用于弥补以后年收支差额的基金）弥补本年收支缺口的资金。</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6</w:t>
      </w:r>
      <w:r>
        <w:rPr>
          <w:rFonts w:hint="eastAsia" w:ascii="仿宋" w:hAnsi="仿宋" w:eastAsia="仿宋" w:cs="仿宋"/>
          <w:i w:val="0"/>
          <w:iCs w:val="0"/>
          <w:caps w:val="0"/>
          <w:color w:val="000000"/>
          <w:spacing w:val="0"/>
          <w:sz w:val="32"/>
          <w:szCs w:val="32"/>
          <w:u w:val="none"/>
          <w:shd w:val="clear" w:color="auto" w:fill="FFFFFF"/>
        </w:rPr>
        <w:t>、上年结转：指以前年尚未完成、结转到本年按有关规定继续使用的资金。</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eastAsia" w:ascii="仿宋" w:hAnsi="仿宋" w:eastAsia="仿宋" w:cs="仿宋"/>
          <w:i w:val="0"/>
          <w:iCs w:val="0"/>
          <w:caps w:val="0"/>
          <w:color w:val="000000"/>
          <w:spacing w:val="0"/>
          <w:sz w:val="32"/>
          <w:szCs w:val="32"/>
          <w:u w:val="none"/>
          <w:shd w:val="clear" w:color="auto" w:fill="FFFFFF"/>
        </w:rPr>
        <w:t>二、支出科目</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1</w:t>
      </w:r>
      <w:r>
        <w:rPr>
          <w:rFonts w:hint="eastAsia" w:ascii="仿宋" w:hAnsi="仿宋" w:eastAsia="仿宋" w:cs="仿宋"/>
          <w:i w:val="0"/>
          <w:iCs w:val="0"/>
          <w:caps w:val="0"/>
          <w:color w:val="000000"/>
          <w:spacing w:val="0"/>
          <w:sz w:val="32"/>
          <w:szCs w:val="32"/>
          <w:u w:val="none"/>
          <w:shd w:val="clear" w:color="auto" w:fill="FFFFFF"/>
        </w:rPr>
        <w:t>、基本支出：是为保障其机构正常运转、完成日常工作任务而发生的人员支出和公用支出。</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2</w:t>
      </w:r>
      <w:r>
        <w:rPr>
          <w:rFonts w:hint="eastAsia" w:ascii="仿宋" w:hAnsi="仿宋" w:eastAsia="仿宋" w:cs="仿宋"/>
          <w:i w:val="0"/>
          <w:iCs w:val="0"/>
          <w:caps w:val="0"/>
          <w:color w:val="000000"/>
          <w:spacing w:val="0"/>
          <w:sz w:val="32"/>
          <w:szCs w:val="32"/>
          <w:u w:val="none"/>
          <w:shd w:val="clear" w:color="auto" w:fill="FFFFFF"/>
        </w:rPr>
        <w:t>、项目支出：是指在基本支出之外完成特定行政任务和事业发展目标所发生的支出。</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3</w:t>
      </w:r>
      <w:r>
        <w:rPr>
          <w:rFonts w:hint="eastAsia" w:ascii="仿宋" w:hAnsi="仿宋" w:eastAsia="仿宋" w:cs="仿宋"/>
          <w:i w:val="0"/>
          <w:iCs w:val="0"/>
          <w:caps w:val="0"/>
          <w:color w:val="000000"/>
          <w:spacing w:val="0"/>
          <w:sz w:val="32"/>
          <w:szCs w:val="32"/>
          <w:u w:val="none"/>
          <w:shd w:val="clear" w:color="auto" w:fill="FFFFFF"/>
        </w:rPr>
        <w:t>、工资福利支出：反映单位开支的在职职工和编制外长期聘用人员的各类劳动报酬，以及为上述人员缴纳的各项社会保险费等。</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4</w:t>
      </w:r>
      <w:r>
        <w:rPr>
          <w:rFonts w:hint="eastAsia" w:ascii="仿宋" w:hAnsi="仿宋" w:eastAsia="仿宋" w:cs="仿宋"/>
          <w:i w:val="0"/>
          <w:iCs w:val="0"/>
          <w:caps w:val="0"/>
          <w:color w:val="000000"/>
          <w:spacing w:val="0"/>
          <w:sz w:val="32"/>
          <w:szCs w:val="32"/>
          <w:u w:val="none"/>
          <w:shd w:val="clear" w:color="auto" w:fill="FFFFFF"/>
        </w:rPr>
        <w:t>、商品和服务支出：反映单位购买商品和服务的支出。</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5</w:t>
      </w:r>
      <w:r>
        <w:rPr>
          <w:rFonts w:hint="eastAsia" w:ascii="仿宋" w:hAnsi="仿宋" w:eastAsia="仿宋" w:cs="仿宋"/>
          <w:i w:val="0"/>
          <w:iCs w:val="0"/>
          <w:caps w:val="0"/>
          <w:color w:val="000000"/>
          <w:spacing w:val="0"/>
          <w:sz w:val="32"/>
          <w:szCs w:val="32"/>
          <w:u w:val="none"/>
          <w:shd w:val="clear" w:color="auto" w:fill="FFFFFF"/>
        </w:rPr>
        <w:t>、对个人和家庭的补助：反映单位用于对个人和家庭的补助支出。</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default" w:ascii="仿宋" w:hAnsi="仿宋" w:eastAsia="仿宋" w:cs="仿宋"/>
          <w:i w:val="0"/>
          <w:iCs w:val="0"/>
          <w:caps w:val="0"/>
          <w:color w:val="000000"/>
          <w:spacing w:val="0"/>
          <w:sz w:val="32"/>
          <w:szCs w:val="32"/>
          <w:u w:val="none"/>
          <w:shd w:val="clear" w:color="auto" w:fill="FFFFFF"/>
        </w:rPr>
      </w:pPr>
      <w:r>
        <w:rPr>
          <w:rFonts w:hint="eastAsia" w:ascii="仿宋" w:hAnsi="仿宋" w:eastAsia="仿宋" w:cs="仿宋"/>
          <w:i w:val="0"/>
          <w:iCs w:val="0"/>
          <w:caps w:val="0"/>
          <w:color w:val="000000"/>
          <w:spacing w:val="0"/>
          <w:sz w:val="32"/>
          <w:szCs w:val="32"/>
          <w:u w:val="none"/>
          <w:shd w:val="clear" w:color="auto" w:fill="FFFFFF"/>
        </w:rPr>
        <w:t>三、机关运行经费：是指各部门的公用经费，包括办公费、印刷费、邮电费、差旅费、会议费、福利费、日常维修费、专用材料及一般设备购置费、办公用房水电费、办公用房取暖费、办公用房物业管理费、公务用车运行维护费以及其他费用。</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仿宋" w:hAnsi="仿宋" w:eastAsia="仿宋" w:cs="仿宋"/>
          <w:i w:val="0"/>
          <w:iCs w:val="0"/>
          <w:caps w:val="0"/>
          <w:color w:val="000000"/>
          <w:spacing w:val="0"/>
          <w:sz w:val="32"/>
          <w:szCs w:val="32"/>
          <w:u w:val="none"/>
          <w:shd w:val="clear" w:color="auto" w:fill="FFFFFF"/>
        </w:rPr>
      </w:pPr>
      <w:r>
        <w:rPr>
          <w:rFonts w:hint="eastAsia" w:ascii="仿宋" w:hAnsi="仿宋" w:eastAsia="仿宋" w:cs="仿宋"/>
          <w:i w:val="0"/>
          <w:iCs w:val="0"/>
          <w:caps w:val="0"/>
          <w:color w:val="000000"/>
          <w:spacing w:val="0"/>
          <w:sz w:val="32"/>
          <w:szCs w:val="32"/>
          <w:u w:val="none"/>
          <w:shd w:val="clear" w:color="auto" w:fill="FFFFFF"/>
        </w:rPr>
        <w:t>四、“三公”经费科目</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1</w:t>
      </w:r>
      <w:r>
        <w:rPr>
          <w:rFonts w:hint="eastAsia" w:ascii="仿宋" w:hAnsi="仿宋" w:eastAsia="仿宋" w:cs="仿宋"/>
          <w:i w:val="0"/>
          <w:iCs w:val="0"/>
          <w:caps w:val="0"/>
          <w:color w:val="000000"/>
          <w:spacing w:val="0"/>
          <w:sz w:val="32"/>
          <w:szCs w:val="32"/>
          <w:u w:val="none"/>
          <w:shd w:val="clear" w:color="auto" w:fill="FFFFFF"/>
        </w:rPr>
        <w:t>、因公出国（境）费用：反映单位公务出国（境）的国际旅费、国内城市间交通费、住宿费、伙食费、培训费、公杂费等支出。</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仿宋" w:hAnsi="仿宋" w:eastAsia="仿宋" w:cs="仿宋"/>
          <w:i w:val="0"/>
          <w:iCs w:val="0"/>
          <w:caps w:val="0"/>
          <w:color w:val="000000"/>
          <w:spacing w:val="0"/>
          <w:sz w:val="32"/>
          <w:szCs w:val="32"/>
          <w:u w:val="none"/>
          <w:shd w:val="clear" w:color="auto" w:fill="FFFFFF"/>
        </w:rPr>
      </w:pPr>
      <w:r>
        <w:rPr>
          <w:rFonts w:hint="default" w:ascii="Times New Roman" w:hAnsi="Times New Roman" w:eastAsia="宋体" w:cs="Times New Roman"/>
          <w:i w:val="0"/>
          <w:iCs w:val="0"/>
          <w:caps w:val="0"/>
          <w:color w:val="333333"/>
          <w:spacing w:val="0"/>
          <w:sz w:val="32"/>
          <w:szCs w:val="32"/>
          <w:u w:val="none"/>
          <w:shd w:val="clear" w:color="auto" w:fill="FFFFFF"/>
        </w:rPr>
        <w:t>2</w:t>
      </w:r>
      <w:r>
        <w:rPr>
          <w:rFonts w:hint="eastAsia" w:ascii="仿宋" w:hAnsi="仿宋" w:eastAsia="仿宋" w:cs="仿宋"/>
          <w:i w:val="0"/>
          <w:iCs w:val="0"/>
          <w:caps w:val="0"/>
          <w:color w:val="000000"/>
          <w:spacing w:val="0"/>
          <w:sz w:val="32"/>
          <w:szCs w:val="32"/>
          <w:u w:val="none"/>
          <w:shd w:val="clear" w:color="auto" w:fill="FFFFFF"/>
        </w:rPr>
        <w:t>、公务接待费：反映单位按规定开支的各类公务接待（含外宾接待）费用。</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仿宋" w:hAnsi="仿宋" w:eastAsia="仿宋" w:cs="仿宋"/>
          <w:i w:val="0"/>
          <w:iCs w:val="0"/>
          <w:caps w:val="0"/>
          <w:color w:val="000000"/>
          <w:spacing w:val="0"/>
          <w:sz w:val="32"/>
          <w:szCs w:val="32"/>
          <w:u w:val="none"/>
          <w:shd w:val="clear" w:color="auto" w:fill="FFFFFF"/>
        </w:rPr>
      </w:pPr>
      <w:r>
        <w:rPr>
          <w:rFonts w:hint="default" w:ascii="仿宋" w:hAnsi="仿宋" w:eastAsia="仿宋" w:cs="仿宋"/>
          <w:i w:val="0"/>
          <w:iCs w:val="0"/>
          <w:caps w:val="0"/>
          <w:color w:val="000000"/>
          <w:spacing w:val="0"/>
          <w:sz w:val="32"/>
          <w:szCs w:val="32"/>
          <w:u w:val="none"/>
          <w:shd w:val="clear" w:color="auto" w:fill="FFFFFF"/>
        </w:rPr>
        <w:t>3</w:t>
      </w:r>
      <w:r>
        <w:rPr>
          <w:rFonts w:hint="eastAsia" w:ascii="仿宋" w:hAnsi="仿宋" w:eastAsia="仿宋" w:cs="仿宋"/>
          <w:i w:val="0"/>
          <w:iCs w:val="0"/>
          <w:caps w:val="0"/>
          <w:color w:val="000000"/>
          <w:spacing w:val="0"/>
          <w:sz w:val="32"/>
          <w:szCs w:val="32"/>
          <w:u w:val="none"/>
          <w:shd w:val="clear" w:color="auto" w:fill="FFFFFF"/>
        </w:rPr>
        <w:t>、公务用车购置及运行维护费：反映单位公务用车车辆购置支出（含车辆购置税），以及燃料费、维修费、过路过桥费、保险费等支出。</w:t>
      </w:r>
    </w:p>
    <w:p>
      <w:pPr>
        <w:pStyle w:val="16"/>
        <w:jc w:val="center"/>
        <w:rPr>
          <w:rFonts w:ascii="Times New Roman" w:hAnsi="Times New Roman" w:cs="Times New Roman"/>
          <w:sz w:val="72"/>
          <w:szCs w:val="72"/>
        </w:rPr>
      </w:pPr>
    </w:p>
    <w:p>
      <w:pPr>
        <w:pStyle w:val="16"/>
        <w:jc w:val="center"/>
        <w:rPr>
          <w:rFonts w:ascii="Times New Roman" w:hAnsi="Times New Roman" w:cs="Times New Roman"/>
          <w:sz w:val="72"/>
          <w:szCs w:val="72"/>
        </w:rPr>
      </w:pPr>
    </w:p>
    <w:p>
      <w:pPr>
        <w:pStyle w:val="16"/>
        <w:jc w:val="both"/>
        <w:rPr>
          <w:rFonts w:ascii="Times New Roman" w:hAnsi="Times New Roman" w:cs="Times New Roman"/>
          <w:sz w:val="72"/>
          <w:szCs w:val="72"/>
        </w:rPr>
      </w:pPr>
    </w:p>
    <w:p>
      <w:pPr>
        <w:pStyle w:val="16"/>
        <w:spacing w:line="360" w:lineRule="auto"/>
        <w:jc w:val="center"/>
        <w:rPr>
          <w:rFonts w:ascii="Times New Roman" w:hAnsi="Times New Roman" w:cs="Times New Roman"/>
          <w:sz w:val="72"/>
          <w:szCs w:val="72"/>
        </w:rPr>
      </w:pPr>
      <w:r>
        <w:rPr>
          <w:rFonts w:ascii="Times New Roman" w:hAnsi="Times New Roman" w:eastAsia="方正小标宋_GBK" w:cs="Times New Roman"/>
          <w:sz w:val="52"/>
          <w:szCs w:val="52"/>
        </w:rPr>
        <w:t>第五部分   附 件</w:t>
      </w:r>
    </w:p>
    <w:p>
      <w:pPr>
        <w:rPr>
          <w:rFonts w:hint="eastAsia" w:ascii="黑体" w:hAnsi="黑体" w:eastAsia="黑体" w:cs="黑体"/>
          <w:sz w:val="32"/>
          <w:szCs w:val="32"/>
          <w:lang w:val="en-US" w:eastAsia="zh-CN"/>
        </w:rPr>
      </w:pPr>
    </w:p>
    <w:p>
      <w:pPr>
        <w:rPr>
          <w:rFonts w:ascii="方正小标宋简体" w:hAnsi="方正小标宋简体" w:eastAsia="方正小标宋简体" w:cs="方正小标宋简体"/>
          <w:sz w:val="36"/>
          <w:szCs w:val="36"/>
        </w:rPr>
      </w:pPr>
    </w:p>
    <w:p>
      <w:pPr>
        <w:jc w:val="center"/>
        <w:rPr>
          <w:rFonts w:hint="eastAsia" w:ascii="方正小标宋简体" w:hAnsi="方正小标宋简体" w:eastAsia="方正小标宋简体" w:cs="方正小标宋简体"/>
          <w:sz w:val="40"/>
          <w:szCs w:val="40"/>
        </w:rPr>
      </w:pPr>
    </w:p>
    <w:p>
      <w:pPr>
        <w:rPr>
          <w:rFonts w:ascii="方正小标宋简体" w:hAnsi="方正小标宋简体" w:eastAsia="方正小标宋简体" w:cs="方正小标宋简体"/>
          <w:sz w:val="36"/>
          <w:szCs w:val="36"/>
        </w:rPr>
      </w:pPr>
    </w:p>
    <w:p>
      <w:pPr>
        <w:spacing w:afterLines="100"/>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br w:type="page"/>
      </w:r>
    </w:p>
    <w:p>
      <w:pPr>
        <w:keepNext w:val="0"/>
        <w:keepLines w:val="0"/>
        <w:pageBreakBefore w:val="0"/>
        <w:wordWrap/>
        <w:overflowPunct/>
        <w:topLinePunct w:val="0"/>
        <w:bidi w:val="0"/>
        <w:spacing w:line="540" w:lineRule="exact"/>
        <w:ind w:firstLine="800" w:firstLineChars="200"/>
        <w:jc w:val="center"/>
        <w:textAlignment w:val="auto"/>
        <w:rPr>
          <w:rFonts w:hint="default" w:ascii="Times New Roman" w:hAnsi="Times New Roman" w:eastAsia="仿宋_GB2312" w:cs="Times New Roman"/>
          <w:b/>
          <w:color w:val="000000"/>
          <w:kern w:val="0"/>
          <w:sz w:val="36"/>
          <w:szCs w:val="36"/>
        </w:rPr>
      </w:pPr>
      <w:r>
        <w:rPr>
          <w:rFonts w:hint="default" w:ascii="方正小标宋简体" w:hAnsi="方正小标宋简体" w:eastAsia="方正小标宋简体" w:cs="方正小标宋简体"/>
          <w:sz w:val="40"/>
          <w:szCs w:val="40"/>
          <w:lang w:eastAsia="zh-CN"/>
        </w:rPr>
        <w:t>2024</w:t>
      </w:r>
      <w:r>
        <w:rPr>
          <w:rFonts w:hint="default" w:ascii="方正小标宋简体" w:hAnsi="方正小标宋简体" w:eastAsia="方正小标宋简体" w:cs="方正小标宋简体"/>
          <w:sz w:val="40"/>
          <w:szCs w:val="40"/>
        </w:rPr>
        <w:t>年</w:t>
      </w:r>
      <w:r>
        <w:rPr>
          <w:rFonts w:hint="default" w:ascii="方正小标宋简体" w:hAnsi="方正小标宋简体" w:eastAsia="方正小标宋简体" w:cs="方正小标宋简体"/>
          <w:sz w:val="40"/>
          <w:szCs w:val="40"/>
          <w:lang w:eastAsia="zh-CN"/>
        </w:rPr>
        <w:t>度部门</w:t>
      </w:r>
      <w:r>
        <w:rPr>
          <w:rFonts w:hint="default" w:ascii="方正小标宋简体" w:hAnsi="方正小标宋简体" w:eastAsia="方正小标宋简体" w:cs="方正小标宋简体"/>
          <w:sz w:val="40"/>
          <w:szCs w:val="40"/>
        </w:rPr>
        <w:t>整体支出绩效</w:t>
      </w:r>
      <w:r>
        <w:rPr>
          <w:rFonts w:hint="default" w:ascii="方正小标宋简体" w:hAnsi="方正小标宋简体" w:eastAsia="方正小标宋简体" w:cs="方正小标宋简体"/>
          <w:sz w:val="40"/>
          <w:szCs w:val="40"/>
          <w:lang w:val="en-US" w:eastAsia="zh-CN"/>
        </w:rPr>
        <w:t>自评</w:t>
      </w:r>
      <w:r>
        <w:rPr>
          <w:rFonts w:hint="default" w:ascii="方正小标宋简体" w:hAnsi="方正小标宋简体" w:eastAsia="方正小标宋简体" w:cs="方正小标宋简体"/>
          <w:sz w:val="40"/>
          <w:szCs w:val="40"/>
        </w:rPr>
        <w:t>报告</w:t>
      </w:r>
    </w:p>
    <w:p>
      <w:pPr>
        <w:keepNext w:val="0"/>
        <w:keepLines w:val="0"/>
        <w:pageBreakBefore w:val="0"/>
        <w:widowControl w:val="0"/>
        <w:kinsoku/>
        <w:wordWrap/>
        <w:overflowPunct/>
        <w:topLinePunct w:val="0"/>
        <w:autoSpaceDE/>
        <w:autoSpaceDN/>
        <w:bidi w:val="0"/>
        <w:adjustRightInd/>
        <w:snapToGrid/>
        <w:spacing w:after="251" w:afterLines="80"/>
        <w:jc w:val="center"/>
        <w:textAlignment w:val="auto"/>
        <w:rPr>
          <w:sz w:val="40"/>
          <w:szCs w:val="40"/>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一、部门概况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一</w:t>
      </w: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部门</w:t>
      </w:r>
      <w:r>
        <w:rPr>
          <w:rFonts w:hint="eastAsia" w:ascii="Times New Roman" w:hAnsi="Times New Roman" w:eastAsia="楷体_GB2312" w:cs="Times New Roman"/>
          <w:b/>
          <w:bCs/>
          <w:sz w:val="32"/>
          <w:szCs w:val="32"/>
          <w:lang w:eastAsia="zh-CN"/>
        </w:rPr>
        <w:t>职责</w:t>
      </w:r>
    </w:p>
    <w:p>
      <w:pPr>
        <w:pStyle w:val="17"/>
        <w:keepNext w:val="0"/>
        <w:keepLines w:val="0"/>
        <w:pageBreakBefore w:val="0"/>
        <w:numPr>
          <w:ilvl w:val="0"/>
          <w:numId w:val="0"/>
        </w:numPr>
        <w:kinsoku/>
        <w:wordWrap/>
        <w:overflowPunct/>
        <w:topLinePunct w:val="0"/>
        <w:autoSpaceDE/>
        <w:autoSpaceDN/>
        <w:bidi w:val="0"/>
        <w:adjustRightInd/>
        <w:snapToGrid/>
        <w:spacing w:beforeAutospacing="0" w:line="560" w:lineRule="exact"/>
        <w:ind w:left="0" w:leftChars="0" w:right="0" w:rightChars="0" w:firstLine="600" w:firstLineChars="200"/>
        <w:jc w:val="both"/>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val="en-US" w:eastAsia="zh-CN"/>
        </w:rPr>
        <w:t>1、</w:t>
      </w:r>
      <w:r>
        <w:rPr>
          <w:rFonts w:hint="eastAsia" w:ascii="仿宋_GB2312" w:hAnsi="仿宋_GB2312" w:eastAsia="仿宋_GB2312" w:cs="仿宋_GB2312"/>
          <w:color w:val="auto"/>
          <w:sz w:val="30"/>
          <w:szCs w:val="30"/>
          <w:lang w:eastAsia="zh-CN"/>
        </w:rPr>
        <w:t>负责市场综合监督管理。贯彻执行国家、省、市有关市场监督管理的方针政策和法律法规，起草市场监督管理地方性法规、规范性文件草案，组织实施质量强市战略、食品安全战略、标准化战略和知识产权战略，拟订并组织实施有关规划，规范和维护市场秩序，营造诚实守信、公平竞争的市场环境。</w:t>
      </w:r>
    </w:p>
    <w:p>
      <w:pPr>
        <w:pStyle w:val="17"/>
        <w:keepNext w:val="0"/>
        <w:keepLines w:val="0"/>
        <w:pageBreakBefore w:val="0"/>
        <w:numPr>
          <w:ilvl w:val="0"/>
          <w:numId w:val="0"/>
        </w:numPr>
        <w:kinsoku/>
        <w:wordWrap/>
        <w:overflowPunct/>
        <w:topLinePunct w:val="0"/>
        <w:autoSpaceDE/>
        <w:autoSpaceDN/>
        <w:bidi w:val="0"/>
        <w:adjustRightInd/>
        <w:snapToGrid/>
        <w:spacing w:beforeAutospacing="0" w:line="560" w:lineRule="exact"/>
        <w:ind w:left="0" w:leftChars="0" w:right="0" w:rightChars="0" w:firstLine="600" w:firstLineChars="200"/>
        <w:jc w:val="both"/>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val="en-US" w:eastAsia="zh-CN"/>
        </w:rPr>
        <w:t>2、</w:t>
      </w:r>
      <w:r>
        <w:rPr>
          <w:rFonts w:hint="eastAsia" w:ascii="仿宋_GB2312" w:hAnsi="仿宋_GB2312" w:eastAsia="仿宋_GB2312" w:cs="仿宋_GB2312"/>
          <w:color w:val="auto"/>
          <w:sz w:val="30"/>
          <w:szCs w:val="30"/>
          <w:lang w:eastAsia="zh-CN"/>
        </w:rPr>
        <w:t>负责市场主体统一登记注册。负责全市各类企业、农民专业合作社和从事经营活动的单位、个体工商户等市场主体的登记注册和监督管理工作。建立市场主体信息公示和共享机制，依法公示和共享有关信息，加强信用监管，推动市场主体信用体系建设。</w:t>
      </w:r>
    </w:p>
    <w:p>
      <w:pPr>
        <w:pStyle w:val="17"/>
        <w:keepNext w:val="0"/>
        <w:keepLines w:val="0"/>
        <w:pageBreakBefore w:val="0"/>
        <w:numPr>
          <w:ilvl w:val="0"/>
          <w:numId w:val="0"/>
        </w:numPr>
        <w:kinsoku/>
        <w:wordWrap/>
        <w:overflowPunct/>
        <w:topLinePunct w:val="0"/>
        <w:autoSpaceDE/>
        <w:autoSpaceDN/>
        <w:bidi w:val="0"/>
        <w:adjustRightInd/>
        <w:snapToGrid/>
        <w:spacing w:beforeAutospacing="0" w:line="560" w:lineRule="exact"/>
        <w:ind w:left="0" w:leftChars="0" w:right="0" w:rightChars="0" w:firstLine="600" w:firstLineChars="200"/>
        <w:jc w:val="both"/>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val="en-US" w:eastAsia="zh-CN"/>
        </w:rPr>
        <w:t>3、</w:t>
      </w:r>
      <w:r>
        <w:rPr>
          <w:rFonts w:hint="eastAsia" w:ascii="仿宋_GB2312" w:hAnsi="仿宋_GB2312" w:eastAsia="仿宋_GB2312" w:cs="仿宋_GB2312"/>
          <w:color w:val="auto"/>
          <w:sz w:val="30"/>
          <w:szCs w:val="30"/>
          <w:lang w:eastAsia="zh-CN"/>
        </w:rPr>
        <w:t>负责权限范围内食品、药品、医疗器械、化妆品、特种设备、计量器具的许可管理。负责权限内食品生产、流通和餐饮服务环节的行政许可。负责权限内药品流通环节的行政许可。负责权限内医疗器械备案及医疗器械经营环节的行政许可。负责权限内特种设备、计量器具的行政许可及备案工作。</w:t>
      </w:r>
    </w:p>
    <w:p>
      <w:pPr>
        <w:pStyle w:val="17"/>
        <w:keepNext w:val="0"/>
        <w:keepLines w:val="0"/>
        <w:pageBreakBefore w:val="0"/>
        <w:numPr>
          <w:ilvl w:val="0"/>
          <w:numId w:val="0"/>
        </w:numPr>
        <w:kinsoku/>
        <w:wordWrap/>
        <w:overflowPunct/>
        <w:topLinePunct w:val="0"/>
        <w:autoSpaceDE/>
        <w:autoSpaceDN/>
        <w:bidi w:val="0"/>
        <w:adjustRightInd/>
        <w:snapToGrid/>
        <w:spacing w:beforeAutospacing="0" w:line="560" w:lineRule="exact"/>
        <w:ind w:left="0" w:leftChars="0" w:right="0" w:rightChars="0" w:firstLine="600" w:firstLineChars="200"/>
        <w:jc w:val="both"/>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val="en-US" w:eastAsia="zh-CN"/>
        </w:rPr>
        <w:t>4、</w:t>
      </w:r>
      <w:r>
        <w:rPr>
          <w:rFonts w:hint="eastAsia" w:ascii="仿宋_GB2312" w:hAnsi="仿宋_GB2312" w:eastAsia="仿宋_GB2312" w:cs="仿宋_GB2312"/>
          <w:color w:val="auto"/>
          <w:sz w:val="30"/>
          <w:szCs w:val="30"/>
          <w:lang w:eastAsia="zh-CN"/>
        </w:rPr>
        <w:t>负责组织和指导市场监管综合执法工作。指导全市市场监管综合执法队伍整合和建设，推动实行统一的市场监管。组织查处重大违法案件。规范市场监管行政执法行为。</w:t>
      </w:r>
    </w:p>
    <w:p>
      <w:pPr>
        <w:pStyle w:val="17"/>
        <w:keepNext w:val="0"/>
        <w:keepLines w:val="0"/>
        <w:pageBreakBefore w:val="0"/>
        <w:numPr>
          <w:ilvl w:val="0"/>
          <w:numId w:val="0"/>
        </w:numPr>
        <w:kinsoku/>
        <w:wordWrap/>
        <w:overflowPunct/>
        <w:topLinePunct w:val="0"/>
        <w:autoSpaceDE/>
        <w:autoSpaceDN/>
        <w:bidi w:val="0"/>
        <w:adjustRightInd/>
        <w:snapToGrid/>
        <w:spacing w:beforeAutospacing="0" w:line="560" w:lineRule="exact"/>
        <w:ind w:left="0" w:leftChars="0" w:right="0" w:rightChars="0" w:firstLine="600" w:firstLineChars="200"/>
        <w:jc w:val="both"/>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val="en-US" w:eastAsia="zh-CN"/>
        </w:rPr>
        <w:t>5、</w:t>
      </w:r>
      <w:r>
        <w:rPr>
          <w:rFonts w:hint="eastAsia" w:ascii="仿宋_GB2312" w:hAnsi="仿宋_GB2312" w:eastAsia="仿宋_GB2312" w:cs="仿宋_GB2312"/>
          <w:color w:val="auto"/>
          <w:sz w:val="30"/>
          <w:szCs w:val="30"/>
          <w:lang w:eastAsia="zh-CN"/>
        </w:rPr>
        <w:t>根据上级委托负责反垄断工作。统筹推进竞争政策实施，组织实施公平竞争审查制度。根据委托依法对经营者集中行为进行反垄断审查，根据委托负责承担垄断协议、滥用市场支配地位和滥用行政权力排除、限制竞争等反垄断执法工作。</w:t>
      </w:r>
    </w:p>
    <w:p>
      <w:pPr>
        <w:pStyle w:val="17"/>
        <w:keepNext w:val="0"/>
        <w:keepLines w:val="0"/>
        <w:pageBreakBefore w:val="0"/>
        <w:numPr>
          <w:ilvl w:val="0"/>
          <w:numId w:val="0"/>
        </w:numPr>
        <w:kinsoku/>
        <w:wordWrap/>
        <w:overflowPunct/>
        <w:topLinePunct w:val="0"/>
        <w:autoSpaceDE/>
        <w:autoSpaceDN/>
        <w:bidi w:val="0"/>
        <w:adjustRightInd/>
        <w:snapToGrid/>
        <w:spacing w:beforeAutospacing="0" w:line="560" w:lineRule="exact"/>
        <w:ind w:left="0" w:leftChars="0" w:right="0" w:rightChars="0" w:firstLine="600" w:firstLineChars="200"/>
        <w:jc w:val="both"/>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val="en-US" w:eastAsia="zh-CN"/>
        </w:rPr>
        <w:t>6、</w:t>
      </w:r>
      <w:r>
        <w:rPr>
          <w:rFonts w:hint="eastAsia" w:ascii="仿宋_GB2312" w:hAnsi="仿宋_GB2312" w:eastAsia="仿宋_GB2312" w:cs="仿宋_GB2312"/>
          <w:color w:val="auto"/>
          <w:sz w:val="30"/>
          <w:szCs w:val="30"/>
          <w:lang w:eastAsia="zh-CN"/>
        </w:rPr>
        <w:t>负责监督管理市场秩序。依法监督管理市场交易、网络商品交易及有关服务的行为。组织指导查处价格收费违法违规、不正当竞争、违法直销、传销、侵犯商标专利知识产权和制售假冒伪劣行为。指导广告业的发展，监督管理广告活动。指导依法查处无照生产经营和相关无证生产经营行为。</w:t>
      </w:r>
    </w:p>
    <w:p>
      <w:pPr>
        <w:pStyle w:val="17"/>
        <w:keepNext w:val="0"/>
        <w:keepLines w:val="0"/>
        <w:pageBreakBefore w:val="0"/>
        <w:numPr>
          <w:ilvl w:val="0"/>
          <w:numId w:val="0"/>
        </w:numPr>
        <w:kinsoku/>
        <w:wordWrap/>
        <w:overflowPunct/>
        <w:topLinePunct w:val="0"/>
        <w:autoSpaceDE/>
        <w:autoSpaceDN/>
        <w:bidi w:val="0"/>
        <w:adjustRightInd/>
        <w:snapToGrid/>
        <w:spacing w:beforeAutospacing="0" w:line="560" w:lineRule="exact"/>
        <w:ind w:left="0" w:leftChars="0" w:right="0" w:rightChars="0" w:firstLine="600" w:firstLineChars="200"/>
        <w:jc w:val="both"/>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val="en-US" w:eastAsia="zh-CN"/>
        </w:rPr>
        <w:t>7、</w:t>
      </w:r>
      <w:r>
        <w:rPr>
          <w:rFonts w:hint="eastAsia" w:ascii="仿宋_GB2312" w:hAnsi="仿宋_GB2312" w:eastAsia="仿宋_GB2312" w:cs="仿宋_GB2312"/>
          <w:color w:val="auto"/>
          <w:sz w:val="30"/>
          <w:szCs w:val="30"/>
          <w:lang w:eastAsia="zh-CN"/>
        </w:rPr>
        <w:t>负责宏观质量管理。拟订并组织实施质量强市发展的制度措施，会同有关部门组织实施较大工程设备质量监理制度，组织较大产品质量事故调查，贯彻实施缺陷产品召回制度，监督管理产品防伪工作。</w:t>
      </w:r>
    </w:p>
    <w:p>
      <w:pPr>
        <w:pStyle w:val="17"/>
        <w:keepNext w:val="0"/>
        <w:keepLines w:val="0"/>
        <w:pageBreakBefore w:val="0"/>
        <w:numPr>
          <w:ilvl w:val="0"/>
          <w:numId w:val="0"/>
        </w:numPr>
        <w:kinsoku/>
        <w:wordWrap/>
        <w:overflowPunct/>
        <w:topLinePunct w:val="0"/>
        <w:autoSpaceDE/>
        <w:autoSpaceDN/>
        <w:bidi w:val="0"/>
        <w:adjustRightInd/>
        <w:snapToGrid/>
        <w:spacing w:beforeAutospacing="0" w:line="560" w:lineRule="exact"/>
        <w:ind w:left="0" w:leftChars="0" w:right="0" w:rightChars="0" w:firstLine="600" w:firstLineChars="200"/>
        <w:jc w:val="both"/>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val="en-US" w:eastAsia="zh-CN"/>
        </w:rPr>
        <w:t>8、</w:t>
      </w:r>
      <w:r>
        <w:rPr>
          <w:rFonts w:hint="eastAsia" w:ascii="仿宋_GB2312" w:hAnsi="仿宋_GB2312" w:eastAsia="仿宋_GB2312" w:cs="仿宋_GB2312"/>
          <w:color w:val="auto"/>
          <w:sz w:val="30"/>
          <w:szCs w:val="30"/>
          <w:lang w:eastAsia="zh-CN"/>
        </w:rPr>
        <w:t>负责产品质量安全监督管理。管理产品质量安全风险监控、全市监督抽查工作，落实质量分级制度、质量安全追溯制度。负责工业产品生产许可管理。负责纤维质量监督工作。</w:t>
      </w:r>
    </w:p>
    <w:p>
      <w:pPr>
        <w:pStyle w:val="17"/>
        <w:keepNext w:val="0"/>
        <w:keepLines w:val="0"/>
        <w:pageBreakBefore w:val="0"/>
        <w:numPr>
          <w:ilvl w:val="0"/>
          <w:numId w:val="0"/>
        </w:numPr>
        <w:kinsoku/>
        <w:wordWrap/>
        <w:overflowPunct/>
        <w:topLinePunct w:val="0"/>
        <w:autoSpaceDE/>
        <w:autoSpaceDN/>
        <w:bidi w:val="0"/>
        <w:adjustRightInd/>
        <w:snapToGrid/>
        <w:spacing w:beforeAutospacing="0" w:line="560" w:lineRule="exact"/>
        <w:ind w:left="0" w:leftChars="0" w:right="0" w:rightChars="0" w:firstLine="600" w:firstLineChars="200"/>
        <w:jc w:val="both"/>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val="en-US" w:eastAsia="zh-CN"/>
        </w:rPr>
        <w:t>9、</w:t>
      </w:r>
      <w:r>
        <w:rPr>
          <w:rFonts w:hint="eastAsia" w:ascii="仿宋_GB2312" w:hAnsi="仿宋_GB2312" w:eastAsia="仿宋_GB2312" w:cs="仿宋_GB2312"/>
          <w:color w:val="auto"/>
          <w:sz w:val="30"/>
          <w:szCs w:val="30"/>
          <w:lang w:eastAsia="zh-CN"/>
        </w:rPr>
        <w:t>负责特种设备安全监督管理。综合管理特种设备安全监察、监督工作，监督检查高耗能特种设备节能标准和锅炉环境保护标准的执行情况。按规定权限组织调查处理特种设备事故并进行统计分析。</w:t>
      </w:r>
    </w:p>
    <w:p>
      <w:pPr>
        <w:pStyle w:val="17"/>
        <w:keepNext w:val="0"/>
        <w:keepLines w:val="0"/>
        <w:pageBreakBefore w:val="0"/>
        <w:numPr>
          <w:ilvl w:val="0"/>
          <w:numId w:val="0"/>
        </w:numPr>
        <w:kinsoku/>
        <w:wordWrap/>
        <w:overflowPunct/>
        <w:topLinePunct w:val="0"/>
        <w:autoSpaceDE/>
        <w:autoSpaceDN/>
        <w:bidi w:val="0"/>
        <w:adjustRightInd/>
        <w:snapToGrid/>
        <w:spacing w:beforeAutospacing="0" w:line="560" w:lineRule="exact"/>
        <w:ind w:left="0" w:leftChars="0" w:right="0" w:rightChars="0" w:firstLine="600" w:firstLineChars="200"/>
        <w:jc w:val="both"/>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val="en-US" w:eastAsia="zh-CN"/>
        </w:rPr>
        <w:t>10、</w:t>
      </w:r>
      <w:r>
        <w:rPr>
          <w:rFonts w:hint="eastAsia" w:ascii="仿宋_GB2312" w:hAnsi="仿宋_GB2312" w:eastAsia="仿宋_GB2312" w:cs="仿宋_GB2312"/>
          <w:color w:val="auto"/>
          <w:sz w:val="30"/>
          <w:szCs w:val="30"/>
          <w:lang w:eastAsia="zh-CN"/>
        </w:rPr>
        <w:t>负责食品安全监督管理综合协调。组织制定食品安全有关政策措施并组织实施。负责食品安全应急体系建设，组织指导较大食品安全事件应急处置和调查处理工作。建立健全食品安全重要信息直报制度。承担市食品安全委员会日常工作。</w:t>
      </w:r>
    </w:p>
    <w:p>
      <w:pPr>
        <w:pStyle w:val="17"/>
        <w:keepNext w:val="0"/>
        <w:keepLines w:val="0"/>
        <w:pageBreakBefore w:val="0"/>
        <w:numPr>
          <w:ilvl w:val="0"/>
          <w:numId w:val="0"/>
        </w:numPr>
        <w:kinsoku/>
        <w:wordWrap/>
        <w:overflowPunct/>
        <w:topLinePunct w:val="0"/>
        <w:autoSpaceDE/>
        <w:autoSpaceDN/>
        <w:bidi w:val="0"/>
        <w:adjustRightInd/>
        <w:snapToGrid/>
        <w:spacing w:beforeAutospacing="0" w:line="560" w:lineRule="exact"/>
        <w:ind w:left="0" w:leftChars="0" w:right="0" w:rightChars="0" w:firstLine="600" w:firstLineChars="200"/>
        <w:jc w:val="both"/>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val="en-US" w:eastAsia="zh-CN"/>
        </w:rPr>
        <w:t>11、</w:t>
      </w:r>
      <w:r>
        <w:rPr>
          <w:rFonts w:hint="eastAsia" w:ascii="仿宋_GB2312" w:hAnsi="仿宋_GB2312" w:eastAsia="仿宋_GB2312" w:cs="仿宋_GB2312"/>
          <w:color w:val="auto"/>
          <w:sz w:val="30"/>
          <w:szCs w:val="30"/>
          <w:lang w:eastAsia="zh-CN"/>
        </w:rPr>
        <w:t>负责食品安全监督管理。建立覆盖食品生产、流通、消费全过程的监督检查制度和隐患排查治理机制并组织实施，防范区域性、系统性食品安全风险。推动建立食品生产经营者落实主体责任的机制，健全食品安全追溯体系。组织开展食品安全监督抽检、风险监测、核查处置和风险预警、风险交流工作。组织实施特殊食品监督管理。负责食盐专营管理和食盐安全监督管理。</w:t>
      </w:r>
    </w:p>
    <w:p>
      <w:pPr>
        <w:pStyle w:val="17"/>
        <w:keepNext w:val="0"/>
        <w:keepLines w:val="0"/>
        <w:pageBreakBefore w:val="0"/>
        <w:numPr>
          <w:ilvl w:val="0"/>
          <w:numId w:val="0"/>
        </w:numPr>
        <w:kinsoku/>
        <w:wordWrap/>
        <w:overflowPunct/>
        <w:topLinePunct w:val="0"/>
        <w:autoSpaceDE/>
        <w:autoSpaceDN/>
        <w:bidi w:val="0"/>
        <w:adjustRightInd/>
        <w:snapToGrid/>
        <w:spacing w:beforeAutospacing="0" w:line="560" w:lineRule="exact"/>
        <w:ind w:left="0" w:leftChars="0" w:right="0" w:rightChars="0" w:firstLine="600" w:firstLineChars="200"/>
        <w:jc w:val="both"/>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val="en-US" w:eastAsia="zh-CN"/>
        </w:rPr>
        <w:t>12、</w:t>
      </w:r>
      <w:r>
        <w:rPr>
          <w:rFonts w:hint="eastAsia" w:ascii="仿宋_GB2312" w:hAnsi="仿宋_GB2312" w:eastAsia="仿宋_GB2312" w:cs="仿宋_GB2312"/>
          <w:color w:val="auto"/>
          <w:sz w:val="30"/>
          <w:szCs w:val="30"/>
          <w:lang w:eastAsia="zh-CN"/>
        </w:rPr>
        <w:t>负责统一管理计量工作。推行法定计量单位和国家计量制度，依职责管理计量器具及量值传递和比对工作。规范、监督商品量和市场计量行为。</w:t>
      </w:r>
    </w:p>
    <w:p>
      <w:pPr>
        <w:pStyle w:val="17"/>
        <w:keepNext w:val="0"/>
        <w:keepLines w:val="0"/>
        <w:pageBreakBefore w:val="0"/>
        <w:numPr>
          <w:ilvl w:val="0"/>
          <w:numId w:val="0"/>
        </w:numPr>
        <w:kinsoku/>
        <w:wordWrap/>
        <w:overflowPunct/>
        <w:topLinePunct w:val="0"/>
        <w:autoSpaceDE/>
        <w:autoSpaceDN/>
        <w:bidi w:val="0"/>
        <w:adjustRightInd/>
        <w:snapToGrid/>
        <w:spacing w:beforeAutospacing="0" w:line="560" w:lineRule="exact"/>
        <w:ind w:left="0" w:leftChars="0" w:right="0" w:rightChars="0" w:firstLine="600" w:firstLineChars="200"/>
        <w:jc w:val="both"/>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val="en-US" w:eastAsia="zh-CN"/>
        </w:rPr>
        <w:t>13、</w:t>
      </w:r>
      <w:r>
        <w:rPr>
          <w:rFonts w:hint="eastAsia" w:ascii="仿宋_GB2312" w:hAnsi="仿宋_GB2312" w:eastAsia="仿宋_GB2312" w:cs="仿宋_GB2312"/>
          <w:color w:val="auto"/>
          <w:sz w:val="30"/>
          <w:szCs w:val="30"/>
          <w:lang w:eastAsia="zh-CN"/>
        </w:rPr>
        <w:t>负责统一管理标准化工作。指导开展标准化试点示范工作。依据法定职责，对标准的制定进行指导监督，对标准的实施进行监督检查。推行采用国际标准。</w:t>
      </w:r>
    </w:p>
    <w:p>
      <w:pPr>
        <w:pStyle w:val="17"/>
        <w:keepNext w:val="0"/>
        <w:keepLines w:val="0"/>
        <w:pageBreakBefore w:val="0"/>
        <w:numPr>
          <w:ilvl w:val="0"/>
          <w:numId w:val="0"/>
        </w:numPr>
        <w:kinsoku/>
        <w:wordWrap/>
        <w:overflowPunct/>
        <w:topLinePunct w:val="0"/>
        <w:autoSpaceDE/>
        <w:autoSpaceDN/>
        <w:bidi w:val="0"/>
        <w:adjustRightInd/>
        <w:snapToGrid/>
        <w:spacing w:beforeAutospacing="0" w:line="560" w:lineRule="exact"/>
        <w:ind w:left="0" w:leftChars="0" w:right="0" w:rightChars="0" w:firstLine="600" w:firstLineChars="200"/>
        <w:jc w:val="both"/>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val="en-US" w:eastAsia="zh-CN"/>
        </w:rPr>
        <w:t>14、</w:t>
      </w:r>
      <w:r>
        <w:rPr>
          <w:rFonts w:hint="eastAsia" w:ascii="仿宋_GB2312" w:hAnsi="仿宋_GB2312" w:eastAsia="仿宋_GB2312" w:cs="仿宋_GB2312"/>
          <w:color w:val="auto"/>
          <w:sz w:val="30"/>
          <w:szCs w:val="30"/>
          <w:lang w:eastAsia="zh-CN"/>
        </w:rPr>
        <w:t>负责统一管理检验检测工作。规范检验检测市场，完善检验检测体系，指导协调检验检测行业发展。</w:t>
      </w:r>
    </w:p>
    <w:p>
      <w:pPr>
        <w:pStyle w:val="17"/>
        <w:keepNext w:val="0"/>
        <w:keepLines w:val="0"/>
        <w:pageBreakBefore w:val="0"/>
        <w:numPr>
          <w:ilvl w:val="0"/>
          <w:numId w:val="0"/>
        </w:numPr>
        <w:kinsoku/>
        <w:wordWrap/>
        <w:overflowPunct/>
        <w:topLinePunct w:val="0"/>
        <w:autoSpaceDE/>
        <w:autoSpaceDN/>
        <w:bidi w:val="0"/>
        <w:adjustRightInd/>
        <w:snapToGrid/>
        <w:spacing w:beforeAutospacing="0" w:line="560" w:lineRule="exact"/>
        <w:ind w:left="0" w:leftChars="0" w:right="0" w:rightChars="0" w:firstLine="600" w:firstLineChars="200"/>
        <w:jc w:val="both"/>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val="en-US" w:eastAsia="zh-CN"/>
        </w:rPr>
        <w:t>15、</w:t>
      </w:r>
      <w:r>
        <w:rPr>
          <w:rFonts w:hint="eastAsia" w:ascii="仿宋_GB2312" w:hAnsi="仿宋_GB2312" w:eastAsia="仿宋_GB2312" w:cs="仿宋_GB2312"/>
          <w:color w:val="auto"/>
          <w:sz w:val="30"/>
          <w:szCs w:val="30"/>
          <w:lang w:eastAsia="zh-CN"/>
        </w:rPr>
        <w:t>负责统一管理、监督和综合协调全市认证认可工作。依法监督管理全市认证认可和合格评定有关活动。</w:t>
      </w:r>
    </w:p>
    <w:p>
      <w:pPr>
        <w:pStyle w:val="17"/>
        <w:keepNext w:val="0"/>
        <w:keepLines w:val="0"/>
        <w:pageBreakBefore w:val="0"/>
        <w:numPr>
          <w:ilvl w:val="0"/>
          <w:numId w:val="0"/>
        </w:numPr>
        <w:kinsoku/>
        <w:wordWrap/>
        <w:overflowPunct/>
        <w:topLinePunct w:val="0"/>
        <w:autoSpaceDE/>
        <w:autoSpaceDN/>
        <w:bidi w:val="0"/>
        <w:adjustRightInd/>
        <w:snapToGrid/>
        <w:spacing w:beforeAutospacing="0" w:line="560" w:lineRule="exact"/>
        <w:ind w:left="0" w:leftChars="0" w:right="0" w:rightChars="0" w:firstLine="600" w:firstLineChars="200"/>
        <w:jc w:val="both"/>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val="en-US" w:eastAsia="zh-CN"/>
        </w:rPr>
        <w:t>16、</w:t>
      </w:r>
      <w:r>
        <w:rPr>
          <w:rFonts w:hint="eastAsia" w:ascii="仿宋_GB2312" w:hAnsi="仿宋_GB2312" w:eastAsia="仿宋_GB2312" w:cs="仿宋_GB2312"/>
          <w:color w:val="auto"/>
          <w:sz w:val="30"/>
          <w:szCs w:val="30"/>
          <w:lang w:eastAsia="zh-CN"/>
        </w:rPr>
        <w:t>负责市场监督管理、知识产权领域科技和信息化建设、新闻宣传、对外交流与合作。按规定承担技术性贸易措施有关工作。</w:t>
      </w:r>
    </w:p>
    <w:p>
      <w:pPr>
        <w:pStyle w:val="17"/>
        <w:keepNext w:val="0"/>
        <w:keepLines w:val="0"/>
        <w:pageBreakBefore w:val="0"/>
        <w:numPr>
          <w:ilvl w:val="0"/>
          <w:numId w:val="0"/>
        </w:numPr>
        <w:kinsoku/>
        <w:wordWrap/>
        <w:overflowPunct/>
        <w:topLinePunct w:val="0"/>
        <w:autoSpaceDE/>
        <w:autoSpaceDN/>
        <w:bidi w:val="0"/>
        <w:adjustRightInd/>
        <w:snapToGrid/>
        <w:spacing w:beforeAutospacing="0" w:line="560" w:lineRule="exact"/>
        <w:ind w:left="0" w:leftChars="0" w:right="0" w:rightChars="0" w:firstLine="600" w:firstLineChars="200"/>
        <w:jc w:val="both"/>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val="en-US" w:eastAsia="zh-CN"/>
        </w:rPr>
        <w:t>17、</w:t>
      </w:r>
      <w:r>
        <w:rPr>
          <w:rFonts w:hint="eastAsia" w:ascii="仿宋_GB2312" w:hAnsi="仿宋_GB2312" w:eastAsia="仿宋_GB2312" w:cs="仿宋_GB2312"/>
          <w:color w:val="auto"/>
          <w:sz w:val="30"/>
          <w:szCs w:val="30"/>
          <w:lang w:eastAsia="zh-CN"/>
        </w:rPr>
        <w:t>负责实施知识产权战略，推进知识产权强市建设。组织制定实施知识产权创造、保护、运用的政策措施。负责知识产权公共服务体系建设、推动知识产权信息传播利用。统筹协调涉外知识产权有关事宜。</w:t>
      </w:r>
    </w:p>
    <w:p>
      <w:pPr>
        <w:pStyle w:val="17"/>
        <w:keepNext w:val="0"/>
        <w:keepLines w:val="0"/>
        <w:pageBreakBefore w:val="0"/>
        <w:numPr>
          <w:ilvl w:val="0"/>
          <w:numId w:val="0"/>
        </w:numPr>
        <w:kinsoku/>
        <w:wordWrap/>
        <w:overflowPunct/>
        <w:topLinePunct w:val="0"/>
        <w:autoSpaceDE/>
        <w:autoSpaceDN/>
        <w:bidi w:val="0"/>
        <w:adjustRightInd/>
        <w:snapToGrid/>
        <w:spacing w:beforeAutospacing="0" w:line="560" w:lineRule="exact"/>
        <w:ind w:left="0" w:leftChars="0" w:right="0" w:rightChars="0" w:firstLine="600" w:firstLineChars="200"/>
        <w:jc w:val="both"/>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val="en-US" w:eastAsia="zh-CN"/>
        </w:rPr>
        <w:t>18、</w:t>
      </w:r>
      <w:r>
        <w:rPr>
          <w:rFonts w:hint="eastAsia" w:ascii="仿宋_GB2312" w:hAnsi="仿宋_GB2312" w:eastAsia="仿宋_GB2312" w:cs="仿宋_GB2312"/>
          <w:color w:val="auto"/>
          <w:sz w:val="30"/>
          <w:szCs w:val="30"/>
          <w:lang w:eastAsia="zh-CN"/>
        </w:rPr>
        <w:t>负责保护知识产权。落实严格保护商标、专利、原产地地理标志等相关工作，负责知识产权保护体系建设，组织指导商标、专利执法工作。</w:t>
      </w:r>
    </w:p>
    <w:p>
      <w:pPr>
        <w:pStyle w:val="17"/>
        <w:keepNext w:val="0"/>
        <w:keepLines w:val="0"/>
        <w:pageBreakBefore w:val="0"/>
        <w:numPr>
          <w:ilvl w:val="0"/>
          <w:numId w:val="0"/>
        </w:numPr>
        <w:kinsoku/>
        <w:wordWrap/>
        <w:overflowPunct/>
        <w:topLinePunct w:val="0"/>
        <w:autoSpaceDE/>
        <w:autoSpaceDN/>
        <w:bidi w:val="0"/>
        <w:adjustRightInd/>
        <w:snapToGrid/>
        <w:spacing w:beforeAutospacing="0" w:line="560" w:lineRule="exact"/>
        <w:ind w:left="0" w:leftChars="0" w:right="0" w:rightChars="0" w:firstLine="600" w:firstLineChars="200"/>
        <w:jc w:val="both"/>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val="en-US" w:eastAsia="zh-CN"/>
        </w:rPr>
        <w:t>19、</w:t>
      </w:r>
      <w:r>
        <w:rPr>
          <w:rFonts w:hint="eastAsia" w:ascii="仿宋_GB2312" w:hAnsi="仿宋_GB2312" w:eastAsia="仿宋_GB2312" w:cs="仿宋_GB2312"/>
          <w:color w:val="auto"/>
          <w:sz w:val="30"/>
          <w:szCs w:val="30"/>
          <w:lang w:eastAsia="zh-CN"/>
        </w:rPr>
        <w:t>负责知识产权创造运用。按权限负责商标、专利和原产地地理标志的管理，开展知识产权运营体系建设和知识产权评议工作，规范知识产权交易和无形资产评估，促进知识产权转移转化。</w:t>
      </w:r>
    </w:p>
    <w:p>
      <w:pPr>
        <w:pStyle w:val="17"/>
        <w:keepNext w:val="0"/>
        <w:keepLines w:val="0"/>
        <w:pageBreakBefore w:val="0"/>
        <w:numPr>
          <w:ilvl w:val="0"/>
          <w:numId w:val="0"/>
        </w:numPr>
        <w:kinsoku/>
        <w:wordWrap/>
        <w:overflowPunct/>
        <w:topLinePunct w:val="0"/>
        <w:autoSpaceDE/>
        <w:autoSpaceDN/>
        <w:bidi w:val="0"/>
        <w:adjustRightInd/>
        <w:snapToGrid/>
        <w:spacing w:beforeAutospacing="0" w:line="560" w:lineRule="exact"/>
        <w:ind w:left="0" w:leftChars="0" w:right="0" w:rightChars="0" w:firstLine="600" w:firstLineChars="200"/>
        <w:jc w:val="both"/>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val="en-US" w:eastAsia="zh-CN"/>
        </w:rPr>
        <w:t>20、</w:t>
      </w:r>
      <w:r>
        <w:rPr>
          <w:rFonts w:hint="eastAsia" w:ascii="仿宋_GB2312" w:hAnsi="仿宋_GB2312" w:eastAsia="仿宋_GB2312" w:cs="仿宋_GB2312"/>
          <w:color w:val="auto"/>
          <w:sz w:val="30"/>
          <w:szCs w:val="30"/>
          <w:lang w:eastAsia="zh-CN"/>
        </w:rPr>
        <w:t>负责组织开展有关服务领域消费维权工作，查处制售假冒伪劣等违法行为，指导消费者咨询、申诉、举报受理、处理和网络体系建设等工作，保护经营者、消费者合法权益。</w:t>
      </w:r>
    </w:p>
    <w:p>
      <w:pPr>
        <w:pStyle w:val="17"/>
        <w:keepNext w:val="0"/>
        <w:keepLines w:val="0"/>
        <w:pageBreakBefore w:val="0"/>
        <w:numPr>
          <w:ilvl w:val="0"/>
          <w:numId w:val="0"/>
        </w:numPr>
        <w:kinsoku/>
        <w:wordWrap/>
        <w:overflowPunct/>
        <w:topLinePunct w:val="0"/>
        <w:autoSpaceDE/>
        <w:autoSpaceDN/>
        <w:bidi w:val="0"/>
        <w:adjustRightInd/>
        <w:snapToGrid/>
        <w:spacing w:beforeAutospacing="0" w:line="560" w:lineRule="exact"/>
        <w:ind w:left="0" w:leftChars="0" w:right="0" w:rightChars="0" w:firstLine="600" w:firstLineChars="200"/>
        <w:jc w:val="both"/>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val="en-US" w:eastAsia="zh-CN"/>
        </w:rPr>
        <w:t>21、</w:t>
      </w:r>
      <w:r>
        <w:rPr>
          <w:rFonts w:hint="eastAsia" w:ascii="仿宋_GB2312" w:hAnsi="仿宋_GB2312" w:eastAsia="仿宋_GB2312" w:cs="仿宋_GB2312"/>
          <w:color w:val="auto"/>
          <w:sz w:val="30"/>
          <w:szCs w:val="30"/>
          <w:lang w:eastAsia="zh-CN"/>
        </w:rPr>
        <w:t>负责职责范围内的药品、医疗器械和化妆品的质量管理。监督实施药品、医疗器械、化妆品标准和分类管理制度，配合有关部门实施国家基本药物制度。监督实施药品经营质量管理规范，监督实施医疗器械经营、使用质量管理规范，监督实施化妆品经营、使用卫生标准和技术规范。</w:t>
      </w:r>
    </w:p>
    <w:p>
      <w:pPr>
        <w:pStyle w:val="17"/>
        <w:keepNext w:val="0"/>
        <w:keepLines w:val="0"/>
        <w:pageBreakBefore w:val="0"/>
        <w:numPr>
          <w:ilvl w:val="0"/>
          <w:numId w:val="0"/>
        </w:numPr>
        <w:kinsoku/>
        <w:wordWrap/>
        <w:overflowPunct/>
        <w:topLinePunct w:val="0"/>
        <w:autoSpaceDE/>
        <w:autoSpaceDN/>
        <w:bidi w:val="0"/>
        <w:adjustRightInd/>
        <w:snapToGrid/>
        <w:spacing w:beforeAutospacing="0" w:line="560" w:lineRule="exact"/>
        <w:ind w:left="0" w:leftChars="0" w:right="0" w:rightChars="0" w:firstLine="600" w:firstLineChars="200"/>
        <w:jc w:val="both"/>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val="en-US" w:eastAsia="zh-CN"/>
        </w:rPr>
        <w:t>22、</w:t>
      </w:r>
      <w:r>
        <w:rPr>
          <w:rFonts w:hint="eastAsia" w:ascii="仿宋_GB2312" w:hAnsi="仿宋_GB2312" w:eastAsia="仿宋_GB2312" w:cs="仿宋_GB2312"/>
          <w:color w:val="auto"/>
          <w:sz w:val="30"/>
          <w:szCs w:val="30"/>
          <w:lang w:eastAsia="zh-CN"/>
        </w:rPr>
        <w:t>负责职责范围内药品、医疗器械和化妆品上市后风险管理。指导开展药品不良反应、医疗器械不良事件的监测和处置工作。依法承担药品、医疗器械和化妆品安全应急管理工作。</w:t>
      </w:r>
    </w:p>
    <w:p>
      <w:pPr>
        <w:pStyle w:val="17"/>
        <w:keepNext w:val="0"/>
        <w:keepLines w:val="0"/>
        <w:pageBreakBefore w:val="0"/>
        <w:numPr>
          <w:ilvl w:val="0"/>
          <w:numId w:val="0"/>
        </w:numPr>
        <w:kinsoku/>
        <w:wordWrap/>
        <w:overflowPunct/>
        <w:topLinePunct w:val="0"/>
        <w:autoSpaceDE/>
        <w:autoSpaceDN/>
        <w:bidi w:val="0"/>
        <w:adjustRightInd/>
        <w:snapToGrid/>
        <w:spacing w:beforeAutospacing="0" w:line="560" w:lineRule="exact"/>
        <w:ind w:left="0" w:leftChars="0" w:right="0" w:rightChars="0" w:firstLine="600" w:firstLineChars="200"/>
        <w:jc w:val="both"/>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val="en-US" w:eastAsia="zh-CN"/>
        </w:rPr>
        <w:t>23、</w:t>
      </w:r>
      <w:r>
        <w:rPr>
          <w:rFonts w:hint="eastAsia" w:ascii="仿宋_GB2312" w:hAnsi="仿宋_GB2312" w:eastAsia="仿宋_GB2312" w:cs="仿宋_GB2312"/>
          <w:color w:val="auto"/>
          <w:sz w:val="30"/>
          <w:szCs w:val="30"/>
          <w:lang w:eastAsia="zh-CN"/>
        </w:rPr>
        <w:t>负责组织实施职责范围内药品、医疗器械和化妆品监督检查。制定检查制度，依法查处药品零售、医疗器械和化妆品经营环节违法行为，以及药品、医疗器械使用环节违法行为。依职责组织指导查处其他环节违法行为。</w:t>
      </w:r>
    </w:p>
    <w:p>
      <w:pPr>
        <w:pStyle w:val="17"/>
        <w:keepNext w:val="0"/>
        <w:keepLines w:val="0"/>
        <w:pageBreakBefore w:val="0"/>
        <w:numPr>
          <w:ilvl w:val="0"/>
          <w:numId w:val="0"/>
        </w:numPr>
        <w:kinsoku/>
        <w:wordWrap/>
        <w:overflowPunct/>
        <w:topLinePunct w:val="0"/>
        <w:autoSpaceDE/>
        <w:autoSpaceDN/>
        <w:bidi w:val="0"/>
        <w:adjustRightInd/>
        <w:snapToGrid/>
        <w:spacing w:beforeAutospacing="0" w:line="560" w:lineRule="exact"/>
        <w:ind w:left="0" w:leftChars="0" w:right="0" w:rightChars="0" w:firstLine="600" w:firstLineChars="200"/>
        <w:jc w:val="both"/>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val="en-US" w:eastAsia="zh-CN"/>
        </w:rPr>
        <w:t>24、</w:t>
      </w:r>
      <w:r>
        <w:rPr>
          <w:rFonts w:hint="eastAsia" w:ascii="仿宋_GB2312" w:hAnsi="仿宋_GB2312" w:eastAsia="仿宋_GB2312" w:cs="仿宋_GB2312"/>
          <w:color w:val="auto"/>
          <w:sz w:val="30"/>
          <w:szCs w:val="30"/>
          <w:lang w:eastAsia="zh-CN"/>
        </w:rPr>
        <w:t>负责市委组织部门安排的小微企业、个体工商户、专业市场的党建工作，指导全市相关工作。</w:t>
      </w:r>
    </w:p>
    <w:p>
      <w:pPr>
        <w:pStyle w:val="17"/>
        <w:keepNext w:val="0"/>
        <w:keepLines w:val="0"/>
        <w:pageBreakBefore w:val="0"/>
        <w:numPr>
          <w:ilvl w:val="0"/>
          <w:numId w:val="0"/>
        </w:numPr>
        <w:kinsoku/>
        <w:wordWrap/>
        <w:overflowPunct/>
        <w:topLinePunct w:val="0"/>
        <w:autoSpaceDE/>
        <w:autoSpaceDN/>
        <w:bidi w:val="0"/>
        <w:adjustRightInd/>
        <w:snapToGrid/>
        <w:spacing w:beforeAutospacing="0" w:line="560" w:lineRule="exact"/>
        <w:ind w:left="0" w:leftChars="0" w:right="0" w:rightChars="0" w:firstLine="600" w:firstLineChars="200"/>
        <w:jc w:val="both"/>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val="en-US" w:eastAsia="zh-CN"/>
        </w:rPr>
        <w:t>25、</w:t>
      </w:r>
      <w:r>
        <w:rPr>
          <w:rFonts w:hint="eastAsia" w:ascii="仿宋_GB2312" w:hAnsi="仿宋_GB2312" w:eastAsia="仿宋_GB2312" w:cs="仿宋_GB2312"/>
          <w:color w:val="auto"/>
          <w:sz w:val="30"/>
          <w:szCs w:val="30"/>
          <w:lang w:eastAsia="zh-CN"/>
        </w:rPr>
        <w:t>完成市委、市人民政府交办的其他任务。</w:t>
      </w:r>
    </w:p>
    <w:p>
      <w:pPr>
        <w:pStyle w:val="11"/>
        <w:keepNext w:val="0"/>
        <w:keepLines w:val="0"/>
        <w:pageBreakBefore w:val="0"/>
        <w:widowControl/>
        <w:kinsoku/>
        <w:wordWrap/>
        <w:overflowPunct/>
        <w:topLinePunct w:val="0"/>
        <w:autoSpaceDE/>
        <w:autoSpaceDN/>
        <w:bidi w:val="0"/>
        <w:adjustRightInd/>
        <w:spacing w:before="0" w:beforeAutospacing="0" w:after="0" w:line="560" w:lineRule="exact"/>
        <w:ind w:left="0" w:leftChars="0" w:right="0" w:rightChars="0" w:firstLine="600" w:firstLineChars="200"/>
        <w:jc w:val="both"/>
        <w:rPr>
          <w:rFonts w:hint="eastAsia" w:ascii="仿宋_GB2312" w:hAnsi="仿宋_GB2312" w:eastAsia="仿宋_GB2312" w:cs="仿宋_GB2312"/>
          <w:b/>
          <w:bCs w:val="0"/>
          <w:color w:val="auto"/>
          <w:kern w:val="0"/>
          <w:sz w:val="30"/>
          <w:szCs w:val="30"/>
          <w:lang w:eastAsia="zh-CN"/>
        </w:rPr>
      </w:pPr>
      <w:r>
        <w:rPr>
          <w:rFonts w:hint="eastAsia" w:ascii="仿宋_GB2312" w:hAnsi="仿宋_GB2312" w:eastAsia="仿宋_GB2312" w:cs="仿宋_GB2312"/>
          <w:b/>
          <w:bCs w:val="0"/>
          <w:color w:val="auto"/>
          <w:kern w:val="0"/>
          <w:sz w:val="30"/>
          <w:szCs w:val="30"/>
          <w:lang w:val="en-US" w:eastAsia="zh-CN"/>
        </w:rPr>
        <w:t>（二）</w:t>
      </w:r>
      <w:r>
        <w:rPr>
          <w:rFonts w:hint="eastAsia" w:ascii="仿宋_GB2312" w:hAnsi="仿宋_GB2312" w:eastAsia="仿宋_GB2312" w:cs="仿宋_GB2312"/>
          <w:b/>
          <w:bCs w:val="0"/>
          <w:color w:val="auto"/>
          <w:kern w:val="0"/>
          <w:sz w:val="30"/>
          <w:szCs w:val="30"/>
          <w:lang w:eastAsia="zh-CN"/>
        </w:rPr>
        <w:t>机构设置</w:t>
      </w:r>
    </w:p>
    <w:p>
      <w:pPr>
        <w:pStyle w:val="11"/>
        <w:keepNext w:val="0"/>
        <w:keepLines w:val="0"/>
        <w:pageBreakBefore w:val="0"/>
        <w:widowControl/>
        <w:kinsoku/>
        <w:wordWrap/>
        <w:overflowPunct/>
        <w:topLinePunct w:val="0"/>
        <w:autoSpaceDE/>
        <w:autoSpaceDN/>
        <w:bidi w:val="0"/>
        <w:adjustRightInd/>
        <w:spacing w:before="0" w:beforeAutospacing="0" w:after="0" w:line="560" w:lineRule="exact"/>
        <w:ind w:left="0" w:leftChars="0" w:right="0" w:rightChars="0" w:firstLine="600" w:firstLineChars="200"/>
        <w:jc w:val="both"/>
        <w:rPr>
          <w:rFonts w:hint="default" w:ascii="Times New Roman" w:hAnsi="Times New Roman" w:eastAsia="楷体_GB2312" w:cs="Times New Roman"/>
          <w:b/>
          <w:bCs/>
          <w:sz w:val="32"/>
          <w:szCs w:val="32"/>
        </w:rPr>
      </w:pPr>
      <w:r>
        <w:rPr>
          <w:rFonts w:hint="eastAsia" w:ascii="仿宋_GB2312" w:hAnsi="仿宋_GB2312" w:eastAsia="仿宋_GB2312" w:cs="仿宋_GB2312"/>
          <w:color w:val="auto"/>
          <w:sz w:val="30"/>
          <w:szCs w:val="30"/>
          <w:lang w:eastAsia="zh-CN"/>
        </w:rPr>
        <w:t>祁阳市市场监督管理局</w:t>
      </w:r>
      <w:r>
        <w:rPr>
          <w:rFonts w:hint="eastAsia" w:ascii="仿宋_GB2312" w:hAnsi="仿宋_GB2312" w:eastAsia="仿宋_GB2312" w:cs="仿宋_GB2312"/>
          <w:bCs/>
          <w:color w:val="auto"/>
          <w:kern w:val="0"/>
          <w:sz w:val="30"/>
          <w:szCs w:val="30"/>
          <w:lang w:val="en-US" w:eastAsia="zh-CN"/>
        </w:rPr>
        <w:t>属财政全额拨款的正科级单位，</w:t>
      </w:r>
      <w:r>
        <w:rPr>
          <w:rFonts w:hint="eastAsia" w:ascii="仿宋_GB2312" w:hAnsi="仿宋_GB2312" w:eastAsia="仿宋_GB2312" w:cs="仿宋_GB2312"/>
          <w:color w:val="auto"/>
          <w:sz w:val="30"/>
          <w:szCs w:val="30"/>
          <w:lang w:eastAsia="zh-CN"/>
        </w:rPr>
        <w:t>内设机构包括：办公室、人事股、科技和财务股、政策法规股、行政审批股、信用监督管理股、网络交易监督管理股、广告监督管理股、消费者权益保护股（投诉举报办公室）、质量发展与安全管理股、食品安全协调股、食品生产安全监督管理股、餐饮服务食品安全监督管理股、食品流通安全监督管理股、特殊食品安全及化妆品监督管理股、特种设备安全监察股（安全生产办公室）、计量股、标准化与认证认可监督管理股、药品与医疗器械监督管理股、知识产权、监督管理股非公有制经济组织党建办公室共21个职能股室、价格监督检查和反不正当竞争分局（规范直销与打击传销办公室、反垄断办公室）</w:t>
      </w:r>
      <w:r>
        <w:rPr>
          <w:rFonts w:hint="eastAsia" w:ascii="仿宋_GB2312" w:hAnsi="仿宋_GB2312" w:eastAsia="仿宋_GB2312" w:cs="仿宋_GB2312"/>
          <w:color w:val="auto"/>
          <w:sz w:val="30"/>
          <w:szCs w:val="30"/>
          <w:lang w:val="en-US" w:eastAsia="zh-CN"/>
        </w:rPr>
        <w:t>1个直属分局</w:t>
      </w:r>
      <w:r>
        <w:rPr>
          <w:rFonts w:hint="eastAsia" w:ascii="仿宋_GB2312" w:hAnsi="仿宋_GB2312" w:eastAsia="仿宋_GB2312" w:cs="仿宋_GB2312"/>
          <w:color w:val="auto"/>
          <w:sz w:val="30"/>
          <w:szCs w:val="30"/>
          <w:lang w:eastAsia="zh-CN"/>
        </w:rPr>
        <w:t>、市食品药品稽查大队等7个事业单位，下设浯溪、长虹、龙山、白水、黎家坪、文明铺、进宝塘、三口塘、潘市9个基层监督管理所。</w:t>
      </w:r>
      <w:r>
        <w:rPr>
          <w:rFonts w:hint="eastAsia" w:ascii="仿宋_GB2312" w:hAnsi="仿宋_GB2312" w:eastAsia="仿宋_GB2312" w:cs="仿宋_GB2312"/>
          <w:color w:val="auto"/>
          <w:sz w:val="30"/>
          <w:szCs w:val="30"/>
          <w:lang w:val="en-US" w:eastAsia="zh-CN"/>
        </w:rPr>
        <w:t>截至2024年底</w:t>
      </w:r>
      <w:r>
        <w:rPr>
          <w:rFonts w:hint="eastAsia" w:ascii="仿宋_GB2312" w:hAnsi="仿宋_GB2312" w:eastAsia="仿宋_GB2312" w:cs="仿宋_GB2312"/>
          <w:bCs/>
          <w:color w:val="auto"/>
          <w:kern w:val="0"/>
          <w:sz w:val="30"/>
          <w:szCs w:val="30"/>
          <w:lang w:val="en-US" w:eastAsia="zh-CN"/>
        </w:rPr>
        <w:t>局机关共有人员编制</w:t>
      </w:r>
      <w:r>
        <w:rPr>
          <w:rFonts w:hint="eastAsia" w:ascii="仿宋_GB2312" w:hAnsi="仿宋_GB2312" w:eastAsia="仿宋_GB2312" w:cs="仿宋_GB2312"/>
          <w:bCs/>
          <w:color w:val="auto"/>
          <w:kern w:val="0"/>
          <w:sz w:val="30"/>
          <w:szCs w:val="30"/>
          <w:highlight w:val="none"/>
          <w:lang w:val="en-US" w:eastAsia="zh-CN"/>
        </w:rPr>
        <w:t>349个，实有在职干部职工289</w:t>
      </w:r>
      <w:r>
        <w:rPr>
          <w:rFonts w:hint="eastAsia" w:ascii="仿宋_GB2312" w:hAnsi="仿宋_GB2312" w:eastAsia="仿宋_GB2312" w:cs="仿宋_GB2312"/>
          <w:bCs/>
          <w:color w:val="auto"/>
          <w:kern w:val="0"/>
          <w:sz w:val="30"/>
          <w:szCs w:val="30"/>
          <w:lang w:val="en-US" w:eastAsia="zh-CN"/>
        </w:rPr>
        <w:t>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二、部门</w:t>
      </w:r>
      <w:r>
        <w:rPr>
          <w:rFonts w:hint="eastAsia" w:ascii="黑体" w:hAnsi="黑体" w:eastAsia="黑体" w:cs="黑体"/>
          <w:sz w:val="32"/>
          <w:szCs w:val="32"/>
          <w:lang w:eastAsia="zh-CN"/>
        </w:rPr>
        <w:t>（</w:t>
      </w:r>
      <w:r>
        <w:rPr>
          <w:rFonts w:hint="eastAsia" w:ascii="黑体" w:hAnsi="黑体" w:eastAsia="黑体" w:cs="黑体"/>
          <w:sz w:val="32"/>
          <w:szCs w:val="32"/>
        </w:rPr>
        <w:t>单位</w:t>
      </w:r>
      <w:r>
        <w:rPr>
          <w:rFonts w:hint="eastAsia" w:ascii="黑体" w:hAnsi="黑体" w:eastAsia="黑体" w:cs="黑体"/>
          <w:sz w:val="32"/>
          <w:szCs w:val="32"/>
          <w:lang w:eastAsia="zh-CN"/>
        </w:rPr>
        <w:t>）</w:t>
      </w:r>
      <w:r>
        <w:rPr>
          <w:rFonts w:hint="eastAsia" w:ascii="黑体" w:hAnsi="黑体" w:eastAsia="黑体" w:cs="黑体"/>
          <w:sz w:val="32"/>
          <w:szCs w:val="32"/>
        </w:rPr>
        <w:t>整体支出管理及使用情况</w:t>
      </w:r>
    </w:p>
    <w:p>
      <w:pPr>
        <w:pStyle w:val="11"/>
        <w:keepNext w:val="0"/>
        <w:keepLines w:val="0"/>
        <w:pageBreakBefore w:val="0"/>
        <w:widowControl/>
        <w:kinsoku/>
        <w:wordWrap/>
        <w:overflowPunct/>
        <w:topLinePunct w:val="0"/>
        <w:autoSpaceDE/>
        <w:autoSpaceDN/>
        <w:bidi w:val="0"/>
        <w:adjustRightInd/>
        <w:spacing w:before="0" w:beforeAutospacing="0" w:after="0" w:line="560" w:lineRule="exact"/>
        <w:ind w:left="0" w:leftChars="0" w:right="0" w:rightChars="0" w:firstLine="600" w:firstLineChars="200"/>
        <w:jc w:val="both"/>
        <w:rPr>
          <w:rFonts w:hint="default" w:ascii="Times New Roman" w:hAnsi="Times New Roman" w:eastAsia="楷体_GB2312" w:cs="Times New Roman"/>
          <w:b/>
          <w:bCs/>
          <w:sz w:val="32"/>
          <w:szCs w:val="32"/>
          <w:lang w:val="en-US" w:eastAsia="zh-CN"/>
        </w:rPr>
      </w:pPr>
      <w:r>
        <w:rPr>
          <w:rFonts w:hint="eastAsia" w:ascii="仿宋_GB2312" w:hAnsi="仿宋_GB2312" w:eastAsia="仿宋_GB2312" w:cs="仿宋_GB2312"/>
          <w:bCs/>
          <w:color w:val="auto"/>
          <w:kern w:val="0"/>
          <w:sz w:val="30"/>
          <w:szCs w:val="30"/>
          <w:lang w:val="en-US" w:eastAsia="zh-CN"/>
        </w:rPr>
        <w:t>2024年度本单位部门支出4852.57万元。包括：</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楷体_GB2312" w:cs="Times New Roman"/>
          <w:b/>
          <w:bCs/>
          <w:sz w:val="32"/>
          <w:szCs w:val="32"/>
          <w:lang w:eastAsia="zh-CN"/>
        </w:rPr>
      </w:pPr>
      <w:r>
        <w:rPr>
          <w:rFonts w:hint="eastAsia" w:ascii="仿宋_GB2312" w:hAnsi="仿宋_GB2312" w:eastAsia="仿宋_GB2312" w:cs="仿宋_GB2312"/>
          <w:b/>
          <w:bCs w:val="0"/>
          <w:color w:val="auto"/>
          <w:kern w:val="0"/>
          <w:sz w:val="30"/>
          <w:szCs w:val="30"/>
          <w:lang w:val="en-US" w:eastAsia="zh-CN" w:bidi="ar"/>
        </w:rPr>
        <w:t>（一）</w:t>
      </w:r>
      <w:r>
        <w:rPr>
          <w:rFonts w:hint="default" w:ascii="仿宋_GB2312" w:hAnsi="仿宋_GB2312" w:eastAsia="仿宋_GB2312" w:cs="仿宋_GB2312"/>
          <w:b/>
          <w:bCs w:val="0"/>
          <w:color w:val="auto"/>
          <w:kern w:val="0"/>
          <w:sz w:val="30"/>
          <w:szCs w:val="30"/>
          <w:lang w:val="en-US" w:eastAsia="zh-CN" w:bidi="ar"/>
        </w:rPr>
        <w:t>基本支出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楷体_GB2312" w:cs="Times New Roman"/>
          <w:b/>
          <w:bCs/>
          <w:sz w:val="32"/>
          <w:szCs w:val="32"/>
          <w:lang w:eastAsia="zh-CN"/>
        </w:rPr>
      </w:pPr>
      <w:r>
        <w:rPr>
          <w:rFonts w:hint="eastAsia" w:ascii="仿宋_GB2312" w:hAnsi="仿宋_GB2312" w:eastAsia="仿宋_GB2312" w:cs="仿宋_GB2312"/>
          <w:bCs/>
          <w:color w:val="auto"/>
          <w:kern w:val="0"/>
          <w:sz w:val="30"/>
          <w:szCs w:val="30"/>
          <w:lang w:val="en-US" w:eastAsia="zh-CN"/>
        </w:rPr>
        <w:t>基本支出4411.27万元，其中：1、人员经费3878.26万元，占基本支出87.92%。主要用于基本工资、津贴补贴、</w:t>
      </w:r>
      <w:r>
        <w:rPr>
          <w:rFonts w:hint="eastAsia" w:ascii="仿宋_GB2312" w:hAnsi="仿宋_GB2312" w:eastAsia="仿宋_GB2312" w:cs="仿宋_GB2312"/>
          <w:bCs/>
          <w:color w:val="auto"/>
          <w:kern w:val="0"/>
          <w:sz w:val="30"/>
          <w:szCs w:val="30"/>
          <w:lang w:val="zh-CN" w:eastAsia="zh-CN"/>
        </w:rPr>
        <w:t>奖金、伙食补助费、绩效工资、机关事业单位基本养老保险缴费、职业年金缴费、职工基本医疗保险缴费、其他社会保障缴费、住房公积金、其他工资福利支出、离休费、退休费、抚恤金、生活补助、医疗费补助、奖励金、其他对个人和家庭的补助</w:t>
      </w:r>
      <w:r>
        <w:rPr>
          <w:rFonts w:hint="eastAsia" w:ascii="仿宋_GB2312" w:hAnsi="仿宋_GB2312" w:eastAsia="仿宋_GB2312" w:cs="仿宋_GB2312"/>
          <w:bCs/>
          <w:color w:val="auto"/>
          <w:kern w:val="0"/>
          <w:sz w:val="30"/>
          <w:szCs w:val="30"/>
          <w:lang w:val="en-US" w:eastAsia="zh-CN"/>
        </w:rPr>
        <w:t>；2、</w:t>
      </w:r>
      <w:r>
        <w:rPr>
          <w:rFonts w:hint="eastAsia" w:ascii="仿宋_GB2312" w:hAnsi="Times New Roman" w:eastAsia="仿宋_GB2312" w:cs="黑体"/>
          <w:color w:val="auto"/>
          <w:kern w:val="0"/>
          <w:sz w:val="32"/>
          <w:szCs w:val="32"/>
        </w:rPr>
        <w:t>一般商品和服务支出</w:t>
      </w:r>
      <w:r>
        <w:rPr>
          <w:rFonts w:hint="eastAsia" w:ascii="仿宋_GB2312" w:hAnsi="仿宋_GB2312" w:eastAsia="仿宋_GB2312" w:cs="仿宋_GB2312"/>
          <w:bCs/>
          <w:color w:val="auto"/>
          <w:kern w:val="0"/>
          <w:sz w:val="30"/>
          <w:szCs w:val="30"/>
          <w:lang w:val="en-US" w:eastAsia="zh-CN"/>
        </w:rPr>
        <w:t>533.01万元，占基本支出的12.08%。主要用于办公费、印刷费、咨询费、手续费、水费、电费、邮电费、取暖费、物业管理费、差旅费、维修（护）费、租赁费、会议费、培训费、公务接待费、专用材料费、劳务费、委托业务费、工会经费、福利费、其他交通费用、其他商品和服务支出、办公设备购置、专用设备购置等。</w:t>
      </w:r>
    </w:p>
    <w:p>
      <w:pPr>
        <w:pStyle w:val="11"/>
        <w:keepNext w:val="0"/>
        <w:keepLines w:val="0"/>
        <w:pageBreakBefore w:val="0"/>
        <w:widowControl/>
        <w:kinsoku/>
        <w:wordWrap/>
        <w:overflowPunct/>
        <w:topLinePunct w:val="0"/>
        <w:autoSpaceDE/>
        <w:autoSpaceDN/>
        <w:bidi w:val="0"/>
        <w:adjustRightInd/>
        <w:spacing w:before="0" w:beforeAutospacing="0" w:after="0" w:line="560" w:lineRule="exact"/>
        <w:ind w:left="0" w:leftChars="0" w:right="0" w:rightChars="0" w:firstLine="600" w:firstLineChars="200"/>
        <w:jc w:val="both"/>
        <w:rPr>
          <w:rFonts w:hint="default" w:ascii="仿宋_GB2312" w:hAnsi="仿宋_GB2312" w:eastAsia="仿宋_GB2312" w:cs="仿宋_GB2312"/>
          <w:b/>
          <w:bCs w:val="0"/>
          <w:color w:val="auto"/>
          <w:kern w:val="0"/>
          <w:sz w:val="30"/>
          <w:szCs w:val="30"/>
          <w:lang w:val="en-US" w:eastAsia="zh-CN"/>
        </w:rPr>
      </w:pPr>
      <w:r>
        <w:rPr>
          <w:rFonts w:hint="default" w:ascii="仿宋_GB2312" w:hAnsi="仿宋_GB2312" w:eastAsia="仿宋_GB2312" w:cs="仿宋_GB2312"/>
          <w:b/>
          <w:bCs w:val="0"/>
          <w:color w:val="auto"/>
          <w:kern w:val="0"/>
          <w:sz w:val="30"/>
          <w:szCs w:val="30"/>
          <w:lang w:val="en-US" w:eastAsia="zh-CN"/>
        </w:rPr>
        <w:t>（二）项目支出</w:t>
      </w:r>
    </w:p>
    <w:p>
      <w:pPr>
        <w:pStyle w:val="11"/>
        <w:keepNext w:val="0"/>
        <w:keepLines w:val="0"/>
        <w:pageBreakBefore w:val="0"/>
        <w:kinsoku/>
        <w:wordWrap/>
        <w:overflowPunct/>
        <w:topLinePunct w:val="0"/>
        <w:autoSpaceDE/>
        <w:autoSpaceDN/>
        <w:bidi w:val="0"/>
        <w:adjustRightInd/>
        <w:spacing w:before="0" w:beforeAutospacing="0" w:after="0" w:afterAutospacing="0" w:line="560" w:lineRule="exact"/>
        <w:ind w:left="0" w:leftChars="0" w:right="0" w:rightChars="0" w:firstLine="600" w:firstLineChars="200"/>
        <w:jc w:val="both"/>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1.</w:t>
      </w:r>
      <w:r>
        <w:rPr>
          <w:rFonts w:hint="default" w:ascii="仿宋_GB2312" w:hAnsi="仿宋_GB2312" w:eastAsia="仿宋_GB2312" w:cs="仿宋_GB2312"/>
          <w:color w:val="auto"/>
          <w:sz w:val="30"/>
          <w:szCs w:val="30"/>
          <w:lang w:val="en-US" w:eastAsia="zh-CN"/>
        </w:rPr>
        <w:t>项目</w:t>
      </w:r>
      <w:r>
        <w:rPr>
          <w:rFonts w:hint="eastAsia" w:ascii="仿宋_GB2312" w:hAnsi="仿宋_GB2312" w:eastAsia="仿宋_GB2312" w:cs="仿宋_GB2312"/>
          <w:color w:val="auto"/>
          <w:sz w:val="30"/>
          <w:szCs w:val="30"/>
          <w:lang w:val="en-US" w:eastAsia="zh-CN"/>
        </w:rPr>
        <w:t>支出基本情况</w:t>
      </w:r>
    </w:p>
    <w:p>
      <w:pPr>
        <w:pStyle w:val="11"/>
        <w:keepNext w:val="0"/>
        <w:keepLines w:val="0"/>
        <w:pageBreakBefore w:val="0"/>
        <w:kinsoku/>
        <w:wordWrap/>
        <w:overflowPunct/>
        <w:topLinePunct w:val="0"/>
        <w:autoSpaceDE/>
        <w:autoSpaceDN/>
        <w:bidi w:val="0"/>
        <w:adjustRightInd/>
        <w:spacing w:before="0" w:beforeAutospacing="0" w:after="0" w:afterAutospacing="0" w:line="560" w:lineRule="exact"/>
        <w:ind w:left="0" w:leftChars="0" w:right="0" w:rightChars="0" w:firstLine="600" w:firstLineChars="200"/>
        <w:jc w:val="both"/>
        <w:rPr>
          <w:rFonts w:hint="eastAsia" w:ascii="仿宋_GB2312" w:hAnsi="仿宋_GB2312" w:eastAsia="仿宋_GB2312" w:cs="仿宋_GB2312"/>
          <w:bCs/>
          <w:color w:val="auto"/>
          <w:kern w:val="0"/>
          <w:sz w:val="30"/>
          <w:szCs w:val="30"/>
          <w:lang w:val="en-US" w:eastAsia="zh-CN" w:bidi="ar-SA"/>
        </w:rPr>
      </w:pPr>
      <w:r>
        <w:rPr>
          <w:rFonts w:hint="eastAsia" w:ascii="仿宋_GB2312" w:hAnsi="仿宋_GB2312" w:eastAsia="仿宋_GB2312" w:cs="仿宋_GB2312"/>
          <w:bCs/>
          <w:color w:val="auto"/>
          <w:kern w:val="0"/>
          <w:sz w:val="30"/>
          <w:szCs w:val="30"/>
          <w:lang w:val="en-US" w:eastAsia="zh-CN" w:bidi="ar-SA"/>
        </w:rPr>
        <w:t>2024年项目资金实际支出441.29万元，其中一是业务工作经费401.29元，用于市场监督管理工作的各项支出包括：开展食品监督管理、食品安全知识宣传、药品不良反应监测、药品医疗器械企业监管、知识产权战略、星级所创建、基础能力建设、检验检测能力提升、消费者权益保护、特种设备安全监管、食品药品检验检测能力提升、产商品质量与风险监测、价格监督检查、打击传销、反不正当竞争、广告管理、工业企业产品定期检验、市场流通领域监管、网络市场监管、食品示范市创建等；二是本级专项资金食药品检测能力建设专项经费40万元，用于食品药品检测能力提高，保障食品药品市场安全。</w:t>
      </w:r>
    </w:p>
    <w:p>
      <w:pPr>
        <w:pStyle w:val="11"/>
        <w:keepNext w:val="0"/>
        <w:keepLines w:val="0"/>
        <w:pageBreakBefore w:val="0"/>
        <w:kinsoku/>
        <w:wordWrap/>
        <w:overflowPunct/>
        <w:topLinePunct w:val="0"/>
        <w:autoSpaceDE/>
        <w:autoSpaceDN/>
        <w:bidi w:val="0"/>
        <w:adjustRightInd/>
        <w:spacing w:before="0" w:beforeAutospacing="0" w:after="0" w:afterAutospacing="0" w:line="560" w:lineRule="exact"/>
        <w:ind w:left="0" w:leftChars="0" w:right="0" w:rightChars="0" w:firstLine="600" w:firstLineChars="200"/>
        <w:jc w:val="both"/>
        <w:rPr>
          <w:rFonts w:hint="default"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2.</w:t>
      </w:r>
      <w:r>
        <w:rPr>
          <w:rFonts w:hint="default" w:ascii="仿宋_GB2312" w:hAnsi="仿宋_GB2312" w:eastAsia="仿宋_GB2312" w:cs="仿宋_GB2312"/>
          <w:color w:val="auto"/>
          <w:sz w:val="30"/>
          <w:szCs w:val="30"/>
          <w:lang w:val="en-US" w:eastAsia="zh-CN"/>
        </w:rPr>
        <w:t>项目资金</w:t>
      </w:r>
      <w:r>
        <w:rPr>
          <w:rFonts w:hint="eastAsia" w:ascii="仿宋_GB2312" w:hAnsi="仿宋_GB2312" w:eastAsia="仿宋_GB2312" w:cs="仿宋_GB2312"/>
          <w:color w:val="auto"/>
          <w:sz w:val="30"/>
          <w:szCs w:val="30"/>
          <w:lang w:val="en-US" w:eastAsia="zh-CN"/>
        </w:rPr>
        <w:t>安排和</w:t>
      </w:r>
      <w:r>
        <w:rPr>
          <w:rFonts w:hint="default" w:ascii="仿宋_GB2312" w:hAnsi="仿宋_GB2312" w:eastAsia="仿宋_GB2312" w:cs="仿宋_GB2312"/>
          <w:color w:val="auto"/>
          <w:sz w:val="30"/>
          <w:szCs w:val="30"/>
          <w:lang w:val="en-US" w:eastAsia="zh-CN"/>
        </w:rPr>
        <w:t>实际使用情况分析</w:t>
      </w:r>
    </w:p>
    <w:p>
      <w:pPr>
        <w:pStyle w:val="11"/>
        <w:keepNext w:val="0"/>
        <w:keepLines w:val="0"/>
        <w:pageBreakBefore w:val="0"/>
        <w:kinsoku/>
        <w:wordWrap/>
        <w:overflowPunct/>
        <w:topLinePunct w:val="0"/>
        <w:autoSpaceDE/>
        <w:autoSpaceDN/>
        <w:bidi w:val="0"/>
        <w:adjustRightInd/>
        <w:spacing w:before="0" w:beforeAutospacing="0" w:after="0" w:afterAutospacing="0" w:line="560" w:lineRule="exact"/>
        <w:ind w:left="0" w:leftChars="0" w:right="0" w:rightChars="0" w:firstLine="600" w:firstLineChars="200"/>
        <w:jc w:val="both"/>
        <w:rPr>
          <w:rFonts w:hint="eastAsia" w:ascii="仿宋_GB2312" w:hAnsi="仿宋_GB2312" w:eastAsia="仿宋_GB2312" w:cs="仿宋_GB2312"/>
          <w:bCs/>
          <w:color w:val="auto"/>
          <w:kern w:val="0"/>
          <w:sz w:val="30"/>
          <w:szCs w:val="30"/>
          <w:lang w:val="en-US" w:eastAsia="zh-CN" w:bidi="ar-SA"/>
        </w:rPr>
      </w:pPr>
      <w:r>
        <w:rPr>
          <w:rFonts w:hint="eastAsia" w:ascii="仿宋_GB2312" w:hAnsi="仿宋_GB2312" w:eastAsia="仿宋_GB2312" w:cs="仿宋_GB2312"/>
          <w:bCs/>
          <w:color w:val="auto"/>
          <w:kern w:val="0"/>
          <w:sz w:val="30"/>
          <w:szCs w:val="30"/>
          <w:lang w:val="en-US" w:eastAsia="zh-CN" w:bidi="ar-SA"/>
        </w:rPr>
        <w:t>我单位认真贯彻落实相关文件，在项目资金使用中各司其职，分级管理，规范使用资金，严肃财经纪律，从严控制资金使用，专项资金用于强化市场监管各项工作，确保各专项资金绩效指标在规定期限内完成。</w:t>
      </w:r>
    </w:p>
    <w:p>
      <w:pPr>
        <w:pStyle w:val="11"/>
        <w:keepNext w:val="0"/>
        <w:keepLines w:val="0"/>
        <w:pageBreakBefore w:val="0"/>
        <w:numPr>
          <w:ilvl w:val="0"/>
          <w:numId w:val="0"/>
        </w:numPr>
        <w:kinsoku/>
        <w:wordWrap/>
        <w:overflowPunct/>
        <w:topLinePunct w:val="0"/>
        <w:autoSpaceDE/>
        <w:autoSpaceDN/>
        <w:bidi w:val="0"/>
        <w:adjustRightInd/>
        <w:spacing w:before="0" w:beforeAutospacing="0" w:after="0" w:afterAutospacing="0" w:line="560" w:lineRule="exact"/>
        <w:ind w:leftChars="200" w:right="0" w:rightChars="0"/>
        <w:jc w:val="both"/>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3.</w:t>
      </w:r>
      <w:r>
        <w:rPr>
          <w:rFonts w:hint="default" w:ascii="仿宋_GB2312" w:hAnsi="仿宋_GB2312" w:eastAsia="仿宋_GB2312" w:cs="仿宋_GB2312"/>
          <w:color w:val="auto"/>
          <w:sz w:val="30"/>
          <w:szCs w:val="30"/>
          <w:lang w:val="en-US" w:eastAsia="zh-CN"/>
        </w:rPr>
        <w:t>项目资金</w:t>
      </w:r>
      <w:r>
        <w:rPr>
          <w:rFonts w:hint="eastAsia" w:ascii="仿宋_GB2312" w:hAnsi="仿宋_GB2312" w:eastAsia="仿宋_GB2312" w:cs="仿宋_GB2312"/>
          <w:color w:val="auto"/>
          <w:sz w:val="30"/>
          <w:szCs w:val="30"/>
          <w:lang w:val="en-US" w:eastAsia="zh-CN"/>
        </w:rPr>
        <w:t>绩效情况分析</w:t>
      </w:r>
    </w:p>
    <w:p>
      <w:pPr>
        <w:pStyle w:val="11"/>
        <w:keepNext w:val="0"/>
        <w:keepLines w:val="0"/>
        <w:pageBreakBefore w:val="0"/>
        <w:kinsoku/>
        <w:wordWrap/>
        <w:overflowPunct/>
        <w:topLinePunct w:val="0"/>
        <w:autoSpaceDE/>
        <w:autoSpaceDN/>
        <w:bidi w:val="0"/>
        <w:adjustRightInd/>
        <w:spacing w:before="0" w:beforeAutospacing="0" w:after="0" w:afterAutospacing="0" w:line="560" w:lineRule="exact"/>
        <w:ind w:left="0" w:leftChars="0" w:right="0" w:rightChars="0" w:firstLine="600" w:firstLineChars="200"/>
        <w:jc w:val="both"/>
        <w:rPr>
          <w:rFonts w:hint="default" w:ascii="仿宋_GB2312" w:hAnsi="仿宋_GB2312" w:eastAsia="仿宋_GB2312" w:cs="仿宋_GB2312"/>
          <w:bCs/>
          <w:color w:val="auto"/>
          <w:kern w:val="0"/>
          <w:sz w:val="30"/>
          <w:szCs w:val="30"/>
          <w:lang w:val="en-US" w:eastAsia="zh-CN" w:bidi="ar-SA"/>
        </w:rPr>
      </w:pPr>
      <w:r>
        <w:rPr>
          <w:rFonts w:hint="eastAsia" w:ascii="仿宋_GB2312" w:hAnsi="仿宋_GB2312" w:eastAsia="仿宋_GB2312" w:cs="仿宋_GB2312"/>
          <w:bCs/>
          <w:color w:val="auto"/>
          <w:kern w:val="0"/>
          <w:sz w:val="30"/>
          <w:szCs w:val="30"/>
          <w:lang w:val="en-US" w:eastAsia="zh-CN" w:bidi="ar-SA"/>
        </w:rPr>
        <w:t>根据专项资金分配方案，我局建立了专项资金管理制度，确保专项资金及时到位，执法办案取得实效。具体如下：市本级食品药品检测能力建设专项经费40万元，食品安全监督抽检完成2363批次，任务完成率为101.63%，其中合格2284批次，合格率为96.66%。</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三、部门整体支出绩效情况</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auto"/>
          <w:kern w:val="2"/>
          <w:sz w:val="30"/>
          <w:szCs w:val="30"/>
          <w:lang w:val="en-US" w:eastAsia="zh-CN" w:bidi="ar"/>
        </w:rPr>
      </w:pPr>
      <w:r>
        <w:rPr>
          <w:rFonts w:hint="eastAsia" w:ascii="仿宋_GB2312" w:hAnsi="仿宋_GB2312" w:eastAsia="仿宋_GB2312" w:cs="仿宋_GB2312"/>
          <w:b/>
          <w:bCs w:val="0"/>
          <w:color w:val="auto"/>
          <w:kern w:val="0"/>
          <w:sz w:val="30"/>
          <w:szCs w:val="30"/>
          <w:lang w:val="en-US" w:eastAsia="zh-CN" w:bidi="ar"/>
        </w:rPr>
        <w:t>（一）深化商事改革。</w:t>
      </w:r>
      <w:r>
        <w:rPr>
          <w:rFonts w:hint="eastAsia" w:ascii="仿宋_GB2312" w:hAnsi="仿宋_GB2312" w:eastAsia="仿宋_GB2312" w:cs="仿宋_GB2312"/>
          <w:color w:val="auto"/>
          <w:kern w:val="2"/>
          <w:sz w:val="30"/>
          <w:szCs w:val="30"/>
          <w:lang w:val="en-US" w:eastAsia="zh-CN" w:bidi="ar"/>
        </w:rPr>
        <w:t>推行便民举措，提高登记注册便利度，取消企业名称预先核准，压缩企业开办时间，企业设立登记仅需1天，最短可在1个小时内办结。推进“企业开办全程网上办”“证照合一”和市场主体准入“一业一照”“一照通”改革。截至11月28日，全市实有经营主体69811户，净增4081户，预期4374户，完成率93.30%。其中企业实有15217户，净增1501户，预期1450户，完成率103.5%，个转企178户，预期124户，完成率143.55%。</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auto"/>
          <w:kern w:val="2"/>
          <w:sz w:val="30"/>
          <w:szCs w:val="30"/>
          <w:lang w:val="en-US" w:eastAsia="zh-CN" w:bidi="ar"/>
        </w:rPr>
      </w:pPr>
      <w:r>
        <w:rPr>
          <w:rFonts w:hint="eastAsia" w:ascii="仿宋_GB2312" w:hAnsi="仿宋_GB2312" w:eastAsia="仿宋_GB2312" w:cs="仿宋_GB2312"/>
          <w:b/>
          <w:bCs w:val="0"/>
          <w:color w:val="auto"/>
          <w:kern w:val="0"/>
          <w:sz w:val="30"/>
          <w:szCs w:val="30"/>
          <w:lang w:val="en-US" w:eastAsia="zh-CN" w:bidi="ar"/>
        </w:rPr>
        <w:t>（二）强化公平审查。</w:t>
      </w:r>
      <w:r>
        <w:rPr>
          <w:rFonts w:hint="eastAsia" w:ascii="仿宋_GB2312" w:hAnsi="仿宋_GB2312" w:eastAsia="仿宋_GB2312" w:cs="仿宋_GB2312"/>
          <w:color w:val="auto"/>
          <w:kern w:val="2"/>
          <w:sz w:val="30"/>
          <w:szCs w:val="30"/>
          <w:lang w:val="en-US" w:eastAsia="zh-CN" w:bidi="ar"/>
        </w:rPr>
        <w:t>以打造全省公平竞争审查高水平样板为目标，不断完善审查机制。扎实开展专项清理工作，组织开展政策措施清理行动，各成员单位审查质量不断提高，能够做到“实时审查”，常态化开展县本级业务培训。</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auto"/>
          <w:kern w:val="2"/>
          <w:sz w:val="30"/>
          <w:szCs w:val="30"/>
          <w:lang w:val="en-US" w:eastAsia="zh-CN" w:bidi="ar"/>
        </w:rPr>
      </w:pPr>
      <w:r>
        <w:rPr>
          <w:rFonts w:hint="eastAsia" w:ascii="仿宋_GB2312" w:hAnsi="仿宋_GB2312" w:eastAsia="仿宋_GB2312" w:cs="仿宋_GB2312"/>
          <w:b/>
          <w:bCs w:val="0"/>
          <w:color w:val="auto"/>
          <w:kern w:val="0"/>
          <w:sz w:val="30"/>
          <w:szCs w:val="30"/>
          <w:lang w:val="en-US" w:eastAsia="zh-CN" w:bidi="ar"/>
        </w:rPr>
        <w:t>（三）夯实监管举措。</w:t>
      </w:r>
      <w:r>
        <w:rPr>
          <w:rFonts w:hint="eastAsia" w:ascii="仿宋_GB2312" w:hAnsi="仿宋_GB2312" w:eastAsia="仿宋_GB2312" w:cs="仿宋_GB2312"/>
          <w:color w:val="auto"/>
          <w:kern w:val="2"/>
          <w:sz w:val="30"/>
          <w:szCs w:val="30"/>
          <w:lang w:val="en-US" w:eastAsia="zh-CN" w:bidi="ar"/>
        </w:rPr>
        <w:t>推进“双随机一公开”监管。制定或接收双随机抽查任务212项，均已启动并完成，其中跨部门联合抽查任务138项，完成比例为65.09%。抽取检查人员862人，应检查对象1330个，已全部录入并公示检查结果，完成公示率达100%。市场主体年报常抓常好。2023年度企业、个体、农专年报率99.46%、99.85%、98.26%，企业年报非零值率99.25%。实施联合惩戒，规范信用修复，公示异常名录列入信息81条，列入严重违法失信名单4户，协助人民法院公示股权冻结22条信息，系统修复异常名录信息46条、修复严重违法失信信息8条，引导34家企业完成处罚信息修复。</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auto"/>
          <w:kern w:val="2"/>
          <w:sz w:val="30"/>
          <w:szCs w:val="30"/>
          <w:lang w:val="en-US" w:eastAsia="zh-CN" w:bidi="ar"/>
        </w:rPr>
      </w:pPr>
      <w:r>
        <w:rPr>
          <w:rFonts w:hint="eastAsia" w:ascii="仿宋_GB2312" w:hAnsi="仿宋_GB2312" w:eastAsia="仿宋_GB2312" w:cs="仿宋_GB2312"/>
          <w:b/>
          <w:bCs/>
          <w:color w:val="auto"/>
          <w:sz w:val="30"/>
          <w:szCs w:val="30"/>
          <w:lang w:val="en-US" w:eastAsia="zh-CN"/>
        </w:rPr>
        <w:t>（四）筑牢安全防线。</w:t>
      </w:r>
      <w:r>
        <w:rPr>
          <w:rFonts w:hint="eastAsia" w:ascii="仿宋_GB2312" w:hAnsi="仿宋_GB2312" w:eastAsia="仿宋_GB2312" w:cs="仿宋_GB2312"/>
          <w:color w:val="auto"/>
          <w:kern w:val="2"/>
          <w:sz w:val="30"/>
          <w:szCs w:val="30"/>
          <w:lang w:val="en-US" w:eastAsia="zh-CN" w:bidi="ar"/>
        </w:rPr>
        <w:t>严守食品安全底线。以校园食品安全排查整治为重点，通过公示投诉举报电话、公布反食品浪费典型案例、联合学校开展多种宣传活动，举办宣讲课10场、发放宣传资料3000余份。清查学校食堂“三防”及餐饮具消毒设施，下达责令改正通知书93份，查处案件17起。配合制定供应商筛选标准与流程，督促明确食品安全总监，全市学校食堂包保督导率达100%，165所学校完成“互联网+明厨亮灶”监管平台建设，建立信用档案，实施信用分级分类监管，档案完善率100%。食品安全监督抽检完成2363批次，任务完成率为101.63%，其中合格2284批次，合格率为96.66%。严守药品安全底线。围绕药品安全风险管控主线，开展“年关守护行动”和药品安全巩固提升行动，检查药品经营使用单位687家，医疗机构232家，下发责令改正151份，立案76起。严守特种设备安全底线。深入开展专项整治，检查特种设备生产使用单位227家，发现重大安全隐患34处，已全部完成整改，立案37起。</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auto"/>
          <w:kern w:val="2"/>
          <w:sz w:val="30"/>
          <w:szCs w:val="30"/>
          <w:lang w:val="en-US" w:eastAsia="zh-CN" w:bidi="ar"/>
        </w:rPr>
      </w:pPr>
      <w:r>
        <w:rPr>
          <w:rFonts w:hint="eastAsia" w:ascii="仿宋_GB2312" w:hAnsi="仿宋_GB2312" w:eastAsia="仿宋_GB2312" w:cs="仿宋_GB2312"/>
          <w:b/>
          <w:bCs/>
          <w:color w:val="auto"/>
          <w:sz w:val="30"/>
          <w:szCs w:val="30"/>
          <w:lang w:val="en-US" w:eastAsia="zh-CN"/>
        </w:rPr>
        <w:t>（五）聚焦消费维权。</w:t>
      </w:r>
      <w:r>
        <w:rPr>
          <w:rFonts w:hint="eastAsia" w:ascii="仿宋_GB2312" w:hAnsi="仿宋_GB2312" w:eastAsia="仿宋_GB2312" w:cs="仿宋_GB2312"/>
          <w:color w:val="auto"/>
          <w:kern w:val="2"/>
          <w:sz w:val="30"/>
          <w:szCs w:val="30"/>
          <w:lang w:val="en-US" w:eastAsia="zh-CN" w:bidi="ar"/>
        </w:rPr>
        <w:t>积极做好消费维权宣传，组织开展以“激发消费活力”为主题的315国际消费者权益日宣传活动。12315平台受理消费者投诉举报1044件，办结917件，办结率87.83%。督促企业落实主体责任，对家用汽车及其产品销售服务企业、经营单用途预付卡超市开展“双随机、一公开”监督检查。</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auto"/>
          <w:kern w:val="2"/>
          <w:sz w:val="30"/>
          <w:szCs w:val="30"/>
          <w:lang w:val="en-US" w:eastAsia="zh-CN" w:bidi="ar"/>
        </w:rPr>
      </w:pPr>
      <w:r>
        <w:rPr>
          <w:rFonts w:hint="eastAsia" w:ascii="仿宋_GB2312" w:hAnsi="仿宋_GB2312" w:eastAsia="仿宋_GB2312" w:cs="仿宋_GB2312"/>
          <w:b/>
          <w:bCs/>
          <w:color w:val="auto"/>
          <w:sz w:val="30"/>
          <w:szCs w:val="30"/>
          <w:lang w:val="en-US" w:eastAsia="zh-CN"/>
        </w:rPr>
        <w:t>（六）强化知识产权。</w:t>
      </w:r>
      <w:r>
        <w:rPr>
          <w:rFonts w:hint="eastAsia" w:ascii="仿宋_GB2312" w:hAnsi="仿宋_GB2312" w:eastAsia="仿宋_GB2312" w:cs="仿宋_GB2312"/>
          <w:color w:val="auto"/>
          <w:kern w:val="2"/>
          <w:sz w:val="30"/>
          <w:szCs w:val="30"/>
          <w:lang w:val="en-US" w:eastAsia="zh-CN" w:bidi="ar"/>
        </w:rPr>
        <w:t>专利申请与授权量稳步增长，专利授权量为198件，其中发明专利授权量29件，同比增长率123.08%。全市有效发明专利162件。每万人发明专利拥有量2.12件，高价值发明专利13件。新增商标注册622件，有效商标注册总量7402件。促成专利技术转让与许可合同37份，涉及金额210万元，查处知识产权侵权假冒案件11起。</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auto"/>
          <w:sz w:val="30"/>
          <w:szCs w:val="30"/>
          <w:lang w:val="en-US" w:eastAsia="zh-CN"/>
        </w:rPr>
        <w:t>（七）强化监管执法。</w:t>
      </w:r>
      <w:r>
        <w:rPr>
          <w:rFonts w:hint="eastAsia" w:ascii="仿宋_GB2312" w:hAnsi="仿宋_GB2312" w:eastAsia="仿宋_GB2312" w:cs="仿宋_GB2312"/>
          <w:color w:val="auto"/>
          <w:kern w:val="2"/>
          <w:sz w:val="30"/>
          <w:szCs w:val="30"/>
          <w:lang w:val="en-US" w:eastAsia="zh-CN" w:bidi="ar"/>
        </w:rPr>
        <w:t>持续开展民生领域案件查办“铁拳”行动，深入推进反垄断和反不正当竞争执法，全局全年立案430件。开展春运票价检查，加强生活必需品、农资、医疗、教育收费价格监管检查力度，已检查医院15所，学校35所。加大价格举报投诉处理力度，受理举报投诉件235件，向执法大队移送案件线索5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四、绩效评价结论</w:t>
      </w:r>
    </w:p>
    <w:p>
      <w:pPr>
        <w:pStyle w:val="2"/>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auto"/>
          <w:kern w:val="2"/>
          <w:sz w:val="30"/>
          <w:szCs w:val="30"/>
          <w:lang w:val="en-US" w:eastAsia="zh-CN" w:bidi="ar"/>
        </w:rPr>
      </w:pPr>
      <w:r>
        <w:rPr>
          <w:rFonts w:hint="eastAsia" w:ascii="仿宋_GB2312" w:hAnsi="仿宋_GB2312" w:eastAsia="仿宋_GB2312" w:cs="仿宋_GB2312"/>
          <w:color w:val="auto"/>
          <w:kern w:val="2"/>
          <w:sz w:val="30"/>
          <w:szCs w:val="30"/>
          <w:lang w:val="en-US" w:eastAsia="zh-CN" w:bidi="ar"/>
        </w:rPr>
        <w:t>我局结合单位实际，根据2024年度业务工作报告及2024年实际工作情况，开展绩效自评。对于上年度绩效评价结果提出的需要整改的情况，我局领导高度重视，在评价工作结束后，积极开展整改行动抓落实，对照问题清单，认真填写整改报告书，对问题切实改正，用制度的手段规范资金使用，提升了资金使用效益，为下一次绩效评价工作做好准备。</w:t>
      </w:r>
    </w:p>
    <w:p>
      <w:pPr>
        <w:keepNext w:val="0"/>
        <w:keepLines w:val="0"/>
        <w:pageBreakBefore w:val="0"/>
        <w:numPr>
          <w:ilvl w:val="0"/>
          <w:numId w:val="0"/>
        </w:numPr>
        <w:pBdr>
          <w:bottom w:val="single" w:color="FFFFFF" w:sz="4" w:space="31"/>
        </w:pBdr>
        <w:kinsoku/>
        <w:wordWrap/>
        <w:overflowPunct/>
        <w:topLinePunct w:val="0"/>
        <w:autoSpaceDE/>
        <w:autoSpaceDN/>
        <w:bidi w:val="0"/>
        <w:adjustRightInd/>
        <w:snapToGrid w:val="0"/>
        <w:spacing w:beforeAutospacing="0" w:line="560" w:lineRule="exact"/>
        <w:ind w:right="0" w:rightChars="0" w:firstLine="640" w:firstLineChars="200"/>
        <w:jc w:val="both"/>
        <w:rPr>
          <w:rFonts w:hint="eastAsia" w:ascii="黑体" w:hAnsi="黑体" w:eastAsia="黑体" w:cs="黑体"/>
          <w:sz w:val="32"/>
          <w:szCs w:val="32"/>
        </w:rPr>
      </w:pPr>
      <w:r>
        <w:rPr>
          <w:rFonts w:hint="eastAsia" w:ascii="黑体" w:hAnsi="黑体" w:eastAsia="黑体" w:cs="黑体"/>
          <w:sz w:val="32"/>
          <w:szCs w:val="32"/>
        </w:rPr>
        <w:t>五、存在的主要问题</w:t>
      </w:r>
    </w:p>
    <w:p>
      <w:pPr>
        <w:keepNext w:val="0"/>
        <w:keepLines w:val="0"/>
        <w:pageBreakBefore w:val="0"/>
        <w:numPr>
          <w:ilvl w:val="0"/>
          <w:numId w:val="0"/>
        </w:numPr>
        <w:pBdr>
          <w:bottom w:val="single" w:color="FFFFFF" w:sz="4" w:space="31"/>
        </w:pBdr>
        <w:kinsoku/>
        <w:wordWrap/>
        <w:overflowPunct/>
        <w:topLinePunct w:val="0"/>
        <w:autoSpaceDE/>
        <w:autoSpaceDN/>
        <w:bidi w:val="0"/>
        <w:adjustRightInd/>
        <w:snapToGrid w:val="0"/>
        <w:spacing w:beforeAutospacing="0" w:line="560" w:lineRule="exact"/>
        <w:ind w:right="0" w:rightChars="0" w:firstLine="600" w:firstLineChars="200"/>
        <w:jc w:val="both"/>
        <w:rPr>
          <w:rFonts w:hint="eastAsia" w:ascii="仿宋_GB2312" w:hAnsi="仿宋_GB2312" w:eastAsia="仿宋_GB2312" w:cs="仿宋_GB2312"/>
          <w:color w:val="auto"/>
          <w:spacing w:val="15"/>
          <w:kern w:val="0"/>
          <w:sz w:val="30"/>
          <w:szCs w:val="30"/>
          <w:lang w:val="en-US" w:eastAsia="zh-CN" w:bidi="ar-SA"/>
        </w:rPr>
      </w:pPr>
      <w:r>
        <w:rPr>
          <w:rFonts w:hint="eastAsia" w:ascii="仿宋_GB2312" w:hAnsi="仿宋_GB2312" w:eastAsia="仿宋_GB2312" w:cs="仿宋_GB2312"/>
          <w:b/>
          <w:bCs w:val="0"/>
          <w:color w:val="auto"/>
          <w:kern w:val="0"/>
          <w:sz w:val="30"/>
          <w:szCs w:val="30"/>
          <w:lang w:val="en-US" w:eastAsia="zh-CN" w:bidi="ar"/>
        </w:rPr>
        <w:t>1.安全责任有待加压。</w:t>
      </w:r>
      <w:r>
        <w:rPr>
          <w:rFonts w:hint="eastAsia" w:ascii="仿宋_GB2312" w:hAnsi="仿宋_GB2312" w:eastAsia="仿宋_GB2312" w:cs="仿宋_GB2312"/>
          <w:color w:val="auto"/>
          <w:sz w:val="30"/>
          <w:szCs w:val="30"/>
          <w:lang w:val="en-US" w:eastAsia="zh-CN"/>
        </w:rPr>
        <w:t>部分食品药品、特种设备经营（使用）主体安全</w:t>
      </w:r>
      <w:r>
        <w:rPr>
          <w:rFonts w:hint="eastAsia" w:ascii="仿宋_GB2312" w:hAnsi="仿宋_GB2312" w:eastAsia="仿宋_GB2312" w:cs="仿宋_GB2312"/>
          <w:color w:val="auto"/>
          <w:spacing w:val="15"/>
          <w:kern w:val="0"/>
          <w:sz w:val="30"/>
          <w:szCs w:val="30"/>
          <w:lang w:val="en-US" w:eastAsia="zh-CN" w:bidi="ar-SA"/>
        </w:rPr>
        <w:t>意识不强，未能按相关规定全面落实企业主体责任，安全监管形势不能掉以轻心。</w:t>
      </w:r>
    </w:p>
    <w:p>
      <w:pPr>
        <w:keepNext w:val="0"/>
        <w:keepLines w:val="0"/>
        <w:pageBreakBefore w:val="0"/>
        <w:numPr>
          <w:ilvl w:val="0"/>
          <w:numId w:val="0"/>
        </w:numPr>
        <w:pBdr>
          <w:bottom w:val="single" w:color="FFFFFF" w:sz="4" w:space="31"/>
        </w:pBdr>
        <w:kinsoku/>
        <w:wordWrap/>
        <w:overflowPunct/>
        <w:topLinePunct w:val="0"/>
        <w:autoSpaceDE/>
        <w:autoSpaceDN/>
        <w:bidi w:val="0"/>
        <w:adjustRightInd/>
        <w:snapToGrid w:val="0"/>
        <w:spacing w:beforeAutospacing="0" w:line="560" w:lineRule="exact"/>
        <w:ind w:right="0" w:rightChars="0" w:firstLine="600" w:firstLineChars="200"/>
        <w:jc w:val="both"/>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b/>
          <w:bCs/>
          <w:color w:val="auto"/>
          <w:sz w:val="30"/>
          <w:szCs w:val="30"/>
          <w:lang w:val="en-US" w:eastAsia="zh-CN"/>
        </w:rPr>
        <w:t>2.保障投入有待加大。</w:t>
      </w:r>
      <w:r>
        <w:rPr>
          <w:rFonts w:hint="eastAsia" w:ascii="仿宋_GB2312" w:hAnsi="仿宋_GB2312" w:eastAsia="仿宋_GB2312" w:cs="仿宋_GB2312"/>
          <w:color w:val="auto"/>
          <w:sz w:val="30"/>
          <w:szCs w:val="30"/>
          <w:lang w:val="en-US" w:eastAsia="zh-CN"/>
        </w:rPr>
        <w:t>检验检测能力不足，技术支撑能力不强。检验检测中心实验室对多个项目不具备检定资质，送检增加了工作成本；部分检验验测设备已经老化，无力及时更新，检测数据失真。</w:t>
      </w:r>
    </w:p>
    <w:p>
      <w:pPr>
        <w:keepNext w:val="0"/>
        <w:keepLines w:val="0"/>
        <w:pageBreakBefore w:val="0"/>
        <w:numPr>
          <w:ilvl w:val="0"/>
          <w:numId w:val="0"/>
        </w:numPr>
        <w:pBdr>
          <w:bottom w:val="single" w:color="FFFFFF" w:sz="4" w:space="31"/>
        </w:pBdr>
        <w:kinsoku/>
        <w:wordWrap/>
        <w:overflowPunct/>
        <w:topLinePunct w:val="0"/>
        <w:autoSpaceDE/>
        <w:autoSpaceDN/>
        <w:bidi w:val="0"/>
        <w:adjustRightInd/>
        <w:snapToGrid w:val="0"/>
        <w:spacing w:beforeAutospacing="0" w:line="560" w:lineRule="exact"/>
        <w:ind w:right="0" w:rightChars="0" w:firstLine="640" w:firstLineChars="200"/>
        <w:jc w:val="both"/>
        <w:rPr>
          <w:rFonts w:hint="eastAsia" w:ascii="黑体" w:hAnsi="黑体" w:eastAsia="黑体" w:cs="黑体"/>
          <w:sz w:val="32"/>
          <w:szCs w:val="32"/>
        </w:rPr>
      </w:pPr>
      <w:r>
        <w:rPr>
          <w:rFonts w:hint="eastAsia" w:ascii="黑体" w:hAnsi="黑体" w:eastAsia="黑体" w:cs="黑体"/>
          <w:sz w:val="32"/>
          <w:szCs w:val="32"/>
        </w:rPr>
        <w:t>六、改进措施和有关建议</w:t>
      </w:r>
    </w:p>
    <w:p>
      <w:pPr>
        <w:keepNext w:val="0"/>
        <w:keepLines w:val="0"/>
        <w:pageBreakBefore w:val="0"/>
        <w:numPr>
          <w:ilvl w:val="0"/>
          <w:numId w:val="0"/>
        </w:numPr>
        <w:pBdr>
          <w:bottom w:val="single" w:color="FFFFFF" w:sz="4" w:space="31"/>
        </w:pBdr>
        <w:kinsoku/>
        <w:wordWrap/>
        <w:overflowPunct/>
        <w:topLinePunct w:val="0"/>
        <w:autoSpaceDE/>
        <w:autoSpaceDN/>
        <w:bidi w:val="0"/>
        <w:adjustRightInd/>
        <w:snapToGrid w:val="0"/>
        <w:spacing w:beforeAutospacing="0" w:line="560" w:lineRule="exact"/>
        <w:ind w:right="0" w:rightChars="0" w:firstLine="600" w:firstLineChars="200"/>
        <w:jc w:val="both"/>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b/>
          <w:bCs/>
          <w:color w:val="auto"/>
          <w:sz w:val="30"/>
          <w:szCs w:val="30"/>
          <w:lang w:val="en-US" w:eastAsia="zh-CN"/>
        </w:rPr>
        <w:t>1.加强食品、药品安全监管。</w:t>
      </w:r>
      <w:r>
        <w:rPr>
          <w:rFonts w:hint="eastAsia" w:ascii="仿宋_GB2312" w:hAnsi="仿宋_GB2312" w:eastAsia="仿宋_GB2312" w:cs="仿宋_GB2312"/>
          <w:color w:val="auto"/>
          <w:sz w:val="30"/>
          <w:szCs w:val="30"/>
          <w:lang w:val="en-US" w:eastAsia="zh-CN"/>
        </w:rPr>
        <w:t>紧紧围绕食品安全保障，组织开展好各类食品专项整治，推进“互联网+明厨亮灶”建设，着力落实食品安全“两个责任”机制。开展药品安全专项整治，通过专项整治着力解决城乡结合部、农村存在的药品质量管理不到位的问题，提高个体诊所、村级卫生室的药品管理水平，确保不发生药品安全事故。</w:t>
      </w:r>
    </w:p>
    <w:p>
      <w:pPr>
        <w:keepNext w:val="0"/>
        <w:keepLines w:val="0"/>
        <w:pageBreakBefore w:val="0"/>
        <w:numPr>
          <w:ilvl w:val="0"/>
          <w:numId w:val="0"/>
        </w:numPr>
        <w:pBdr>
          <w:bottom w:val="single" w:color="FFFFFF" w:sz="4" w:space="31"/>
        </w:pBdr>
        <w:kinsoku/>
        <w:wordWrap/>
        <w:overflowPunct/>
        <w:topLinePunct w:val="0"/>
        <w:autoSpaceDE/>
        <w:autoSpaceDN/>
        <w:bidi w:val="0"/>
        <w:adjustRightInd/>
        <w:snapToGrid w:val="0"/>
        <w:spacing w:beforeAutospacing="0" w:line="560" w:lineRule="exact"/>
        <w:ind w:right="0" w:rightChars="0" w:firstLine="600" w:firstLineChars="200"/>
        <w:jc w:val="both"/>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b/>
          <w:bCs/>
          <w:color w:val="auto"/>
          <w:sz w:val="30"/>
          <w:szCs w:val="30"/>
          <w:lang w:val="en-US" w:eastAsia="zh-CN"/>
        </w:rPr>
        <w:t>2.强化特种设备安全监管。</w:t>
      </w:r>
      <w:r>
        <w:rPr>
          <w:rFonts w:hint="eastAsia" w:ascii="仿宋_GB2312" w:hAnsi="仿宋_GB2312" w:eastAsia="仿宋_GB2312" w:cs="仿宋_GB2312"/>
          <w:color w:val="auto"/>
          <w:sz w:val="30"/>
          <w:szCs w:val="30"/>
          <w:lang w:val="en-US" w:eastAsia="zh-CN"/>
        </w:rPr>
        <w:t>巩固液化石油气瓶安全专项整治成果，加大对锅炉、电梯、起重机械安装现场的监察力度，打击借证、挂靠、超期未检等违法违规行为。</w:t>
      </w:r>
    </w:p>
    <w:p>
      <w:pPr>
        <w:keepNext w:val="0"/>
        <w:keepLines w:val="0"/>
        <w:pageBreakBefore w:val="0"/>
        <w:numPr>
          <w:ilvl w:val="0"/>
          <w:numId w:val="0"/>
        </w:numPr>
        <w:pBdr>
          <w:bottom w:val="single" w:color="FFFFFF" w:sz="4" w:space="31"/>
        </w:pBdr>
        <w:kinsoku/>
        <w:wordWrap/>
        <w:overflowPunct/>
        <w:topLinePunct w:val="0"/>
        <w:autoSpaceDE/>
        <w:autoSpaceDN/>
        <w:bidi w:val="0"/>
        <w:adjustRightInd/>
        <w:snapToGrid w:val="0"/>
        <w:spacing w:beforeAutospacing="0" w:line="560" w:lineRule="exact"/>
        <w:ind w:right="0" w:rightChars="0" w:firstLine="600" w:firstLineChars="200"/>
        <w:jc w:val="both"/>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b/>
          <w:bCs/>
          <w:color w:val="auto"/>
          <w:sz w:val="30"/>
          <w:szCs w:val="30"/>
          <w:lang w:val="en-US" w:eastAsia="zh-CN"/>
        </w:rPr>
        <w:t>3.强化重点工业产品安全监管。</w:t>
      </w:r>
      <w:r>
        <w:rPr>
          <w:rFonts w:hint="eastAsia" w:ascii="仿宋_GB2312" w:hAnsi="仿宋_GB2312" w:eastAsia="仿宋_GB2312" w:cs="仿宋_GB2312"/>
          <w:color w:val="auto"/>
          <w:sz w:val="30"/>
          <w:szCs w:val="30"/>
          <w:lang w:val="en-US" w:eastAsia="zh-CN"/>
        </w:rPr>
        <w:t>重点对危险化学品、烟花炮竹、电取暖器材及建材等重点工业产品加强质量安全抽查和监督检查，及时消除安全隐患。</w:t>
      </w:r>
    </w:p>
    <w:p>
      <w:pPr>
        <w:keepNext w:val="0"/>
        <w:keepLines w:val="0"/>
        <w:pageBreakBefore w:val="0"/>
        <w:numPr>
          <w:ilvl w:val="0"/>
          <w:numId w:val="0"/>
        </w:numPr>
        <w:pBdr>
          <w:bottom w:val="single" w:color="FFFFFF" w:sz="4" w:space="31"/>
        </w:pBdr>
        <w:kinsoku/>
        <w:wordWrap/>
        <w:overflowPunct/>
        <w:topLinePunct w:val="0"/>
        <w:autoSpaceDE/>
        <w:autoSpaceDN/>
        <w:bidi w:val="0"/>
        <w:adjustRightInd/>
        <w:snapToGrid w:val="0"/>
        <w:spacing w:beforeAutospacing="0" w:line="560" w:lineRule="exact"/>
        <w:ind w:right="0" w:rightChars="0"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七、其他需要说明的情况</w:t>
      </w:r>
    </w:p>
    <w:p>
      <w:pPr>
        <w:keepNext w:val="0"/>
        <w:keepLines w:val="0"/>
        <w:pageBreakBefore w:val="0"/>
        <w:numPr>
          <w:ilvl w:val="0"/>
          <w:numId w:val="0"/>
        </w:numPr>
        <w:pBdr>
          <w:bottom w:val="single" w:color="FFFFFF" w:sz="4" w:space="31"/>
        </w:pBdr>
        <w:kinsoku/>
        <w:wordWrap/>
        <w:overflowPunct/>
        <w:topLinePunct w:val="0"/>
        <w:autoSpaceDE/>
        <w:autoSpaceDN/>
        <w:bidi w:val="0"/>
        <w:adjustRightInd/>
        <w:snapToGrid w:val="0"/>
        <w:spacing w:beforeAutospacing="0" w:line="560" w:lineRule="exact"/>
        <w:ind w:right="0" w:rightChars="0" w:firstLine="600" w:firstLineChars="200"/>
        <w:jc w:val="both"/>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由于祁阳的人口和企业较多，涉及行业较广。要加强法治建设，做到依法行政，健全市场监管权责清单，落实案件内部审核机制，提升执法质量。市场监督管理工作难度较大，目前的市场监管专项经费已满足不了现有需求，建议上级加强市场监管方面的业务培训，加大对我局的资金帮扶，让市监工作更好的落到实处。</w:t>
      </w:r>
    </w:p>
    <w:p>
      <w:pPr>
        <w:pStyle w:val="16"/>
        <w:ind w:firstLine="1280" w:firstLineChars="400"/>
        <w:rPr>
          <w:rFonts w:ascii="Times New Roman" w:hAnsi="Times New Roman" w:eastAsia="仿宋_GB2312" w:cs="Times New Roman"/>
          <w:sz w:val="32"/>
          <w:szCs w:val="32"/>
        </w:rPr>
      </w:pPr>
    </w:p>
    <w:p>
      <w:pPr>
        <w:pStyle w:val="16"/>
        <w:spacing w:line="600" w:lineRule="exact"/>
        <w:ind w:firstLine="640" w:firstLineChars="200"/>
        <w:rPr>
          <w:rFonts w:ascii="Times New Roman" w:hAnsi="Times New Roman" w:eastAsia="仿宋_GB2312" w:cs="Times New Roman"/>
          <w:sz w:val="32"/>
          <w:szCs w:val="32"/>
        </w:rPr>
      </w:pPr>
    </w:p>
    <w:p>
      <w:pPr>
        <w:pStyle w:val="16"/>
        <w:jc w:val="center"/>
        <w:rPr>
          <w:rFonts w:ascii="Times New Roman" w:hAnsi="Times New Roman" w:cs="Times New Roman"/>
          <w:sz w:val="72"/>
          <w:szCs w:val="72"/>
        </w:rPr>
      </w:pPr>
    </w:p>
    <w:p>
      <w:pPr>
        <w:pStyle w:val="16"/>
        <w:jc w:val="center"/>
        <w:rPr>
          <w:rFonts w:ascii="Times New Roman" w:hAnsi="Times New Roman" w:cs="Times New Roman"/>
          <w:sz w:val="72"/>
          <w:szCs w:val="72"/>
        </w:rPr>
      </w:pPr>
    </w:p>
    <w:p>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URW Bookman"/>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楷体_GB2312">
    <w:altName w:val="方正楷体_GBK"/>
    <w:panose1 w:val="02010609030101010101"/>
    <w:charset w:val="86"/>
    <w:family w:val="modern"/>
    <w:pitch w:val="default"/>
    <w:sig w:usb0="00000000" w:usb1="00000000" w:usb2="0000001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URW Bookman">
    <w:panose1 w:val="00000400000000000000"/>
    <w:charset w:val="00"/>
    <w:family w:val="auto"/>
    <w:pitch w:val="default"/>
    <w:sig w:usb0="00000287" w:usb1="00000800" w:usb2="00000000" w:usb3="00000000" w:csb0="6000009F"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AnWxrOFQIAABkEAAAOAAAAAAAAAAEAIAAAADUBAABkcnMvZTJvRG9jLnhtbFBLBQYAAAAABgAG&#10;AFkBAAC8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20</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973C151"/>
    <w:rsid w:val="0B1397A9"/>
    <w:rsid w:val="0B709EE4"/>
    <w:rsid w:val="0E7B16A4"/>
    <w:rsid w:val="0F7F87E9"/>
    <w:rsid w:val="0FDE7AF9"/>
    <w:rsid w:val="16BB2111"/>
    <w:rsid w:val="16DF64CB"/>
    <w:rsid w:val="173FA99A"/>
    <w:rsid w:val="176BC7DA"/>
    <w:rsid w:val="17AF48B9"/>
    <w:rsid w:val="1BB9FC62"/>
    <w:rsid w:val="1BBE730A"/>
    <w:rsid w:val="1BDF28B8"/>
    <w:rsid w:val="1D2E61A2"/>
    <w:rsid w:val="1D97DEFF"/>
    <w:rsid w:val="1DEF2B75"/>
    <w:rsid w:val="1DFF72E5"/>
    <w:rsid w:val="1DFFB574"/>
    <w:rsid w:val="1E699666"/>
    <w:rsid w:val="1E7FBAC1"/>
    <w:rsid w:val="1EB7C3D7"/>
    <w:rsid w:val="1EF7FF57"/>
    <w:rsid w:val="1EFC6F07"/>
    <w:rsid w:val="1EFCC66D"/>
    <w:rsid w:val="1EFE2507"/>
    <w:rsid w:val="1F174DF4"/>
    <w:rsid w:val="1F7FCE3E"/>
    <w:rsid w:val="1FEFA0DA"/>
    <w:rsid w:val="1FFB066C"/>
    <w:rsid w:val="224B2161"/>
    <w:rsid w:val="23DB4F3F"/>
    <w:rsid w:val="23F75DED"/>
    <w:rsid w:val="24DDA066"/>
    <w:rsid w:val="26AF2475"/>
    <w:rsid w:val="277E6C06"/>
    <w:rsid w:val="27B6EDEB"/>
    <w:rsid w:val="27BD0ADC"/>
    <w:rsid w:val="27BEE3B4"/>
    <w:rsid w:val="27DDCFB5"/>
    <w:rsid w:val="282E9A3B"/>
    <w:rsid w:val="29F91475"/>
    <w:rsid w:val="2D3ACCD7"/>
    <w:rsid w:val="2D712235"/>
    <w:rsid w:val="2D7FD096"/>
    <w:rsid w:val="2D8FC0BD"/>
    <w:rsid w:val="2DBE29D6"/>
    <w:rsid w:val="2DFF0FD2"/>
    <w:rsid w:val="2FA799C4"/>
    <w:rsid w:val="2FAB07B3"/>
    <w:rsid w:val="2FDF85B8"/>
    <w:rsid w:val="2FFE4BD9"/>
    <w:rsid w:val="2FFEEF39"/>
    <w:rsid w:val="2FFFEE04"/>
    <w:rsid w:val="317F5402"/>
    <w:rsid w:val="31DD249B"/>
    <w:rsid w:val="33BF5074"/>
    <w:rsid w:val="33CE0D9A"/>
    <w:rsid w:val="33FA599D"/>
    <w:rsid w:val="34DF85B0"/>
    <w:rsid w:val="34EFF643"/>
    <w:rsid w:val="35F86559"/>
    <w:rsid w:val="36ABABF1"/>
    <w:rsid w:val="36B043EC"/>
    <w:rsid w:val="371FC418"/>
    <w:rsid w:val="374DFDE2"/>
    <w:rsid w:val="375BA87E"/>
    <w:rsid w:val="37717AD9"/>
    <w:rsid w:val="377FBF06"/>
    <w:rsid w:val="37A6B1DB"/>
    <w:rsid w:val="37DF921B"/>
    <w:rsid w:val="39F913C6"/>
    <w:rsid w:val="39FF8CA7"/>
    <w:rsid w:val="3AFE0121"/>
    <w:rsid w:val="3B6FB34D"/>
    <w:rsid w:val="3B7F6CF5"/>
    <w:rsid w:val="3B7F9657"/>
    <w:rsid w:val="3B8F36BC"/>
    <w:rsid w:val="3B9E04DF"/>
    <w:rsid w:val="3BDE2A74"/>
    <w:rsid w:val="3BE6F62C"/>
    <w:rsid w:val="3BFF8C2E"/>
    <w:rsid w:val="3C3BFC79"/>
    <w:rsid w:val="3D6E8BA5"/>
    <w:rsid w:val="3D73F72E"/>
    <w:rsid w:val="3D863B13"/>
    <w:rsid w:val="3D8F4C04"/>
    <w:rsid w:val="3DBF25BE"/>
    <w:rsid w:val="3DBFE1D7"/>
    <w:rsid w:val="3DFF1652"/>
    <w:rsid w:val="3DFF72ED"/>
    <w:rsid w:val="3E8943D1"/>
    <w:rsid w:val="3EAAEE9E"/>
    <w:rsid w:val="3EDF9775"/>
    <w:rsid w:val="3EEF83EC"/>
    <w:rsid w:val="3EFEDA80"/>
    <w:rsid w:val="3F3D01DD"/>
    <w:rsid w:val="3F3F511A"/>
    <w:rsid w:val="3F421880"/>
    <w:rsid w:val="3F5F56AA"/>
    <w:rsid w:val="3F5FC769"/>
    <w:rsid w:val="3F9F014B"/>
    <w:rsid w:val="3FA78841"/>
    <w:rsid w:val="3FB70E7B"/>
    <w:rsid w:val="3FBDD01F"/>
    <w:rsid w:val="3FBE2864"/>
    <w:rsid w:val="3FBF928A"/>
    <w:rsid w:val="3FCE0059"/>
    <w:rsid w:val="3FCFDE02"/>
    <w:rsid w:val="3FDEFD5D"/>
    <w:rsid w:val="3FE78202"/>
    <w:rsid w:val="3FEC8F16"/>
    <w:rsid w:val="3FEEF3CC"/>
    <w:rsid w:val="3FF310D3"/>
    <w:rsid w:val="3FF583C1"/>
    <w:rsid w:val="3FF7188B"/>
    <w:rsid w:val="3FF72634"/>
    <w:rsid w:val="3FFB89C6"/>
    <w:rsid w:val="3FFBA5BA"/>
    <w:rsid w:val="3FFCB714"/>
    <w:rsid w:val="3FFF75A8"/>
    <w:rsid w:val="3FFF94E5"/>
    <w:rsid w:val="429F4035"/>
    <w:rsid w:val="45B9D49C"/>
    <w:rsid w:val="46E9A602"/>
    <w:rsid w:val="4779293D"/>
    <w:rsid w:val="47BE9080"/>
    <w:rsid w:val="47F4BDE4"/>
    <w:rsid w:val="491FF225"/>
    <w:rsid w:val="4A6710B2"/>
    <w:rsid w:val="4BBE143A"/>
    <w:rsid w:val="4BD71CFB"/>
    <w:rsid w:val="4D7E2987"/>
    <w:rsid w:val="4E2A241D"/>
    <w:rsid w:val="4E3F4CBA"/>
    <w:rsid w:val="4EC62B2D"/>
    <w:rsid w:val="4EDF8C33"/>
    <w:rsid w:val="4EFD9A28"/>
    <w:rsid w:val="4F7FACDD"/>
    <w:rsid w:val="4FD6F942"/>
    <w:rsid w:val="4FFD214C"/>
    <w:rsid w:val="517E6E7F"/>
    <w:rsid w:val="51FB7D50"/>
    <w:rsid w:val="537D35BD"/>
    <w:rsid w:val="53ADE53C"/>
    <w:rsid w:val="53B77A12"/>
    <w:rsid w:val="53FB4183"/>
    <w:rsid w:val="5531F31C"/>
    <w:rsid w:val="56FF63D6"/>
    <w:rsid w:val="5777D4F5"/>
    <w:rsid w:val="57EE225E"/>
    <w:rsid w:val="57FDA65B"/>
    <w:rsid w:val="57FEDEE9"/>
    <w:rsid w:val="57FF4646"/>
    <w:rsid w:val="57FFF00E"/>
    <w:rsid w:val="587762B9"/>
    <w:rsid w:val="587F3377"/>
    <w:rsid w:val="59BB4961"/>
    <w:rsid w:val="59DD8326"/>
    <w:rsid w:val="59FB80F0"/>
    <w:rsid w:val="5A7FDA10"/>
    <w:rsid w:val="5AFFB535"/>
    <w:rsid w:val="5B4D5565"/>
    <w:rsid w:val="5BAFEAED"/>
    <w:rsid w:val="5BECE895"/>
    <w:rsid w:val="5BFA9380"/>
    <w:rsid w:val="5BFBAE52"/>
    <w:rsid w:val="5C971559"/>
    <w:rsid w:val="5CDE452D"/>
    <w:rsid w:val="5CF35764"/>
    <w:rsid w:val="5D5C68E3"/>
    <w:rsid w:val="5D7F0A68"/>
    <w:rsid w:val="5DB64753"/>
    <w:rsid w:val="5DEE10CC"/>
    <w:rsid w:val="5DEF592A"/>
    <w:rsid w:val="5DFAFB30"/>
    <w:rsid w:val="5E692EE7"/>
    <w:rsid w:val="5E7F9487"/>
    <w:rsid w:val="5E8AAB80"/>
    <w:rsid w:val="5EB70748"/>
    <w:rsid w:val="5EBE18DD"/>
    <w:rsid w:val="5EBF9AC6"/>
    <w:rsid w:val="5ECCBD8E"/>
    <w:rsid w:val="5EDF30AF"/>
    <w:rsid w:val="5EE73F50"/>
    <w:rsid w:val="5EEF1628"/>
    <w:rsid w:val="5EFECD2A"/>
    <w:rsid w:val="5F373C3A"/>
    <w:rsid w:val="5F5FC3EE"/>
    <w:rsid w:val="5FA63A43"/>
    <w:rsid w:val="5FBCA56F"/>
    <w:rsid w:val="5FBFB3F7"/>
    <w:rsid w:val="5FC6BB1E"/>
    <w:rsid w:val="5FD389C3"/>
    <w:rsid w:val="5FD73480"/>
    <w:rsid w:val="5FD79142"/>
    <w:rsid w:val="5FF720F1"/>
    <w:rsid w:val="5FF7BD41"/>
    <w:rsid w:val="5FFBF8E7"/>
    <w:rsid w:val="5FFD1154"/>
    <w:rsid w:val="5FFD5919"/>
    <w:rsid w:val="5FFE3555"/>
    <w:rsid w:val="5FFE5515"/>
    <w:rsid w:val="5FFF3C50"/>
    <w:rsid w:val="5FFF5F23"/>
    <w:rsid w:val="627CA1D2"/>
    <w:rsid w:val="63BA7623"/>
    <w:rsid w:val="63DE4656"/>
    <w:rsid w:val="63FDD7CB"/>
    <w:rsid w:val="63FF4C25"/>
    <w:rsid w:val="6757AA2C"/>
    <w:rsid w:val="675F3C3A"/>
    <w:rsid w:val="677EE85A"/>
    <w:rsid w:val="67FF5C0B"/>
    <w:rsid w:val="67FFF9CF"/>
    <w:rsid w:val="697FCAF2"/>
    <w:rsid w:val="6A3FD49B"/>
    <w:rsid w:val="6A7321C0"/>
    <w:rsid w:val="6ADE0F96"/>
    <w:rsid w:val="6ADF6632"/>
    <w:rsid w:val="6B3F7F53"/>
    <w:rsid w:val="6B6F24FB"/>
    <w:rsid w:val="6BCBEA46"/>
    <w:rsid w:val="6BD9CE5F"/>
    <w:rsid w:val="6BDFD66A"/>
    <w:rsid w:val="6BFAEFC5"/>
    <w:rsid w:val="6BFD28BE"/>
    <w:rsid w:val="6C4B6F83"/>
    <w:rsid w:val="6CF7D6C4"/>
    <w:rsid w:val="6D5D28EB"/>
    <w:rsid w:val="6D9B0A78"/>
    <w:rsid w:val="6DFBBF5F"/>
    <w:rsid w:val="6E7646FD"/>
    <w:rsid w:val="6ECEA998"/>
    <w:rsid w:val="6ED63EE8"/>
    <w:rsid w:val="6ED967F4"/>
    <w:rsid w:val="6EDFBD42"/>
    <w:rsid w:val="6EFC0924"/>
    <w:rsid w:val="6EFF9C1C"/>
    <w:rsid w:val="6F67122C"/>
    <w:rsid w:val="6F7F4C2C"/>
    <w:rsid w:val="6F7FF87B"/>
    <w:rsid w:val="6F9FC6E3"/>
    <w:rsid w:val="6FAF43CE"/>
    <w:rsid w:val="6FB55297"/>
    <w:rsid w:val="6FB74722"/>
    <w:rsid w:val="6FBA3F1E"/>
    <w:rsid w:val="6FBADAA0"/>
    <w:rsid w:val="6FBD732D"/>
    <w:rsid w:val="6FBEAD40"/>
    <w:rsid w:val="6FBFC1E6"/>
    <w:rsid w:val="6FCF4B5E"/>
    <w:rsid w:val="6FCF7DC9"/>
    <w:rsid w:val="6FD3EF35"/>
    <w:rsid w:val="6FEF8B7E"/>
    <w:rsid w:val="6FF7BF9F"/>
    <w:rsid w:val="6FF91717"/>
    <w:rsid w:val="6FFA4A10"/>
    <w:rsid w:val="6FFD4D7C"/>
    <w:rsid w:val="6FFFB56B"/>
    <w:rsid w:val="705BFA0F"/>
    <w:rsid w:val="70FF79F5"/>
    <w:rsid w:val="71A6591B"/>
    <w:rsid w:val="71BFDFC1"/>
    <w:rsid w:val="72D5608C"/>
    <w:rsid w:val="72DF11A8"/>
    <w:rsid w:val="737A3F21"/>
    <w:rsid w:val="737D59BA"/>
    <w:rsid w:val="73DB2F20"/>
    <w:rsid w:val="73DD95BF"/>
    <w:rsid w:val="73E7A233"/>
    <w:rsid w:val="73EA88E0"/>
    <w:rsid w:val="740924A3"/>
    <w:rsid w:val="74BB8022"/>
    <w:rsid w:val="74CDC3E9"/>
    <w:rsid w:val="74EBDC3E"/>
    <w:rsid w:val="74FBFEC3"/>
    <w:rsid w:val="755E2398"/>
    <w:rsid w:val="75BFD47A"/>
    <w:rsid w:val="75F9098F"/>
    <w:rsid w:val="75FA86FF"/>
    <w:rsid w:val="75FB7A43"/>
    <w:rsid w:val="75FBF57C"/>
    <w:rsid w:val="75FF3D17"/>
    <w:rsid w:val="75FF5DF9"/>
    <w:rsid w:val="766DEBE0"/>
    <w:rsid w:val="769B6D86"/>
    <w:rsid w:val="76BB7CCA"/>
    <w:rsid w:val="77335259"/>
    <w:rsid w:val="7737A6F9"/>
    <w:rsid w:val="776AF97B"/>
    <w:rsid w:val="776EBB82"/>
    <w:rsid w:val="777B182C"/>
    <w:rsid w:val="77A3910D"/>
    <w:rsid w:val="77A547BF"/>
    <w:rsid w:val="77AFBDEB"/>
    <w:rsid w:val="77AFEFB4"/>
    <w:rsid w:val="77C2FC0C"/>
    <w:rsid w:val="77C37683"/>
    <w:rsid w:val="77CBF53F"/>
    <w:rsid w:val="77DB6BC9"/>
    <w:rsid w:val="77DD731E"/>
    <w:rsid w:val="77E369D9"/>
    <w:rsid w:val="77EDD35D"/>
    <w:rsid w:val="77EDFD85"/>
    <w:rsid w:val="77EF921D"/>
    <w:rsid w:val="77EFA23B"/>
    <w:rsid w:val="77FBAAE6"/>
    <w:rsid w:val="77FF3373"/>
    <w:rsid w:val="77FF4D97"/>
    <w:rsid w:val="77FF7DBE"/>
    <w:rsid w:val="77FF9780"/>
    <w:rsid w:val="77FFC18F"/>
    <w:rsid w:val="783F0B05"/>
    <w:rsid w:val="793D4202"/>
    <w:rsid w:val="79472E5D"/>
    <w:rsid w:val="79784FC6"/>
    <w:rsid w:val="797B35A7"/>
    <w:rsid w:val="799F3A82"/>
    <w:rsid w:val="799FD5B3"/>
    <w:rsid w:val="79A560F6"/>
    <w:rsid w:val="79BB9703"/>
    <w:rsid w:val="79C78A74"/>
    <w:rsid w:val="79D19834"/>
    <w:rsid w:val="79F998F8"/>
    <w:rsid w:val="79FCECDF"/>
    <w:rsid w:val="79FF515B"/>
    <w:rsid w:val="79FF86D5"/>
    <w:rsid w:val="7A7F40BC"/>
    <w:rsid w:val="7ADF5140"/>
    <w:rsid w:val="7AFB0619"/>
    <w:rsid w:val="7AFC370A"/>
    <w:rsid w:val="7AFE3571"/>
    <w:rsid w:val="7B3652CE"/>
    <w:rsid w:val="7B462020"/>
    <w:rsid w:val="7B57255E"/>
    <w:rsid w:val="7B6FE7D3"/>
    <w:rsid w:val="7B7F6251"/>
    <w:rsid w:val="7BA7D2D2"/>
    <w:rsid w:val="7BAE6285"/>
    <w:rsid w:val="7BB68655"/>
    <w:rsid w:val="7BBF8C7E"/>
    <w:rsid w:val="7BCF7421"/>
    <w:rsid w:val="7BED8CE7"/>
    <w:rsid w:val="7BEE79E6"/>
    <w:rsid w:val="7BEEA7DB"/>
    <w:rsid w:val="7BF744D5"/>
    <w:rsid w:val="7BF7A18B"/>
    <w:rsid w:val="7BFBA3AE"/>
    <w:rsid w:val="7BFBE24C"/>
    <w:rsid w:val="7BFF1A5E"/>
    <w:rsid w:val="7BFF2D85"/>
    <w:rsid w:val="7C7FE6A7"/>
    <w:rsid w:val="7CBB32D3"/>
    <w:rsid w:val="7CBD1F46"/>
    <w:rsid w:val="7CBF302B"/>
    <w:rsid w:val="7CBF9DA0"/>
    <w:rsid w:val="7CDB0C3B"/>
    <w:rsid w:val="7CDECFE0"/>
    <w:rsid w:val="7CFE8DAF"/>
    <w:rsid w:val="7CFFADD0"/>
    <w:rsid w:val="7D25044D"/>
    <w:rsid w:val="7D2F5452"/>
    <w:rsid w:val="7D33CC38"/>
    <w:rsid w:val="7D5CE1DA"/>
    <w:rsid w:val="7D5DB228"/>
    <w:rsid w:val="7D736724"/>
    <w:rsid w:val="7DBF60ED"/>
    <w:rsid w:val="7DCA782D"/>
    <w:rsid w:val="7DCE91AB"/>
    <w:rsid w:val="7DD74DD4"/>
    <w:rsid w:val="7DDC8375"/>
    <w:rsid w:val="7DEDA48B"/>
    <w:rsid w:val="7DFF4C64"/>
    <w:rsid w:val="7E17E8BD"/>
    <w:rsid w:val="7E2E7881"/>
    <w:rsid w:val="7E356CE8"/>
    <w:rsid w:val="7E4BBF71"/>
    <w:rsid w:val="7E5DC614"/>
    <w:rsid w:val="7E776BE8"/>
    <w:rsid w:val="7E7E1005"/>
    <w:rsid w:val="7E7F4B7F"/>
    <w:rsid w:val="7E7F8452"/>
    <w:rsid w:val="7E834A8E"/>
    <w:rsid w:val="7E9E1962"/>
    <w:rsid w:val="7E9F11B4"/>
    <w:rsid w:val="7E9F8227"/>
    <w:rsid w:val="7EB53CC8"/>
    <w:rsid w:val="7EB7B29D"/>
    <w:rsid w:val="7EBEDF5D"/>
    <w:rsid w:val="7EBF0853"/>
    <w:rsid w:val="7EC63C0E"/>
    <w:rsid w:val="7ED78C6C"/>
    <w:rsid w:val="7EDD8600"/>
    <w:rsid w:val="7EE7FFB4"/>
    <w:rsid w:val="7EE9DD26"/>
    <w:rsid w:val="7EECB908"/>
    <w:rsid w:val="7EED4538"/>
    <w:rsid w:val="7EEED7C1"/>
    <w:rsid w:val="7EF12E71"/>
    <w:rsid w:val="7EF6D573"/>
    <w:rsid w:val="7EF784CB"/>
    <w:rsid w:val="7EF7E4B2"/>
    <w:rsid w:val="7EFB0BC4"/>
    <w:rsid w:val="7EFF044B"/>
    <w:rsid w:val="7EFF48B7"/>
    <w:rsid w:val="7EFF77A6"/>
    <w:rsid w:val="7EFFE978"/>
    <w:rsid w:val="7F27A2D5"/>
    <w:rsid w:val="7F2F4738"/>
    <w:rsid w:val="7F2F4B6A"/>
    <w:rsid w:val="7F2FED67"/>
    <w:rsid w:val="7F37EC1E"/>
    <w:rsid w:val="7F3A2BFD"/>
    <w:rsid w:val="7F3D3148"/>
    <w:rsid w:val="7F3F3347"/>
    <w:rsid w:val="7F3F4E14"/>
    <w:rsid w:val="7F3F7122"/>
    <w:rsid w:val="7F3FD82C"/>
    <w:rsid w:val="7F539A90"/>
    <w:rsid w:val="7F69E0C4"/>
    <w:rsid w:val="7F6F1983"/>
    <w:rsid w:val="7F6F8ED1"/>
    <w:rsid w:val="7F772826"/>
    <w:rsid w:val="7F7B8F34"/>
    <w:rsid w:val="7F7DCD9D"/>
    <w:rsid w:val="7F7E9102"/>
    <w:rsid w:val="7F7ED532"/>
    <w:rsid w:val="7F7F5395"/>
    <w:rsid w:val="7F7F7F68"/>
    <w:rsid w:val="7F7FC60E"/>
    <w:rsid w:val="7F7FDD68"/>
    <w:rsid w:val="7F8C4F52"/>
    <w:rsid w:val="7F970A6F"/>
    <w:rsid w:val="7F9FA78A"/>
    <w:rsid w:val="7FABFE78"/>
    <w:rsid w:val="7FAF149E"/>
    <w:rsid w:val="7FB3CAD8"/>
    <w:rsid w:val="7FB79B9B"/>
    <w:rsid w:val="7FB9BB47"/>
    <w:rsid w:val="7FBBC342"/>
    <w:rsid w:val="7FBE25DE"/>
    <w:rsid w:val="7FBFFA98"/>
    <w:rsid w:val="7FC1FFF3"/>
    <w:rsid w:val="7FC69637"/>
    <w:rsid w:val="7FD26E69"/>
    <w:rsid w:val="7FD62B99"/>
    <w:rsid w:val="7FD779AC"/>
    <w:rsid w:val="7FDB688A"/>
    <w:rsid w:val="7FDEA339"/>
    <w:rsid w:val="7FDEEC6C"/>
    <w:rsid w:val="7FDF47A6"/>
    <w:rsid w:val="7FDF8620"/>
    <w:rsid w:val="7FE1591A"/>
    <w:rsid w:val="7FE76B92"/>
    <w:rsid w:val="7FE8C8F7"/>
    <w:rsid w:val="7FEBB5D4"/>
    <w:rsid w:val="7FEBEB17"/>
    <w:rsid w:val="7FEDA509"/>
    <w:rsid w:val="7FEEEE2D"/>
    <w:rsid w:val="7FEF988D"/>
    <w:rsid w:val="7FF193BB"/>
    <w:rsid w:val="7FF53638"/>
    <w:rsid w:val="7FF7F1AF"/>
    <w:rsid w:val="7FFAFA60"/>
    <w:rsid w:val="7FFB242F"/>
    <w:rsid w:val="7FFD0B42"/>
    <w:rsid w:val="7FFDB408"/>
    <w:rsid w:val="7FFE4B8B"/>
    <w:rsid w:val="7FFE4EEB"/>
    <w:rsid w:val="7FFF044C"/>
    <w:rsid w:val="7FFF8426"/>
    <w:rsid w:val="877F2794"/>
    <w:rsid w:val="87AFA2AD"/>
    <w:rsid w:val="8ADABDF0"/>
    <w:rsid w:val="8BFF3ED6"/>
    <w:rsid w:val="8FAFC581"/>
    <w:rsid w:val="8FCC461E"/>
    <w:rsid w:val="8FFCC655"/>
    <w:rsid w:val="92F75EB7"/>
    <w:rsid w:val="95FB2B98"/>
    <w:rsid w:val="96D7B9FD"/>
    <w:rsid w:val="96EF4DAB"/>
    <w:rsid w:val="977BE316"/>
    <w:rsid w:val="977F26A7"/>
    <w:rsid w:val="97BECC46"/>
    <w:rsid w:val="9A639BC2"/>
    <w:rsid w:val="9B7669AF"/>
    <w:rsid w:val="9B9FC43B"/>
    <w:rsid w:val="9CEFA3E6"/>
    <w:rsid w:val="9E7F6F6C"/>
    <w:rsid w:val="9E9F18C4"/>
    <w:rsid w:val="9EFE2501"/>
    <w:rsid w:val="9F3F28CC"/>
    <w:rsid w:val="9F4DAADB"/>
    <w:rsid w:val="9FAFD65E"/>
    <w:rsid w:val="9FC5532F"/>
    <w:rsid w:val="9FCE867F"/>
    <w:rsid w:val="9FF71874"/>
    <w:rsid w:val="9FF7753E"/>
    <w:rsid w:val="9FF7D786"/>
    <w:rsid w:val="9FF96644"/>
    <w:rsid w:val="9FFFD1F6"/>
    <w:rsid w:val="A0FE77A3"/>
    <w:rsid w:val="A3BF0914"/>
    <w:rsid w:val="A6CB19B3"/>
    <w:rsid w:val="A6DF7131"/>
    <w:rsid w:val="A73EB630"/>
    <w:rsid w:val="A7DB6613"/>
    <w:rsid w:val="A7F26373"/>
    <w:rsid w:val="A7F5828F"/>
    <w:rsid w:val="A7FF9CD0"/>
    <w:rsid w:val="A92C61A2"/>
    <w:rsid w:val="AA7FA497"/>
    <w:rsid w:val="AAFF421A"/>
    <w:rsid w:val="ABBFB23D"/>
    <w:rsid w:val="ABBFEC1F"/>
    <w:rsid w:val="ABFEF40C"/>
    <w:rsid w:val="AD7DDED5"/>
    <w:rsid w:val="AE723291"/>
    <w:rsid w:val="AEAF4E9C"/>
    <w:rsid w:val="AFF4C321"/>
    <w:rsid w:val="AFFC34AF"/>
    <w:rsid w:val="AFFED9CE"/>
    <w:rsid w:val="AFFFF417"/>
    <w:rsid w:val="B01BA1C8"/>
    <w:rsid w:val="B15F2DA0"/>
    <w:rsid w:val="B27E9ACB"/>
    <w:rsid w:val="B2FF01C6"/>
    <w:rsid w:val="B31EED51"/>
    <w:rsid w:val="B37F79F1"/>
    <w:rsid w:val="B3B7A85C"/>
    <w:rsid w:val="B5DFEA62"/>
    <w:rsid w:val="B67554C1"/>
    <w:rsid w:val="B6760670"/>
    <w:rsid w:val="B6DFDB9E"/>
    <w:rsid w:val="B6FFD2F7"/>
    <w:rsid w:val="B74B2D94"/>
    <w:rsid w:val="B757C0C2"/>
    <w:rsid w:val="B757CD37"/>
    <w:rsid w:val="B7CD0F81"/>
    <w:rsid w:val="B7EE0265"/>
    <w:rsid w:val="B7FFDF7F"/>
    <w:rsid w:val="B97FDBB1"/>
    <w:rsid w:val="B9B7CAA5"/>
    <w:rsid w:val="BAFFEF39"/>
    <w:rsid w:val="BB5DDD80"/>
    <w:rsid w:val="BBBC4BA6"/>
    <w:rsid w:val="BBFCA369"/>
    <w:rsid w:val="BBFDA20D"/>
    <w:rsid w:val="BBFF950E"/>
    <w:rsid w:val="BC4D6948"/>
    <w:rsid w:val="BC4FED1A"/>
    <w:rsid w:val="BC65F5A0"/>
    <w:rsid w:val="BCF83907"/>
    <w:rsid w:val="BD7F73E1"/>
    <w:rsid w:val="BD9784AA"/>
    <w:rsid w:val="BDBFFDCA"/>
    <w:rsid w:val="BDEDCDE5"/>
    <w:rsid w:val="BDF7C996"/>
    <w:rsid w:val="BDFD5D17"/>
    <w:rsid w:val="BDFFB9FB"/>
    <w:rsid w:val="BE4F66A0"/>
    <w:rsid w:val="BE8DC170"/>
    <w:rsid w:val="BEAF9022"/>
    <w:rsid w:val="BED8BF04"/>
    <w:rsid w:val="BEDF6F5B"/>
    <w:rsid w:val="BEFB4FC0"/>
    <w:rsid w:val="BEFEA760"/>
    <w:rsid w:val="BF36A79A"/>
    <w:rsid w:val="BF7B72C7"/>
    <w:rsid w:val="BF7DEBC2"/>
    <w:rsid w:val="BF7EBEF1"/>
    <w:rsid w:val="BF7FF426"/>
    <w:rsid w:val="BF9E2199"/>
    <w:rsid w:val="BF9FBE79"/>
    <w:rsid w:val="BFAB18F4"/>
    <w:rsid w:val="BFBBD4E8"/>
    <w:rsid w:val="BFBD1F2C"/>
    <w:rsid w:val="BFBFDDEB"/>
    <w:rsid w:val="BFC62080"/>
    <w:rsid w:val="BFD57103"/>
    <w:rsid w:val="BFDBDFF3"/>
    <w:rsid w:val="BFDE4044"/>
    <w:rsid w:val="BFDFEE7B"/>
    <w:rsid w:val="BFE6BB19"/>
    <w:rsid w:val="BFEE23DE"/>
    <w:rsid w:val="BFFB8450"/>
    <w:rsid w:val="BFFBFFF6"/>
    <w:rsid w:val="BFFD43EE"/>
    <w:rsid w:val="BFFE0B1C"/>
    <w:rsid w:val="BFFF0EAB"/>
    <w:rsid w:val="BFFF129E"/>
    <w:rsid w:val="BFFF665D"/>
    <w:rsid w:val="BFFFC289"/>
    <w:rsid w:val="BFFFDCD5"/>
    <w:rsid w:val="C3798D33"/>
    <w:rsid w:val="C3B4DA5A"/>
    <w:rsid w:val="C3BFF306"/>
    <w:rsid w:val="C4738172"/>
    <w:rsid w:val="C4CFDCF9"/>
    <w:rsid w:val="CAD5250C"/>
    <w:rsid w:val="CAFE6367"/>
    <w:rsid w:val="CB5ED997"/>
    <w:rsid w:val="CB6F8965"/>
    <w:rsid w:val="CBFF70E0"/>
    <w:rsid w:val="CD77B920"/>
    <w:rsid w:val="CDFB5840"/>
    <w:rsid w:val="CDFF49DD"/>
    <w:rsid w:val="CE5A7911"/>
    <w:rsid w:val="CE9E3EE7"/>
    <w:rsid w:val="CECFC292"/>
    <w:rsid w:val="CF5F00D7"/>
    <w:rsid w:val="CFACF7D4"/>
    <w:rsid w:val="CFEE39DD"/>
    <w:rsid w:val="CFF3D75A"/>
    <w:rsid w:val="CFF50B82"/>
    <w:rsid w:val="CFF77DEC"/>
    <w:rsid w:val="CFFEA122"/>
    <w:rsid w:val="CFFFAD89"/>
    <w:rsid w:val="D149C443"/>
    <w:rsid w:val="D1AE348E"/>
    <w:rsid w:val="D1DD4D81"/>
    <w:rsid w:val="D1F8CE52"/>
    <w:rsid w:val="D1FF0A33"/>
    <w:rsid w:val="D2B3375F"/>
    <w:rsid w:val="D39F95AC"/>
    <w:rsid w:val="D4E7611F"/>
    <w:rsid w:val="D585B937"/>
    <w:rsid w:val="D5EF3739"/>
    <w:rsid w:val="D5FBEA1F"/>
    <w:rsid w:val="D5FF12AF"/>
    <w:rsid w:val="D7726A9E"/>
    <w:rsid w:val="D7C399DD"/>
    <w:rsid w:val="D7F3CB12"/>
    <w:rsid w:val="D7FE38CF"/>
    <w:rsid w:val="D9CF127A"/>
    <w:rsid w:val="DAAF7ECA"/>
    <w:rsid w:val="DAF7214E"/>
    <w:rsid w:val="DB2FDBB9"/>
    <w:rsid w:val="DB3F9CA4"/>
    <w:rsid w:val="DB72BF92"/>
    <w:rsid w:val="DB78F8ED"/>
    <w:rsid w:val="DBBEC0EA"/>
    <w:rsid w:val="DBDBFAD4"/>
    <w:rsid w:val="DBF7B2E6"/>
    <w:rsid w:val="DBF7CA2C"/>
    <w:rsid w:val="DBF7E645"/>
    <w:rsid w:val="DBFF334B"/>
    <w:rsid w:val="DD3EC0E0"/>
    <w:rsid w:val="DD9B136D"/>
    <w:rsid w:val="DDDD00DB"/>
    <w:rsid w:val="DDFC7E61"/>
    <w:rsid w:val="DDFC87BC"/>
    <w:rsid w:val="DE17BF07"/>
    <w:rsid w:val="DE6732A4"/>
    <w:rsid w:val="DE7C7199"/>
    <w:rsid w:val="DE7F3FCA"/>
    <w:rsid w:val="DEA8CACC"/>
    <w:rsid w:val="DEF56B09"/>
    <w:rsid w:val="DF0BB078"/>
    <w:rsid w:val="DF539270"/>
    <w:rsid w:val="DF5FD7F2"/>
    <w:rsid w:val="DF76A898"/>
    <w:rsid w:val="DF77AB40"/>
    <w:rsid w:val="DF78D51C"/>
    <w:rsid w:val="DF7938B5"/>
    <w:rsid w:val="DF7FB668"/>
    <w:rsid w:val="DF8D86A7"/>
    <w:rsid w:val="DFD3DE05"/>
    <w:rsid w:val="DFE625A2"/>
    <w:rsid w:val="DFEFD74C"/>
    <w:rsid w:val="DFF22C13"/>
    <w:rsid w:val="DFF9D553"/>
    <w:rsid w:val="DFFB0645"/>
    <w:rsid w:val="DFFCE4BB"/>
    <w:rsid w:val="DFFD8C04"/>
    <w:rsid w:val="DFFE359E"/>
    <w:rsid w:val="DFFE4FFD"/>
    <w:rsid w:val="DFFEF459"/>
    <w:rsid w:val="DFFF2D00"/>
    <w:rsid w:val="DFFF359A"/>
    <w:rsid w:val="DFFF6811"/>
    <w:rsid w:val="DFFFC5C1"/>
    <w:rsid w:val="E0FFF36E"/>
    <w:rsid w:val="E3DF3CC2"/>
    <w:rsid w:val="E77FEF4C"/>
    <w:rsid w:val="E7DBBCD2"/>
    <w:rsid w:val="E7F27BA8"/>
    <w:rsid w:val="E7F3BDD7"/>
    <w:rsid w:val="E7F79665"/>
    <w:rsid w:val="E8A1AFFE"/>
    <w:rsid w:val="E8F65029"/>
    <w:rsid w:val="E9FE21DF"/>
    <w:rsid w:val="EA9FDBC7"/>
    <w:rsid w:val="EAB69431"/>
    <w:rsid w:val="EAFBC90E"/>
    <w:rsid w:val="EB593DF3"/>
    <w:rsid w:val="EBA7009B"/>
    <w:rsid w:val="EBB76860"/>
    <w:rsid w:val="EC5EF1B3"/>
    <w:rsid w:val="EC7BF61B"/>
    <w:rsid w:val="ECEF5ECE"/>
    <w:rsid w:val="ED3F3F3D"/>
    <w:rsid w:val="ED5C3A96"/>
    <w:rsid w:val="EDB90D06"/>
    <w:rsid w:val="EDFE06DA"/>
    <w:rsid w:val="EDFF15FE"/>
    <w:rsid w:val="EEABED75"/>
    <w:rsid w:val="EEC5C0DA"/>
    <w:rsid w:val="EEDF10D1"/>
    <w:rsid w:val="EEDFCC17"/>
    <w:rsid w:val="EEFA64D9"/>
    <w:rsid w:val="EF2B6FEF"/>
    <w:rsid w:val="EF3DBC43"/>
    <w:rsid w:val="EF552505"/>
    <w:rsid w:val="EF6B49D3"/>
    <w:rsid w:val="EF6F94AE"/>
    <w:rsid w:val="EF9D9D5F"/>
    <w:rsid w:val="EF9E9C72"/>
    <w:rsid w:val="EFB7456D"/>
    <w:rsid w:val="EFBF271A"/>
    <w:rsid w:val="EFD581B6"/>
    <w:rsid w:val="EFE81DED"/>
    <w:rsid w:val="EFEFFB62"/>
    <w:rsid w:val="EFF3F162"/>
    <w:rsid w:val="EFF9502C"/>
    <w:rsid w:val="EFFABC3D"/>
    <w:rsid w:val="EFFD0745"/>
    <w:rsid w:val="EFFF2CD3"/>
    <w:rsid w:val="EFFFB01E"/>
    <w:rsid w:val="F05FAD1F"/>
    <w:rsid w:val="F1AFAADE"/>
    <w:rsid w:val="F2EFDF81"/>
    <w:rsid w:val="F30E4927"/>
    <w:rsid w:val="F34F38B5"/>
    <w:rsid w:val="F36E0937"/>
    <w:rsid w:val="F39716FC"/>
    <w:rsid w:val="F3CBA98D"/>
    <w:rsid w:val="F3F770EF"/>
    <w:rsid w:val="F3FF82C7"/>
    <w:rsid w:val="F3FFCF23"/>
    <w:rsid w:val="F547C7FB"/>
    <w:rsid w:val="F56FDF51"/>
    <w:rsid w:val="F59DEF79"/>
    <w:rsid w:val="F5FF14C3"/>
    <w:rsid w:val="F67E8FA7"/>
    <w:rsid w:val="F6AB5738"/>
    <w:rsid w:val="F6B69F17"/>
    <w:rsid w:val="F6F1AB15"/>
    <w:rsid w:val="F6FDAE23"/>
    <w:rsid w:val="F73F309E"/>
    <w:rsid w:val="F759F5C9"/>
    <w:rsid w:val="F75C941F"/>
    <w:rsid w:val="F76FA050"/>
    <w:rsid w:val="F771C1CD"/>
    <w:rsid w:val="F77E8C02"/>
    <w:rsid w:val="F77F1D61"/>
    <w:rsid w:val="F77F1FC4"/>
    <w:rsid w:val="F77FB192"/>
    <w:rsid w:val="F799B83E"/>
    <w:rsid w:val="F7CF7C08"/>
    <w:rsid w:val="F7DE2FA7"/>
    <w:rsid w:val="F7EB302C"/>
    <w:rsid w:val="F7EB84C9"/>
    <w:rsid w:val="F7F20ECA"/>
    <w:rsid w:val="F7F664BB"/>
    <w:rsid w:val="F7F697D9"/>
    <w:rsid w:val="F7F8180A"/>
    <w:rsid w:val="F7FE6C88"/>
    <w:rsid w:val="F7FED3A9"/>
    <w:rsid w:val="F7FF1D6D"/>
    <w:rsid w:val="F87FC5B1"/>
    <w:rsid w:val="F8C9DB26"/>
    <w:rsid w:val="F8D7E133"/>
    <w:rsid w:val="F8F6C952"/>
    <w:rsid w:val="F957FA99"/>
    <w:rsid w:val="F976BF64"/>
    <w:rsid w:val="F97E8EAE"/>
    <w:rsid w:val="F9E6B0C8"/>
    <w:rsid w:val="F9EFC069"/>
    <w:rsid w:val="F9FF724F"/>
    <w:rsid w:val="FA5FE2A2"/>
    <w:rsid w:val="FA6F15BB"/>
    <w:rsid w:val="FA78D342"/>
    <w:rsid w:val="FA7FFEDC"/>
    <w:rsid w:val="FABF8CC2"/>
    <w:rsid w:val="FAD759C6"/>
    <w:rsid w:val="FAF766A4"/>
    <w:rsid w:val="FAFB570D"/>
    <w:rsid w:val="FB36E1A6"/>
    <w:rsid w:val="FB3BE134"/>
    <w:rsid w:val="FB3E3F4D"/>
    <w:rsid w:val="FB5D70B0"/>
    <w:rsid w:val="FB733A32"/>
    <w:rsid w:val="FB757963"/>
    <w:rsid w:val="FB758AFE"/>
    <w:rsid w:val="FB7F1215"/>
    <w:rsid w:val="FB7FA96E"/>
    <w:rsid w:val="FB93E534"/>
    <w:rsid w:val="FB9F8274"/>
    <w:rsid w:val="FBBAE429"/>
    <w:rsid w:val="FBBD6AC8"/>
    <w:rsid w:val="FBBD9D5D"/>
    <w:rsid w:val="FBBDF994"/>
    <w:rsid w:val="FBBFEC3E"/>
    <w:rsid w:val="FBCD506B"/>
    <w:rsid w:val="FBD3C71C"/>
    <w:rsid w:val="FBD42D1C"/>
    <w:rsid w:val="FBDE84A1"/>
    <w:rsid w:val="FBDFD8B4"/>
    <w:rsid w:val="FBED8B7A"/>
    <w:rsid w:val="FBEFCE1D"/>
    <w:rsid w:val="FBEFF3B8"/>
    <w:rsid w:val="FBF38FB1"/>
    <w:rsid w:val="FBFA0D6C"/>
    <w:rsid w:val="FBFB8DCB"/>
    <w:rsid w:val="FBFBAA60"/>
    <w:rsid w:val="FBFDE114"/>
    <w:rsid w:val="FBFF15EF"/>
    <w:rsid w:val="FBFF37B5"/>
    <w:rsid w:val="FBFF48BF"/>
    <w:rsid w:val="FBFFAEC3"/>
    <w:rsid w:val="FC395B18"/>
    <w:rsid w:val="FC9D2341"/>
    <w:rsid w:val="FC9FDD0F"/>
    <w:rsid w:val="FCC730C5"/>
    <w:rsid w:val="FCCB4F74"/>
    <w:rsid w:val="FCFF4275"/>
    <w:rsid w:val="FD3B4CC9"/>
    <w:rsid w:val="FD5E6492"/>
    <w:rsid w:val="FD7C18D9"/>
    <w:rsid w:val="FD7DCC9B"/>
    <w:rsid w:val="FD7E6145"/>
    <w:rsid w:val="FD7FB69F"/>
    <w:rsid w:val="FD7FEEEA"/>
    <w:rsid w:val="FD8AB93C"/>
    <w:rsid w:val="FDAF923C"/>
    <w:rsid w:val="FDBB6688"/>
    <w:rsid w:val="FDBCF39B"/>
    <w:rsid w:val="FDD36E24"/>
    <w:rsid w:val="FDE57024"/>
    <w:rsid w:val="FDEA81BA"/>
    <w:rsid w:val="FDEEE096"/>
    <w:rsid w:val="FDF00DE4"/>
    <w:rsid w:val="FDF31EC6"/>
    <w:rsid w:val="FDF4F52D"/>
    <w:rsid w:val="FDF51254"/>
    <w:rsid w:val="FDF6240D"/>
    <w:rsid w:val="FDFDB3ED"/>
    <w:rsid w:val="FDFE7250"/>
    <w:rsid w:val="FDFF59FA"/>
    <w:rsid w:val="FDFFB577"/>
    <w:rsid w:val="FE183ADA"/>
    <w:rsid w:val="FE2B3D18"/>
    <w:rsid w:val="FE37116A"/>
    <w:rsid w:val="FE4F9E9B"/>
    <w:rsid w:val="FE7395CE"/>
    <w:rsid w:val="FE7711DC"/>
    <w:rsid w:val="FE7F00C2"/>
    <w:rsid w:val="FE7FFFBC"/>
    <w:rsid w:val="FEAF0906"/>
    <w:rsid w:val="FEB2FB93"/>
    <w:rsid w:val="FEBDA5A5"/>
    <w:rsid w:val="FEC7FEDB"/>
    <w:rsid w:val="FEC88E0F"/>
    <w:rsid w:val="FECF137A"/>
    <w:rsid w:val="FEEA50FE"/>
    <w:rsid w:val="FEEB6BB3"/>
    <w:rsid w:val="FEEBA9DF"/>
    <w:rsid w:val="FEFE06A5"/>
    <w:rsid w:val="FEFEDDB0"/>
    <w:rsid w:val="FEFF4246"/>
    <w:rsid w:val="FEFF8657"/>
    <w:rsid w:val="FF37088B"/>
    <w:rsid w:val="FF4F1E63"/>
    <w:rsid w:val="FF4F869B"/>
    <w:rsid w:val="FF769EF7"/>
    <w:rsid w:val="FF775E88"/>
    <w:rsid w:val="FF77A3E3"/>
    <w:rsid w:val="FF7A5A07"/>
    <w:rsid w:val="FF7B0725"/>
    <w:rsid w:val="FF7C7A35"/>
    <w:rsid w:val="FF7D47A9"/>
    <w:rsid w:val="FF7E90CF"/>
    <w:rsid w:val="FF7F12F6"/>
    <w:rsid w:val="FF7F1AAF"/>
    <w:rsid w:val="FF7F36F5"/>
    <w:rsid w:val="FF7F9655"/>
    <w:rsid w:val="FF8BB4D3"/>
    <w:rsid w:val="FF9B56A9"/>
    <w:rsid w:val="FF9CF200"/>
    <w:rsid w:val="FF9DB604"/>
    <w:rsid w:val="FFA714D0"/>
    <w:rsid w:val="FFA73F7E"/>
    <w:rsid w:val="FFB58C73"/>
    <w:rsid w:val="FFB96C6C"/>
    <w:rsid w:val="FFBA4960"/>
    <w:rsid w:val="FFBDBED9"/>
    <w:rsid w:val="FFBF3453"/>
    <w:rsid w:val="FFBF4125"/>
    <w:rsid w:val="FFBF443F"/>
    <w:rsid w:val="FFBF794D"/>
    <w:rsid w:val="FFBFEA47"/>
    <w:rsid w:val="FFC25315"/>
    <w:rsid w:val="FFCF21CB"/>
    <w:rsid w:val="FFD2C1B9"/>
    <w:rsid w:val="FFD7ADD9"/>
    <w:rsid w:val="FFDF9098"/>
    <w:rsid w:val="FFDFC422"/>
    <w:rsid w:val="FFE5920A"/>
    <w:rsid w:val="FFE84D49"/>
    <w:rsid w:val="FFE9E1C2"/>
    <w:rsid w:val="FFEA1166"/>
    <w:rsid w:val="FFEE870A"/>
    <w:rsid w:val="FFEF0882"/>
    <w:rsid w:val="FFEF1CDA"/>
    <w:rsid w:val="FFEF3B24"/>
    <w:rsid w:val="FFEFCBD3"/>
    <w:rsid w:val="FFF1BB0D"/>
    <w:rsid w:val="FFF3E17D"/>
    <w:rsid w:val="FFF769D7"/>
    <w:rsid w:val="FFF7FCEF"/>
    <w:rsid w:val="FFF9E40E"/>
    <w:rsid w:val="FFFA5937"/>
    <w:rsid w:val="FFFB8244"/>
    <w:rsid w:val="FFFBB4A3"/>
    <w:rsid w:val="FFFBDDEE"/>
    <w:rsid w:val="FFFBF786"/>
    <w:rsid w:val="FFFE8260"/>
    <w:rsid w:val="FFFF109F"/>
    <w:rsid w:val="FFFF1C8B"/>
    <w:rsid w:val="FFFF51BE"/>
    <w:rsid w:val="FFFF60CA"/>
    <w:rsid w:val="FFFF65D1"/>
    <w:rsid w:val="FFFF7457"/>
    <w:rsid w:val="FFFF970C"/>
    <w:rsid w:val="FFFFC52D"/>
    <w:rsid w:val="FFFFD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99" w:semiHidden="0"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9"/>
    <w:pPr>
      <w:keepNext/>
      <w:keepLines/>
      <w:spacing w:before="480"/>
      <w:outlineLvl w:val="0"/>
    </w:pPr>
    <w:rPr>
      <w:rFonts w:asciiTheme="majorHAnsi" w:hAnsiTheme="majorHAnsi" w:eastAsiaTheme="majorEastAsia" w:cstheme="majorBidi"/>
      <w:b/>
      <w:bCs/>
      <w:color w:val="000000"/>
      <w:sz w:val="28"/>
      <w:szCs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5"/>
    <w:basedOn w:val="1"/>
    <w:next w:val="1"/>
    <w:qFormat/>
    <w:uiPriority w:val="99"/>
    <w:pPr>
      <w:ind w:left="1680" w:leftChars="800"/>
    </w:pPr>
  </w:style>
  <w:style w:type="paragraph" w:styleId="5">
    <w:name w:val="Body Text Indent"/>
    <w:basedOn w:val="1"/>
    <w:next w:val="6"/>
    <w:unhideWhenUsed/>
    <w:qFormat/>
    <w:uiPriority w:val="99"/>
    <w:pPr>
      <w:widowControl/>
      <w:spacing w:after="120"/>
      <w:ind w:left="420" w:leftChars="200"/>
      <w:jc w:val="left"/>
    </w:pPr>
    <w:rPr>
      <w:rFonts w:ascii="宋体" w:hAnsi="宋体" w:eastAsia="宋体" w:cs="宋体"/>
      <w:kern w:val="0"/>
      <w:sz w:val="24"/>
    </w:rPr>
  </w:style>
  <w:style w:type="paragraph" w:styleId="6">
    <w:name w:val="Body Text First Indent 2"/>
    <w:basedOn w:val="5"/>
    <w:next w:val="1"/>
    <w:unhideWhenUsed/>
    <w:qFormat/>
    <w:uiPriority w:val="99"/>
    <w:pPr>
      <w:ind w:firstLine="420" w:firstLineChars="200"/>
    </w:pPr>
  </w:style>
  <w:style w:type="paragraph" w:styleId="7">
    <w:name w:val="Balloon Text"/>
    <w:basedOn w:val="1"/>
    <w:link w:val="18"/>
    <w:semiHidden/>
    <w:unhideWhenUsed/>
    <w:qFormat/>
    <w:uiPriority w:val="99"/>
    <w:rPr>
      <w:sz w:val="18"/>
      <w:szCs w:val="18"/>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next w:val="6"/>
    <w:semiHidden/>
    <w:qFormat/>
    <w:uiPriority w:val="0"/>
    <w:pPr>
      <w:snapToGrid w:val="0"/>
      <w:jc w:val="left"/>
    </w:pPr>
    <w:rPr>
      <w:sz w:val="18"/>
      <w:szCs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4">
    <w:name w:val="页眉 Char"/>
    <w:basedOn w:val="13"/>
    <w:link w:val="9"/>
    <w:qFormat/>
    <w:uiPriority w:val="99"/>
    <w:rPr>
      <w:sz w:val="18"/>
      <w:szCs w:val="18"/>
    </w:rPr>
  </w:style>
  <w:style w:type="character" w:customStyle="1" w:styleId="15">
    <w:name w:val="页脚 Char"/>
    <w:basedOn w:val="13"/>
    <w:link w:val="8"/>
    <w:qFormat/>
    <w:uiPriority w:val="99"/>
    <w:rPr>
      <w:sz w:val="18"/>
      <w:szCs w:val="18"/>
    </w:rPr>
  </w:style>
  <w:style w:type="paragraph" w:customStyle="1" w:styleId="16">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7">
    <w:name w:val="List Paragraph"/>
    <w:basedOn w:val="1"/>
    <w:qFormat/>
    <w:uiPriority w:val="34"/>
    <w:pPr>
      <w:ind w:firstLine="420" w:firstLineChars="200"/>
    </w:pPr>
  </w:style>
  <w:style w:type="character" w:customStyle="1" w:styleId="18">
    <w:name w:val="批注框文本 Char"/>
    <w:basedOn w:val="13"/>
    <w:link w:val="7"/>
    <w:semiHidden/>
    <w:qFormat/>
    <w:uiPriority w:val="99"/>
    <w:rPr>
      <w:sz w:val="18"/>
      <w:szCs w:val="18"/>
    </w:rPr>
  </w:style>
  <w:style w:type="character" w:customStyle="1" w:styleId="19">
    <w:name w:val="font01"/>
    <w:basedOn w:val="13"/>
    <w:qFormat/>
    <w:uiPriority w:val="0"/>
    <w:rPr>
      <w:rFonts w:hint="eastAsia" w:ascii="宋体" w:hAnsi="宋体" w:eastAsia="宋体" w:cs="宋体"/>
      <w:color w:val="000000"/>
      <w:sz w:val="22"/>
      <w:szCs w:val="22"/>
      <w:u w:val="none"/>
    </w:rPr>
  </w:style>
  <w:style w:type="character" w:customStyle="1" w:styleId="20">
    <w:name w:val="font21"/>
    <w:basedOn w:val="13"/>
    <w:qFormat/>
    <w:uiPriority w:val="0"/>
    <w:rPr>
      <w:rFonts w:hint="eastAsia" w:ascii="宋体" w:hAnsi="宋体" w:eastAsia="宋体" w:cs="宋体"/>
      <w:color w:val="000000"/>
      <w:sz w:val="24"/>
      <w:szCs w:val="24"/>
      <w:u w:val="none"/>
    </w:rPr>
  </w:style>
  <w:style w:type="character" w:customStyle="1" w:styleId="21">
    <w:name w:val="font11"/>
    <w:basedOn w:val="1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1463</Words>
  <Characters>8342</Characters>
  <Lines>69</Lines>
  <Paragraphs>19</Paragraphs>
  <TotalTime>7</TotalTime>
  <ScaleCrop>false</ScaleCrop>
  <LinksUpToDate>false</LinksUpToDate>
  <CharactersWithSpaces>9786</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2025-08-22T02:17:00Z</dcterms:created>
  <dc:creator>李航 null</dc:creator>
  <cp:lastModifiedBy>kylin</cp:lastModifiedBy>
  <cp:lastPrinted>2025-09-13T17:02:00Z</cp:lastPrinted>
  <dcterms:modified xsi:type="dcterms:W3CDTF">2025-09-26T17:48:43Z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BB7B6AA21D207914D6FDA268992A22D6</vt:lpwstr>
  </property>
</Properties>
</file>