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81D" w:rsidRDefault="00F4481D">
      <w:pPr>
        <w:pStyle w:val="Default"/>
        <w:jc w:val="both"/>
        <w:rPr>
          <w:rFonts w:hAnsi="黑体" w:hint="eastAsia"/>
          <w:sz w:val="36"/>
          <w:szCs w:val="36"/>
        </w:rPr>
      </w:pPr>
    </w:p>
    <w:p w:rsidR="00F4481D" w:rsidRDefault="00F4481D">
      <w:pPr>
        <w:pStyle w:val="Default"/>
        <w:jc w:val="center"/>
        <w:rPr>
          <w:rFonts w:ascii="Times New Roman" w:hAnsi="Times New Roman" w:cs="Times New Roman"/>
          <w:sz w:val="56"/>
          <w:szCs w:val="56"/>
        </w:rPr>
      </w:pPr>
    </w:p>
    <w:p w:rsidR="00F4481D" w:rsidRDefault="00F4481D">
      <w:pPr>
        <w:pStyle w:val="Default"/>
        <w:jc w:val="center"/>
        <w:rPr>
          <w:rFonts w:ascii="Times New Roman" w:hAnsi="Times New Roman" w:cs="Times New Roman"/>
          <w:sz w:val="84"/>
          <w:szCs w:val="84"/>
        </w:rPr>
      </w:pPr>
    </w:p>
    <w:p w:rsidR="00F4481D" w:rsidRDefault="00F4481D">
      <w:pPr>
        <w:pStyle w:val="Default"/>
        <w:jc w:val="center"/>
        <w:rPr>
          <w:rFonts w:ascii="Times New Roman" w:hAnsi="Times New Roman" w:cs="Times New Roman"/>
          <w:sz w:val="84"/>
          <w:szCs w:val="84"/>
        </w:rPr>
      </w:pPr>
    </w:p>
    <w:p w:rsidR="00F4481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F4481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祁阳市潘市镇人民政府</w:t>
      </w:r>
    </w:p>
    <w:p w:rsidR="00F4481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F4481D" w:rsidRDefault="00F4481D">
      <w:pPr>
        <w:pStyle w:val="Default"/>
        <w:jc w:val="both"/>
        <w:rPr>
          <w:rFonts w:ascii="Times New Roman" w:hAnsi="Times New Roman" w:cs="Times New Roman"/>
          <w:sz w:val="32"/>
          <w:szCs w:val="32"/>
        </w:rPr>
      </w:pPr>
    </w:p>
    <w:p w:rsidR="00F4481D" w:rsidRDefault="00F4481D">
      <w:pPr>
        <w:pStyle w:val="Default"/>
        <w:jc w:val="center"/>
        <w:rPr>
          <w:rFonts w:ascii="Times New Roman" w:hAnsi="Times New Roman" w:cs="Times New Roman"/>
          <w:sz w:val="32"/>
          <w:szCs w:val="32"/>
        </w:rPr>
      </w:pPr>
    </w:p>
    <w:p w:rsidR="00F4481D" w:rsidRDefault="00F4481D">
      <w:pPr>
        <w:pStyle w:val="Default"/>
        <w:jc w:val="center"/>
        <w:rPr>
          <w:rFonts w:ascii="Times New Roman" w:hAnsi="Times New Roman" w:cs="Times New Roman"/>
          <w:sz w:val="32"/>
          <w:szCs w:val="32"/>
        </w:rPr>
      </w:pPr>
    </w:p>
    <w:p w:rsidR="00F4481D" w:rsidRDefault="00F4481D">
      <w:pPr>
        <w:pStyle w:val="Default"/>
        <w:jc w:val="center"/>
        <w:rPr>
          <w:rFonts w:ascii="Times New Roman" w:hAnsi="Times New Roman" w:cs="Times New Roman"/>
          <w:sz w:val="32"/>
          <w:szCs w:val="32"/>
        </w:rPr>
      </w:pPr>
    </w:p>
    <w:p w:rsidR="00F4481D" w:rsidRDefault="00F4481D">
      <w:pPr>
        <w:rPr>
          <w:rFonts w:ascii="Times New Roman" w:hAnsi="Times New Roman" w:cs="Times New Roman"/>
          <w:b/>
          <w:sz w:val="36"/>
          <w:szCs w:val="28"/>
        </w:rPr>
        <w:sectPr w:rsidR="00F4481D">
          <w:pgSz w:w="11906" w:h="16838"/>
          <w:pgMar w:top="1417" w:right="1588" w:bottom="1417" w:left="1588" w:header="851" w:footer="992" w:gutter="0"/>
          <w:cols w:space="425"/>
          <w:docGrid w:type="lines" w:linePitch="312"/>
        </w:sectPr>
      </w:pPr>
    </w:p>
    <w:p w:rsidR="00F4481D" w:rsidRDefault="00F4481D">
      <w:pPr>
        <w:pStyle w:val="Default"/>
        <w:spacing w:line="600" w:lineRule="exact"/>
        <w:jc w:val="both"/>
        <w:rPr>
          <w:rFonts w:ascii="Times New Roman" w:hAnsi="Times New Roman" w:cs="Times New Roman"/>
          <w:b/>
          <w:sz w:val="36"/>
          <w:szCs w:val="28"/>
        </w:rPr>
      </w:pPr>
    </w:p>
    <w:p w:rsidR="00F4481D"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F4481D" w:rsidRDefault="00F4481D">
      <w:pPr>
        <w:pStyle w:val="Default"/>
        <w:spacing w:line="600" w:lineRule="exact"/>
        <w:jc w:val="center"/>
        <w:rPr>
          <w:rFonts w:ascii="Times New Roman" w:hAnsi="Times New Roman" w:cs="Times New Roman"/>
          <w:b/>
          <w:sz w:val="36"/>
          <w:szCs w:val="28"/>
        </w:rPr>
      </w:pPr>
    </w:p>
    <w:p w:rsidR="00F4481D"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祁阳市潘市镇人民政府</w:t>
      </w:r>
      <w:r>
        <w:rPr>
          <w:rFonts w:ascii="Times New Roman" w:hAnsi="Times New Roman" w:cs="Times New Roman"/>
          <w:bCs/>
          <w:sz w:val="32"/>
          <w:szCs w:val="32"/>
        </w:rPr>
        <w:t>概况</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F4481D"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F4481D" w:rsidRDefault="00F4481D">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F4481D">
          <w:footerReference w:type="default" r:id="rId8"/>
          <w:pgSz w:w="11906" w:h="16838"/>
          <w:pgMar w:top="1417" w:right="1588" w:bottom="1417" w:left="1588" w:header="851" w:footer="992" w:gutter="0"/>
          <w:pgNumType w:start="1"/>
          <w:cols w:space="425"/>
          <w:docGrid w:type="lines" w:linePitch="312"/>
        </w:sectPr>
      </w:pP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F4481D" w:rsidRDefault="00F4481D">
      <w:pPr>
        <w:pStyle w:val="Default"/>
        <w:spacing w:line="600" w:lineRule="exact"/>
        <w:rPr>
          <w:rFonts w:ascii="Times New Roman" w:hAnsi="Times New Roman" w:cs="Times New Roman"/>
          <w:bCs/>
          <w:sz w:val="28"/>
          <w:szCs w:val="28"/>
        </w:rPr>
      </w:pPr>
    </w:p>
    <w:p w:rsidR="00F4481D" w:rsidRDefault="00F4481D">
      <w:pPr>
        <w:jc w:val="center"/>
        <w:rPr>
          <w:rFonts w:ascii="Times New Roman" w:hAnsi="Times New Roman" w:cs="Times New Roman"/>
          <w:sz w:val="72"/>
          <w:szCs w:val="72"/>
        </w:rPr>
      </w:pPr>
    </w:p>
    <w:p w:rsidR="00F4481D" w:rsidRDefault="00F4481D">
      <w:pPr>
        <w:jc w:val="center"/>
        <w:rPr>
          <w:rFonts w:ascii="Times New Roman" w:hAnsi="Times New Roman" w:cs="Times New Roman"/>
          <w:sz w:val="72"/>
          <w:szCs w:val="72"/>
        </w:rPr>
      </w:pPr>
    </w:p>
    <w:p w:rsidR="00F4481D" w:rsidRDefault="00F4481D">
      <w:pPr>
        <w:jc w:val="center"/>
        <w:rPr>
          <w:rFonts w:ascii="Times New Roman" w:hAnsi="Times New Roman" w:cs="Times New Roman"/>
          <w:sz w:val="72"/>
          <w:szCs w:val="72"/>
        </w:rPr>
      </w:pPr>
    </w:p>
    <w:p w:rsidR="00F4481D" w:rsidRDefault="00F4481D">
      <w:pPr>
        <w:pStyle w:val="ab"/>
        <w:rPr>
          <w:rFonts w:ascii="Times New Roman" w:hAnsi="Times New Roman" w:cs="Times New Roman"/>
        </w:rPr>
        <w:sectPr w:rsidR="00F4481D">
          <w:footerReference w:type="default" r:id="rId9"/>
          <w:pgSz w:w="11906" w:h="16838"/>
          <w:pgMar w:top="1417" w:right="1588" w:bottom="1417" w:left="1588" w:header="851" w:footer="992" w:gutter="0"/>
          <w:pgNumType w:start="1"/>
          <w:cols w:space="425"/>
          <w:docGrid w:type="lines" w:linePitch="312"/>
        </w:sectPr>
      </w:pPr>
    </w:p>
    <w:p w:rsidR="00F4481D" w:rsidRDefault="00F4481D">
      <w:pPr>
        <w:rPr>
          <w:rFonts w:ascii="Times New Roman" w:eastAsia="方正小标宋_GBK" w:hAnsi="Times New Roman" w:cs="Times New Roman"/>
          <w:sz w:val="72"/>
          <w:szCs w:val="72"/>
        </w:rPr>
      </w:pPr>
    </w:p>
    <w:p w:rsidR="00F4481D" w:rsidRDefault="00F4481D">
      <w:pPr>
        <w:pStyle w:val="a0"/>
        <w:rPr>
          <w:rFonts w:ascii="Times New Roman" w:eastAsia="方正小标宋_GBK" w:hAnsi="Times New Roman" w:cs="Times New Roman"/>
          <w:sz w:val="72"/>
          <w:szCs w:val="72"/>
        </w:rPr>
      </w:pPr>
    </w:p>
    <w:p w:rsidR="00F4481D" w:rsidRDefault="00F4481D">
      <w:pPr>
        <w:pStyle w:val="TOC5"/>
        <w:rPr>
          <w:rFonts w:ascii="Times New Roman" w:eastAsia="方正小标宋_GBK" w:hAnsi="Times New Roman" w:cs="Times New Roman"/>
          <w:sz w:val="72"/>
          <w:szCs w:val="72"/>
        </w:rPr>
      </w:pPr>
    </w:p>
    <w:p w:rsidR="00F4481D" w:rsidRDefault="00F4481D"/>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祁阳市潘市镇人民政府</w:t>
      </w: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单位概况</w:t>
      </w:r>
    </w:p>
    <w:p w:rsidR="00F4481D" w:rsidRDefault="00F4481D">
      <w:pPr>
        <w:pStyle w:val="2"/>
        <w:ind w:leftChars="0" w:left="0" w:firstLineChars="0" w:firstLine="0"/>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pPr>
    </w:p>
    <w:p w:rsidR="00F4481D"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（一）贯彻执行党的路线、方针、政策和国家的法律、法规，落实上级党委、政府的各项决议和决定。</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（二）制定本镇行政区域内的经济和社会发展规划，并组织实施。</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（三）负责本镇党的组织、思想和作风建设，提高党组织的战斗力和凝聚力，充分发挥党员的先锋模范作用。负责做好管理权限范围内干部的日常管理工作。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负责强化本镇社会治安综合治理，加强信访和矛盾纠纷调处工作，建立和健全群防群治网络，及时化解各类矛盾纠纷，维护社会稳定。</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（五）负责本镇财政、自然资源、规划建设、生态环境保护、动物防疫、交通运输、科技和工业经济、商务、应急管理、市场监督管理及农业农村、扶贫开发、统计、林业、水利等工作。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（六）负责本镇退役军人事务、国防动员教育、民兵预备役、民族宗教、民政、体育、旅游、文化、广电、民族宗教、城镇管理、劳动和社会保障等社会事务管理工作。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（七）贯彻执行卫生健康和计划生育法律法规、政策，组织开展本镇卫生和计划生育工作。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（八）充分发挥镇党委的领导核心作用，保证和支持基层自治组织行使职权、实行依法自治，充分发挥基层群众自治组织的自我教育、自我管理、自我建设、自我服务作用。</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（九）负责本镇纪检监察、组织、人事、宣传、统战、人民武装、工会、共青团、妇联、残联、科协等工作。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（十）承担镇人大和政协联络等相关工作。</w:t>
      </w:r>
    </w:p>
    <w:p w:rsidR="00F4481D" w:rsidRDefault="00000000">
      <w:pPr>
        <w:widowControl/>
        <w:spacing w:line="60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（十一）完成市委、市人大常委会、市政府、市政协交办的其他工作。</w:t>
      </w:r>
    </w:p>
    <w:p w:rsidR="00F4481D"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内设机构设置。潘市镇人民政府内设机构包括：党政综合办公室，基层党建办公室，农业经济发展办公室，社会事务办公室，自然资源和生态环境办公室，社会治安和应急管理办公室，镇人大、纪检监察、人武部和群众团体等组织按有关规定设置。</w:t>
      </w:r>
    </w:p>
    <w:p w:rsidR="00F4481D" w:rsidRDefault="00000000">
      <w:pPr>
        <w:jc w:val="left"/>
        <w:rPr>
          <w:rFonts w:ascii="仿宋_GB2312" w:eastAsia="仿宋_GB2312" w:hAnsiTheme="minorEastAsia" w:hint="eastAsia"/>
          <w:sz w:val="28"/>
          <w:szCs w:val="32"/>
        </w:rPr>
      </w:pPr>
      <w:r>
        <w:rPr>
          <w:rFonts w:ascii="Times New Roman" w:eastAsia="仿宋_GB2312" w:hAnsi="Times New Roman" w:cs="仿宋_GB2312" w:hint="eastAsia"/>
          <w:bCs/>
          <w:kern w:val="0"/>
          <w:sz w:val="32"/>
          <w:szCs w:val="32"/>
        </w:rPr>
        <w:t>（二）决算单位构成。</w:t>
      </w:r>
      <w:r>
        <w:rPr>
          <w:rFonts w:ascii="Times New Roman" w:eastAsia="仿宋_GB2312" w:hAnsi="Times New Roman" w:cs="仿宋_GB2312" w:hint="eastAsia"/>
          <w:sz w:val="32"/>
          <w:szCs w:val="32"/>
        </w:rPr>
        <w:t>潘市镇人民政府</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Pr>
          <w:rFonts w:ascii="Times New Roman" w:eastAsia="仿宋_GB2312" w:hAnsi="Times New Roman" w:cs="仿宋_GB2312" w:hint="eastAsia"/>
          <w:sz w:val="32"/>
          <w:szCs w:val="32"/>
        </w:rPr>
        <w:t>：潘市镇人民政府本级。</w:t>
      </w:r>
    </w:p>
    <w:p w:rsidR="00F4481D" w:rsidRDefault="00F4481D">
      <w:pPr>
        <w:rPr>
          <w:rFonts w:ascii="Times New Roman" w:eastAsia="黑体" w:hAnsi="Times New Roman" w:cs="Times New Roman"/>
          <w:sz w:val="28"/>
          <w:szCs w:val="28"/>
        </w:rPr>
      </w:pPr>
    </w:p>
    <w:p w:rsidR="00F4481D" w:rsidRDefault="00F4481D">
      <w:pPr>
        <w:jc w:val="center"/>
        <w:rPr>
          <w:rFonts w:ascii="Times New Roman" w:eastAsia="黑体" w:hAnsi="Times New Roman" w:cs="Times New Roman"/>
          <w:sz w:val="28"/>
          <w:szCs w:val="28"/>
        </w:rPr>
      </w:pPr>
    </w:p>
    <w:p w:rsidR="00F4481D" w:rsidRDefault="00F4481D">
      <w:pPr>
        <w:pStyle w:val="ab"/>
        <w:rPr>
          <w:rFonts w:ascii="Times New Roman" w:hAnsi="Times New Roman" w:cs="Times New Roman"/>
        </w:rPr>
        <w:sectPr w:rsidR="00F4481D">
          <w:footerReference w:type="default" r:id="rId10"/>
          <w:pgSz w:w="11906" w:h="16838"/>
          <w:pgMar w:top="1417" w:right="1588" w:bottom="1417" w:left="1588" w:header="851" w:footer="992" w:gutter="0"/>
          <w:pgNumType w:start="1"/>
          <w:cols w:space="425"/>
          <w:docGrid w:type="lines" w:linePitch="312"/>
        </w:sectPr>
      </w:pPr>
    </w:p>
    <w:p w:rsidR="00F4481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F4481D"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F4481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F4481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596"/>
        <w:gridCol w:w="825"/>
        <w:gridCol w:w="1469"/>
        <w:gridCol w:w="4712"/>
        <w:gridCol w:w="825"/>
        <w:gridCol w:w="1469"/>
      </w:tblGrid>
      <w:tr w:rsidR="00F4481D">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F4481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F4481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widowControl/>
              <w:jc w:val="right"/>
              <w:textAlignment w:val="center"/>
              <w:rPr>
                <w:rFonts w:ascii="宋体" w:eastAsia="宋体" w:hAnsi="宋体" w:cs="宋体" w:hint="eastAsia"/>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p w:rsidR="00F4481D" w:rsidRDefault="00F4481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 xml:space="preserve">         </w:t>
            </w:r>
            <w:r>
              <w:rPr>
                <w:rFonts w:ascii="Times New Roman" w:eastAsia="仿宋_GB2312" w:hAnsi="Times New Roman" w:cs="Times New Roman"/>
                <w:b/>
                <w:bCs/>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F4481D">
            <w:pPr>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r>
    </w:tbl>
    <w:p w:rsidR="00F4481D" w:rsidRDefault="00F4481D">
      <w:pPr>
        <w:widowControl/>
        <w:jc w:val="left"/>
        <w:textAlignment w:val="center"/>
        <w:rPr>
          <w:rFonts w:ascii="Times New Roman" w:eastAsia="宋体" w:hAnsi="Times New Roman" w:cs="Times New Roman"/>
          <w:color w:val="000000"/>
          <w:kern w:val="0"/>
          <w:sz w:val="24"/>
          <w:szCs w:val="24"/>
          <w:lang w:bidi="ar"/>
        </w:rPr>
      </w:pPr>
    </w:p>
    <w:p w:rsidR="00F4481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F4481D"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F4481D" w:rsidRDefault="00F4481D">
      <w:pPr>
        <w:widowControl/>
        <w:spacing w:line="400" w:lineRule="exact"/>
        <w:jc w:val="center"/>
        <w:textAlignment w:val="center"/>
        <w:rPr>
          <w:rFonts w:ascii="Times New Roman" w:eastAsia="黑体"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F4481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F4481D"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22"/>
        <w:gridCol w:w="1764"/>
        <w:gridCol w:w="1640"/>
        <w:gridCol w:w="1640"/>
        <w:gridCol w:w="1640"/>
        <w:gridCol w:w="1640"/>
        <w:gridCol w:w="1640"/>
        <w:gridCol w:w="1897"/>
        <w:gridCol w:w="1383"/>
      </w:tblGrid>
      <w:tr w:rsidR="00F4481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F4481D">
        <w:trPr>
          <w:trHeight w:hRule="exact" w:val="334"/>
          <w:jc w:val="center"/>
        </w:trPr>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76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r>
      <w:tr w:rsidR="00F4481D">
        <w:trPr>
          <w:trHeight w:val="312"/>
          <w:jc w:val="center"/>
        </w:trPr>
        <w:tc>
          <w:tcPr>
            <w:tcW w:w="1422"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764" w:type="dxa"/>
            <w:vMerge/>
            <w:tcBorders>
              <w:top w:val="nil"/>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r>
      <w:tr w:rsidR="00F4481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F4481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2,462.24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2,462.24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一般公共服务支出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人大事务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2010102</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9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政府办公厅（室）及相关机构事务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2010301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行政运行</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2010302</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2010399</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其他政府办公厅（室）及相关机构事务支出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2010602</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lastRenderedPageBreak/>
              <w:t>204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公共安全支出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20499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其他公共安全支出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2049999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其他公共安全支出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社会保障和就业支出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人力资源和社会保障管理事务</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2080199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其他人力资源和社会保障管理事务支出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行政事业单位养老支出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2080505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机关事业单位基本养老保险缴费支出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20808</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抚恤</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2080801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死亡抚恤</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210</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卫生健康支出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21011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行政事业单位医疗</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2101101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行政单位医疗</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lastRenderedPageBreak/>
              <w:t>212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城乡社区支出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城乡社区环境卫生</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2120501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城乡社区环境卫生</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21208</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国有土地使用权出让收入安排的支出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2120816</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农业农村生态环境支出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其他国有土地使用权出让收入安排的支出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城市基础设施配套费安排的支出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其他城市基础设施配套费安排的支出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农林水支出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巩固脱贫攻坚成果衔接乡村振兴</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2130504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农村基础设施建设</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21307</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对村级公益事业建设的补助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2130705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对村民委员会和村党支部的补助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2130707</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农村综合改革示范试点补助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2139999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216</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商业服务业等支出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21602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商业流通事务</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2160299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其他商业流通事务支出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22102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2210201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灾害防治及应急管理支出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消防救援事务</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消防应急救援</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彩票公益金安排的支出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用于其他社会公益事业的彩票公益金支出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bl>
    <w:p w:rsidR="00F4481D"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F4481D"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 xml:space="preserve"> </w:t>
      </w:r>
    </w:p>
    <w:p w:rsidR="00F4481D" w:rsidRDefault="00F4481D">
      <w:pPr>
        <w:widowControl/>
        <w:jc w:val="center"/>
        <w:textAlignment w:val="center"/>
        <w:rPr>
          <w:rFonts w:ascii="Times New Roman" w:eastAsia="黑体"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F4481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F4481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985"/>
        <w:gridCol w:w="3644"/>
        <w:gridCol w:w="1405"/>
        <w:gridCol w:w="1268"/>
        <w:gridCol w:w="1317"/>
        <w:gridCol w:w="1439"/>
        <w:gridCol w:w="895"/>
        <w:gridCol w:w="2256"/>
      </w:tblGrid>
      <w:tr w:rsidR="00F4481D">
        <w:trPr>
          <w:trHeight w:val="595"/>
          <w:jc w:val="center"/>
        </w:trPr>
        <w:tc>
          <w:tcPr>
            <w:tcW w:w="197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4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F4481D">
        <w:trPr>
          <w:trHeight w:hRule="exact" w:val="312"/>
          <w:jc w:val="center"/>
        </w:trPr>
        <w:tc>
          <w:tcPr>
            <w:tcW w:w="6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80" w:type="pct"/>
            <w:vMerge w:val="restart"/>
            <w:tcBorders>
              <w:top w:val="nil"/>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4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7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r>
      <w:tr w:rsidR="00F4481D">
        <w:trPr>
          <w:trHeight w:val="595"/>
          <w:jc w:val="center"/>
        </w:trPr>
        <w:tc>
          <w:tcPr>
            <w:tcW w:w="698"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1280" w:type="pct"/>
            <w:vMerge/>
            <w:tcBorders>
              <w:top w:val="nil"/>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7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r>
      <w:tr w:rsidR="00F4481D">
        <w:trPr>
          <w:trHeight w:val="595"/>
          <w:jc w:val="center"/>
        </w:trPr>
        <w:tc>
          <w:tcPr>
            <w:tcW w:w="197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494"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46"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3"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06"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15"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94"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F4481D">
        <w:trPr>
          <w:trHeight w:val="595"/>
          <w:jc w:val="center"/>
        </w:trPr>
        <w:tc>
          <w:tcPr>
            <w:tcW w:w="197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2,462.24</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2,208.28</w:t>
            </w: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253.96</w:t>
            </w:r>
          </w:p>
        </w:tc>
        <w:tc>
          <w:tcPr>
            <w:tcW w:w="50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一般公共服务支出</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74.28</w:t>
            </w:r>
          </w:p>
        </w:tc>
        <w:tc>
          <w:tcPr>
            <w:tcW w:w="50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人大事务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446" w:type="pct"/>
            <w:tcBorders>
              <w:top w:val="nil"/>
              <w:left w:val="nil"/>
              <w:bottom w:val="single" w:sz="4" w:space="0" w:color="auto"/>
              <w:right w:val="single" w:sz="4" w:space="0" w:color="auto"/>
            </w:tcBorders>
            <w:noWrap/>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506"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2010102</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446" w:type="pct"/>
            <w:tcBorders>
              <w:top w:val="nil"/>
              <w:left w:val="nil"/>
              <w:bottom w:val="single" w:sz="4" w:space="0" w:color="auto"/>
              <w:right w:val="single" w:sz="4" w:space="0" w:color="auto"/>
            </w:tcBorders>
            <w:noWrap/>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506"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20103</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政府办公厅（室）及相关机构事务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50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2010301</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行政运行</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0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2010302</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一般行政管理事务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50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lastRenderedPageBreak/>
              <w:t>2010399</w:t>
            </w:r>
          </w:p>
        </w:tc>
        <w:tc>
          <w:tcPr>
            <w:tcW w:w="1280" w:type="pct"/>
            <w:tcBorders>
              <w:top w:val="single" w:sz="4" w:space="0" w:color="auto"/>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其他政府办公厅（室）及相关机构事务支出</w:t>
            </w:r>
          </w:p>
        </w:tc>
        <w:tc>
          <w:tcPr>
            <w:tcW w:w="494" w:type="pct"/>
            <w:tcBorders>
              <w:top w:val="single" w:sz="4" w:space="0" w:color="auto"/>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446" w:type="pct"/>
            <w:tcBorders>
              <w:top w:val="single" w:sz="4" w:space="0" w:color="auto"/>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463" w:type="pct"/>
            <w:tcBorders>
              <w:top w:val="single" w:sz="4" w:space="0" w:color="auto"/>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06" w:type="pct"/>
            <w:tcBorders>
              <w:top w:val="single" w:sz="4" w:space="0" w:color="auto"/>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single" w:sz="4" w:space="0" w:color="auto"/>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single" w:sz="4" w:space="0" w:color="auto"/>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446" w:type="pct"/>
            <w:tcBorders>
              <w:top w:val="nil"/>
              <w:left w:val="nil"/>
              <w:bottom w:val="single" w:sz="4" w:space="0" w:color="auto"/>
              <w:right w:val="single" w:sz="4" w:space="0" w:color="auto"/>
            </w:tcBorders>
            <w:noWrap/>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506"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2010602</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3"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506"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204</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公共安全支出</w:t>
            </w:r>
          </w:p>
        </w:tc>
        <w:tc>
          <w:tcPr>
            <w:tcW w:w="494"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446" w:type="pct"/>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463" w:type="pct"/>
            <w:tcBorders>
              <w:top w:val="nil"/>
              <w:left w:val="nil"/>
              <w:bottom w:val="single" w:sz="4" w:space="0" w:color="auto"/>
              <w:right w:val="single" w:sz="4" w:space="0" w:color="auto"/>
            </w:tcBorders>
            <w:noWrap/>
            <w:vAlign w:val="center"/>
          </w:tcPr>
          <w:p w:rsidR="00F4481D" w:rsidRDefault="00F4481D">
            <w:pPr>
              <w:widowControl/>
              <w:jc w:val="right"/>
              <w:textAlignment w:val="center"/>
              <w:rPr>
                <w:rFonts w:ascii="宋体" w:eastAsia="宋体" w:hAnsi="宋体" w:cs="宋体" w:hint="eastAsia"/>
                <w:color w:val="000000"/>
                <w:sz w:val="22"/>
              </w:rPr>
            </w:pPr>
          </w:p>
        </w:tc>
        <w:tc>
          <w:tcPr>
            <w:tcW w:w="506"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20499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其他公共安全支出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2049999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其他公共安全支出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社会保障和就业支出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143.90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143.90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人力资源和社会保障管理事务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2080199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其他人力资源和社会保障管理事务支出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行政事业单位养老支出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2080505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机关事业单位基本养老保险缴费支出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抚恤</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死亡抚恤</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lastRenderedPageBreak/>
              <w:t>210</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卫生健康支出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行政事业单位医疗</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49.42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行政单位医疗</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城乡社区支出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21208</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国有土地使用权出让收入安排的支出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2120816</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农业农村生态环境支出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其他国有土地使用权出让收入安排的支出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城市基础设施配套费安排的支出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其他城市基础设施配套费安排的支出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农林水支出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巩固脱贫攻坚成果衔接乡村振兴</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2130504</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农村基础设施建设</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农村综合改革</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lastRenderedPageBreak/>
              <w:t>2130705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对村民委员会和村党支部的补助</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2130707</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农村综合改革示范试点补助</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商业服务业等支出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商业流通事务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其他商业流通事务支出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650"/>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灾害防治及应急管理支出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消防救援事务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2240204</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消防应急救援</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22960</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彩票公益金安排的支出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用于其他社会公益事业的彩票公益金支出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bl>
    <w:p w:rsidR="00F4481D"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F4481D"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F4481D" w:rsidRDefault="00F4481D">
      <w:pPr>
        <w:widowControl/>
        <w:spacing w:line="400" w:lineRule="exact"/>
        <w:jc w:val="center"/>
        <w:textAlignment w:val="cente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F4481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F4481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1096"/>
        <w:gridCol w:w="3516"/>
        <w:gridCol w:w="616"/>
        <w:gridCol w:w="1096"/>
        <w:gridCol w:w="1427"/>
        <w:gridCol w:w="1307"/>
        <w:gridCol w:w="1030"/>
      </w:tblGrid>
      <w:tr w:rsidR="00F4481D">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F4481D">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33</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34</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35</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36</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37</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38</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7</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七、文化旅游体育与传媒支出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39</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8</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八、社会保障和就业支出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40</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9</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九、卫生健康支出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41</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10</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十、节能环保支出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42</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11</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十一、城乡社区支出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43</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12</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十二、农林水支出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44</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13</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十三、交通运输支出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45</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14</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十四、资源勘探工业信息等支出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46</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15</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十五、商业服务业等支出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47</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16</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十六、金融支出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48</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17</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十七、援助其他地区支出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49</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18</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十八、自然资源海洋气象等支出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50</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19</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十九、住房保障支出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51</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20</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二十、粮油物资储备支出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52</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21</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二十一、国有资本经营预算支出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53</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22</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二十二、灾害防治及应急管理支出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54</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23</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二十三、其他支出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55</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24</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二十四、债务还本支出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56</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25</w:t>
            </w: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二十五、债务付息支出</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57</w:t>
            </w: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26</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58</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27</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59</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28</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60</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29</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61</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30</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62</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31</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63</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32</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64</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F4481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F4481D" w:rsidRDefault="00F4481D">
      <w:pPr>
        <w:widowControl/>
        <w:jc w:val="center"/>
        <w:rPr>
          <w:rFonts w:ascii="Times New Roman" w:eastAsia="方正小标宋_GBK" w:hAnsi="Times New Roman" w:cs="Times New Roman"/>
          <w:kern w:val="0"/>
          <w:sz w:val="36"/>
          <w:szCs w:val="36"/>
        </w:rPr>
      </w:pPr>
    </w:p>
    <w:p w:rsidR="00F4481D" w:rsidRDefault="00F4481D">
      <w:pPr>
        <w:pStyle w:val="ab"/>
        <w:rPr>
          <w:rFonts w:ascii="Times New Roman" w:eastAsia="方正小标宋_GBK" w:hAnsi="Times New Roman" w:cs="Times New Roman"/>
          <w:kern w:val="0"/>
          <w:sz w:val="36"/>
          <w:szCs w:val="36"/>
        </w:rPr>
      </w:pPr>
    </w:p>
    <w:p w:rsidR="00F4481D" w:rsidRDefault="00F4481D">
      <w:pPr>
        <w:pStyle w:val="2"/>
        <w:ind w:firstLine="480"/>
        <w:rPr>
          <w:rFonts w:hint="eastAsia"/>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F4481D"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F4481D"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177"/>
        <w:gridCol w:w="4176"/>
        <w:gridCol w:w="2816"/>
        <w:gridCol w:w="3262"/>
        <w:gridCol w:w="2788"/>
      </w:tblGrid>
      <w:tr w:rsidR="00F4481D">
        <w:trPr>
          <w:trHeight w:val="545"/>
          <w:jc w:val="center"/>
        </w:trPr>
        <w:tc>
          <w:tcPr>
            <w:tcW w:w="5353" w:type="dxa"/>
            <w:gridSpan w:val="2"/>
            <w:tcBorders>
              <w:top w:val="single" w:sz="8" w:space="0" w:color="auto"/>
              <w:left w:val="single" w:sz="8" w:space="0" w:color="auto"/>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8866" w:type="dxa"/>
            <w:gridSpan w:val="3"/>
            <w:tcBorders>
              <w:top w:val="single" w:sz="8" w:space="0" w:color="auto"/>
              <w:left w:val="nil"/>
              <w:bottom w:val="single" w:sz="4" w:space="0" w:color="auto"/>
              <w:right w:val="single" w:sz="8" w:space="0" w:color="000000"/>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F4481D">
        <w:trPr>
          <w:trHeight w:hRule="exact" w:val="312"/>
          <w:jc w:val="center"/>
        </w:trPr>
        <w:tc>
          <w:tcPr>
            <w:tcW w:w="1177" w:type="dxa"/>
            <w:vMerge w:val="restart"/>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4176" w:type="dxa"/>
            <w:vMerge w:val="restart"/>
            <w:tcBorders>
              <w:top w:val="nil"/>
              <w:left w:val="single" w:sz="4" w:space="0" w:color="auto"/>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816" w:type="dxa"/>
            <w:vMerge w:val="restart"/>
            <w:tcBorders>
              <w:top w:val="nil"/>
              <w:left w:val="single" w:sz="4" w:space="0" w:color="auto"/>
              <w:bottom w:val="single" w:sz="4" w:space="0" w:color="000000"/>
              <w:right w:val="single" w:sz="4" w:space="0" w:color="auto"/>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262" w:type="dxa"/>
            <w:vMerge w:val="restart"/>
            <w:tcBorders>
              <w:top w:val="nil"/>
              <w:left w:val="single" w:sz="4" w:space="0" w:color="auto"/>
              <w:bottom w:val="single" w:sz="4" w:space="0" w:color="000000"/>
              <w:right w:val="single" w:sz="4" w:space="0" w:color="auto"/>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788" w:type="dxa"/>
            <w:vMerge w:val="restart"/>
            <w:tcBorders>
              <w:top w:val="nil"/>
              <w:left w:val="single" w:sz="4" w:space="0" w:color="auto"/>
              <w:bottom w:val="single" w:sz="4" w:space="0" w:color="000000"/>
              <w:right w:val="single" w:sz="8" w:space="0" w:color="auto"/>
            </w:tcBorders>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F4481D">
        <w:trPr>
          <w:trHeight w:val="360"/>
          <w:jc w:val="center"/>
        </w:trPr>
        <w:tc>
          <w:tcPr>
            <w:tcW w:w="1177" w:type="dxa"/>
            <w:vMerge/>
            <w:tcBorders>
              <w:top w:val="single" w:sz="4" w:space="0" w:color="auto"/>
              <w:left w:val="single" w:sz="8"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4176" w:type="dxa"/>
            <w:vMerge/>
            <w:tcBorders>
              <w:top w:val="nil"/>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816"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3262"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788" w:type="dxa"/>
            <w:vMerge/>
            <w:tcBorders>
              <w:top w:val="nil"/>
              <w:left w:val="single" w:sz="4" w:space="0" w:color="auto"/>
              <w:bottom w:val="single" w:sz="4" w:space="0" w:color="000000"/>
              <w:right w:val="single" w:sz="8" w:space="0" w:color="auto"/>
            </w:tcBorders>
            <w:vAlign w:val="center"/>
          </w:tcPr>
          <w:p w:rsidR="00F4481D" w:rsidRDefault="00F4481D">
            <w:pPr>
              <w:widowControl/>
              <w:jc w:val="left"/>
              <w:rPr>
                <w:rFonts w:ascii="Times New Roman" w:eastAsia="仿宋_GB2312" w:hAnsi="Times New Roman" w:cs="Times New Roman"/>
                <w:kern w:val="0"/>
                <w:szCs w:val="21"/>
              </w:rPr>
            </w:pPr>
          </w:p>
        </w:tc>
      </w:tr>
      <w:tr w:rsidR="00F4481D">
        <w:trPr>
          <w:trHeight w:val="312"/>
          <w:jc w:val="center"/>
        </w:trPr>
        <w:tc>
          <w:tcPr>
            <w:tcW w:w="1177" w:type="dxa"/>
            <w:vMerge/>
            <w:tcBorders>
              <w:top w:val="single" w:sz="4" w:space="0" w:color="auto"/>
              <w:left w:val="single" w:sz="8"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4176" w:type="dxa"/>
            <w:vMerge/>
            <w:tcBorders>
              <w:top w:val="nil"/>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816"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3262"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788" w:type="dxa"/>
            <w:vMerge/>
            <w:tcBorders>
              <w:top w:val="nil"/>
              <w:left w:val="single" w:sz="4" w:space="0" w:color="auto"/>
              <w:bottom w:val="single" w:sz="4" w:space="0" w:color="000000"/>
              <w:right w:val="single" w:sz="8" w:space="0" w:color="auto"/>
            </w:tcBorders>
            <w:vAlign w:val="center"/>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5353" w:type="dxa"/>
            <w:gridSpan w:val="2"/>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816" w:type="dxa"/>
            <w:tcBorders>
              <w:top w:val="nil"/>
              <w:left w:val="nil"/>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262" w:type="dxa"/>
            <w:tcBorders>
              <w:top w:val="nil"/>
              <w:left w:val="nil"/>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788" w:type="dxa"/>
            <w:tcBorders>
              <w:top w:val="nil"/>
              <w:left w:val="nil"/>
              <w:bottom w:val="single" w:sz="4" w:space="0" w:color="auto"/>
              <w:right w:val="single" w:sz="8" w:space="0" w:color="auto"/>
            </w:tcBorders>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4481D">
        <w:trPr>
          <w:trHeight w:val="450"/>
          <w:jc w:val="center"/>
        </w:trPr>
        <w:tc>
          <w:tcPr>
            <w:tcW w:w="5353" w:type="dxa"/>
            <w:gridSpan w:val="2"/>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2,300.06</w:t>
            </w:r>
          </w:p>
        </w:tc>
        <w:tc>
          <w:tcPr>
            <w:tcW w:w="3262"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2,208.28</w:t>
            </w: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91.78</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一般公共服务支出</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3262"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74.28</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人大事务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3262" w:type="dxa"/>
            <w:tcBorders>
              <w:top w:val="nil"/>
              <w:left w:val="nil"/>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2010102</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3262" w:type="dxa"/>
            <w:tcBorders>
              <w:top w:val="nil"/>
              <w:left w:val="nil"/>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政府办公厅（室）及相关机构事务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3262"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2010301</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3262"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2788" w:type="dxa"/>
            <w:tcBorders>
              <w:top w:val="nil"/>
              <w:left w:val="nil"/>
              <w:bottom w:val="single" w:sz="4" w:space="0" w:color="auto"/>
              <w:right w:val="single" w:sz="8" w:space="0" w:color="auto"/>
            </w:tcBorders>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2010302</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3262" w:type="dxa"/>
            <w:tcBorders>
              <w:top w:val="nil"/>
              <w:left w:val="nil"/>
              <w:bottom w:val="single" w:sz="4" w:space="0" w:color="auto"/>
              <w:right w:val="single" w:sz="4" w:space="0" w:color="auto"/>
            </w:tcBorders>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2010399</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其他政府办公厅（室）及相关机构事务支出</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3262"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2788" w:type="dxa"/>
            <w:tcBorders>
              <w:top w:val="nil"/>
              <w:left w:val="nil"/>
              <w:bottom w:val="single" w:sz="4" w:space="0" w:color="auto"/>
              <w:right w:val="single" w:sz="8" w:space="0" w:color="auto"/>
            </w:tcBorders>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3262" w:type="dxa"/>
            <w:tcBorders>
              <w:top w:val="nil"/>
              <w:left w:val="nil"/>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2010602</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3262" w:type="dxa"/>
            <w:tcBorders>
              <w:top w:val="nil"/>
              <w:left w:val="nil"/>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204</w:t>
            </w:r>
          </w:p>
        </w:tc>
        <w:tc>
          <w:tcPr>
            <w:tcW w:w="4176" w:type="dxa"/>
            <w:tcBorders>
              <w:top w:val="nil"/>
              <w:left w:val="nil"/>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公共安全支出</w:t>
            </w:r>
          </w:p>
        </w:tc>
        <w:tc>
          <w:tcPr>
            <w:tcW w:w="2816"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3262" w:type="dxa"/>
            <w:tcBorders>
              <w:top w:val="nil"/>
              <w:left w:val="nil"/>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2788" w:type="dxa"/>
            <w:tcBorders>
              <w:top w:val="nil"/>
              <w:left w:val="nil"/>
              <w:bottom w:val="single" w:sz="4" w:space="0" w:color="auto"/>
              <w:right w:val="single" w:sz="8" w:space="0" w:color="auto"/>
            </w:tcBorders>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20499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其他公共安全支出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2049999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其他公共安全支出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人力资源和社会保障管理事务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2080199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其他人力资源和社会保障管理事务支出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抚恤</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死亡抚恤</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卫生健康支出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行政事业单位医疗</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行政单位医疗</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城乡社区支出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农林水支出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巩固脱贫攻坚成果衔接乡村振兴</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2130504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农村基础设施建设</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农村综合改革</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2130701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对村级公益事业建设的补助</w:t>
            </w:r>
          </w:p>
        </w:tc>
        <w:tc>
          <w:tcPr>
            <w:tcW w:w="2816" w:type="dxa"/>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对村民委员会和村党支部的补助</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2130707</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农村综合改革示范试点补助</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商业服务业等支出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商业流通事务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其他商业流通事务支出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灾害防治及应急管理支出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消防救援事务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消防应急救援</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bl>
    <w:p w:rsidR="00F4481D"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F4481D" w:rsidRDefault="00F4481D">
      <w:pPr>
        <w:widowControl/>
        <w:jc w:val="left"/>
        <w:rPr>
          <w:rFonts w:ascii="Times New Roman" w:eastAsia="仿宋_GB2312" w:hAnsi="Times New Roman" w:cs="Times New Roman"/>
          <w:bCs/>
          <w:kern w:val="0"/>
          <w:szCs w:val="21"/>
        </w:rPr>
      </w:pPr>
    </w:p>
    <w:p w:rsidR="00F4481D"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F4481D"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F4481D"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F4481D"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04"/>
        <w:gridCol w:w="1012"/>
        <w:gridCol w:w="1116"/>
        <w:gridCol w:w="2018"/>
        <w:gridCol w:w="933"/>
        <w:gridCol w:w="1217"/>
        <w:gridCol w:w="3517"/>
        <w:gridCol w:w="929"/>
      </w:tblGrid>
      <w:tr w:rsidR="00F4481D">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04"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12"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901.13</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561.69</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228.32</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47.22</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174.43</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35.56</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82.33</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3.00</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56.27</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20.37</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rsidTr="000729D4">
        <w:trPr>
          <w:trHeight w:hRule="exact" w:val="283"/>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w:t>
            </w:r>
            <w:r>
              <w:rPr>
                <w:rFonts w:ascii="Times New Roman" w:eastAsia="仿宋_GB2312" w:hAnsi="Times New Roman" w:cs="Times New Roman" w:hint="eastAsia"/>
                <w:color w:val="000000"/>
                <w:kern w:val="0"/>
                <w:szCs w:val="20"/>
              </w:rPr>
              <w:t>保险</w:t>
            </w:r>
            <w:r>
              <w:rPr>
                <w:rFonts w:ascii="Times New Roman" w:eastAsia="仿宋_GB2312" w:hAnsi="Times New Roman" w:cs="Times New Roman"/>
                <w:color w:val="000000"/>
                <w:kern w:val="0"/>
                <w:szCs w:val="20"/>
              </w:rPr>
              <w:t>缴费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39.55</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3.00</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21.96</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20.64</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82.60</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23.65</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125.53</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68.31</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742.45</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35.66</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39.10</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3.14</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10.18</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86.06</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1.02</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57.43</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89.16</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73.62</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F4481D" w:rsidRDefault="00F4481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4481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4481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F4481D" w:rsidRDefault="00F4481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4481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4481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F4481D" w:rsidRDefault="00F4481D">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564.50</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4.30</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8.02</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27.83</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04"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12"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42.21</w:t>
            </w:r>
          </w:p>
        </w:tc>
        <w:tc>
          <w:tcPr>
            <w:tcW w:w="12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3885" w:type="dxa"/>
            <w:gridSpan w:val="2"/>
            <w:tcBorders>
              <w:top w:val="single" w:sz="4" w:space="0" w:color="auto"/>
              <w:left w:val="single" w:sz="4" w:space="0" w:color="auto"/>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012"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1,643.58</w:t>
            </w:r>
          </w:p>
        </w:tc>
        <w:tc>
          <w:tcPr>
            <w:tcW w:w="8801" w:type="dxa"/>
            <w:gridSpan w:val="5"/>
            <w:tcBorders>
              <w:top w:val="single" w:sz="4" w:space="0" w:color="auto"/>
              <w:left w:val="nil"/>
              <w:bottom w:val="single" w:sz="4" w:space="0" w:color="auto"/>
              <w:right w:val="single" w:sz="4" w:space="0" w:color="auto"/>
            </w:tcBorders>
            <w:noWrap/>
            <w:vAlign w:val="center"/>
          </w:tcPr>
          <w:p w:rsidR="00F4481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564.69</w:t>
            </w:r>
          </w:p>
        </w:tc>
      </w:tr>
    </w:tbl>
    <w:p w:rsidR="00F4481D"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F4481D" w:rsidRDefault="00F4481D">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F4481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F4481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02"/>
        <w:gridCol w:w="1372"/>
        <w:gridCol w:w="1918"/>
        <w:gridCol w:w="1943"/>
        <w:gridCol w:w="1919"/>
        <w:gridCol w:w="1935"/>
        <w:gridCol w:w="1918"/>
        <w:gridCol w:w="1919"/>
      </w:tblGrid>
      <w:tr w:rsidR="00F4481D">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F4481D">
        <w:trPr>
          <w:trHeight w:hRule="exact" w:val="312"/>
          <w:jc w:val="center"/>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372"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widowControl/>
              <w:jc w:val="center"/>
              <w:rPr>
                <w:rFonts w:ascii="Times New Roman" w:eastAsia="仿宋_GB2312" w:hAnsi="Times New Roman" w:cs="Times New Roman"/>
                <w:color w:val="000000"/>
                <w:sz w:val="24"/>
                <w:szCs w:val="24"/>
              </w:rPr>
            </w:pPr>
          </w:p>
        </w:tc>
      </w:tr>
      <w:tr w:rsidR="00F4481D">
        <w:trPr>
          <w:trHeight w:val="409"/>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372"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312"/>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372"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F4481D">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162.18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162.18</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162.18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212</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lang w:bidi="ar"/>
              </w:rPr>
              <w:t>城乡社区支出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21208</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国有土地使用权出让收入安排的支出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2120816</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lang w:bidi="ar"/>
              </w:rPr>
              <w:t>农业农村生态环境支出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2120899</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其他国有土地使用权出让收入安排的支出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城市基础设施配套费安排的支出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2121399</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其他城市基础设施配套费安排的支出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229</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其他支出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22960</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彩票公益金安排的支出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2296099</w:t>
            </w:r>
          </w:p>
        </w:tc>
        <w:tc>
          <w:tcPr>
            <w:tcW w:w="1372"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用于其他社会公益事业的彩票公益金支出</w:t>
            </w: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35"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bl>
    <w:p w:rsidR="00F4481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F4481D" w:rsidRDefault="00F4481D">
      <w:pPr>
        <w:widowControl/>
        <w:jc w:val="left"/>
        <w:textAlignment w:val="center"/>
        <w:rPr>
          <w:rFonts w:ascii="Times New Roman" w:eastAsia="仿宋_GB2312" w:hAnsi="Times New Roman" w:cs="Times New Roman"/>
          <w:color w:val="000000"/>
          <w:kern w:val="0"/>
          <w:sz w:val="24"/>
          <w:szCs w:val="24"/>
          <w:lang w:bidi="ar"/>
        </w:rPr>
      </w:pPr>
    </w:p>
    <w:p w:rsidR="00F4481D"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F4481D" w:rsidRDefault="00F4481D">
      <w:pPr>
        <w:widowControl/>
        <w:jc w:val="center"/>
        <w:rPr>
          <w:rFonts w:ascii="Times New Roman" w:eastAsia="方正小标宋_GBK" w:hAnsi="Times New Roman" w:cs="Times New Roman"/>
          <w:color w:val="000000"/>
          <w:kern w:val="0"/>
          <w:sz w:val="36"/>
          <w:szCs w:val="36"/>
        </w:rPr>
      </w:pPr>
    </w:p>
    <w:p w:rsidR="00F4481D" w:rsidRDefault="00F4481D">
      <w:pPr>
        <w:widowControl/>
        <w:spacing w:line="400" w:lineRule="exact"/>
        <w:textAlignment w:val="center"/>
        <w:rPr>
          <w:rFonts w:ascii="Times New Roman" w:eastAsia="黑体" w:hAnsi="Times New Roman" w:cs="Times New Roman"/>
          <w:color w:val="000000"/>
          <w:kern w:val="0"/>
          <w:sz w:val="36"/>
          <w:szCs w:val="36"/>
          <w:lang w:bidi="ar"/>
        </w:rPr>
      </w:pPr>
    </w:p>
    <w:p w:rsidR="00F4481D" w:rsidRDefault="00F4481D">
      <w:pPr>
        <w:pStyle w:val="ab"/>
        <w:rPr>
          <w:rFonts w:ascii="Times New Roman" w:eastAsia="黑体" w:hAnsi="Times New Roman" w:cs="Times New Roman"/>
          <w:color w:val="000000"/>
          <w:kern w:val="0"/>
          <w:sz w:val="36"/>
          <w:szCs w:val="36"/>
          <w:lang w:bidi="ar"/>
        </w:rPr>
      </w:pPr>
    </w:p>
    <w:p w:rsidR="00F4481D" w:rsidRDefault="00F4481D">
      <w:pPr>
        <w:pStyle w:val="2"/>
        <w:ind w:firstLine="720"/>
        <w:rPr>
          <w:rFonts w:ascii="Times New Roman" w:eastAsia="黑体" w:hAnsi="Times New Roman" w:cs="Times New Roman"/>
          <w:color w:val="000000"/>
          <w:sz w:val="36"/>
          <w:szCs w:val="36"/>
          <w:lang w:bidi="ar"/>
        </w:rPr>
      </w:pPr>
    </w:p>
    <w:p w:rsidR="00F4481D" w:rsidRDefault="00F4481D">
      <w:pPr>
        <w:rPr>
          <w:rFonts w:ascii="Times New Roman" w:eastAsia="黑体" w:hAnsi="Times New Roman" w:cs="Times New Roman"/>
          <w:color w:val="000000"/>
          <w:kern w:val="0"/>
          <w:sz w:val="36"/>
          <w:szCs w:val="36"/>
          <w:lang w:bidi="ar"/>
        </w:rPr>
      </w:pPr>
    </w:p>
    <w:p w:rsidR="00F4481D" w:rsidRDefault="00F4481D">
      <w:pPr>
        <w:pStyle w:val="ab"/>
        <w:rPr>
          <w:rFonts w:ascii="Times New Roman" w:eastAsia="黑体" w:hAnsi="Times New Roman" w:cs="Times New Roman"/>
          <w:color w:val="000000"/>
          <w:kern w:val="0"/>
          <w:sz w:val="36"/>
          <w:szCs w:val="36"/>
          <w:lang w:bidi="ar"/>
        </w:rPr>
      </w:pPr>
    </w:p>
    <w:p w:rsidR="00F4481D" w:rsidRDefault="00F4481D">
      <w:pPr>
        <w:pStyle w:val="2"/>
        <w:ind w:firstLine="720"/>
        <w:rPr>
          <w:rFonts w:ascii="Times New Roman" w:eastAsia="黑体" w:hAnsi="Times New Roman" w:cs="Times New Roman"/>
          <w:color w:val="000000"/>
          <w:sz w:val="36"/>
          <w:szCs w:val="36"/>
          <w:lang w:bidi="ar"/>
        </w:rPr>
      </w:pPr>
    </w:p>
    <w:p w:rsidR="00F4481D" w:rsidRDefault="00F4481D">
      <w:pPr>
        <w:rPr>
          <w:rFonts w:ascii="Times New Roman" w:eastAsia="黑体" w:hAnsi="Times New Roman" w:cs="Times New Roman"/>
          <w:color w:val="000000"/>
          <w:kern w:val="0"/>
          <w:sz w:val="36"/>
          <w:szCs w:val="36"/>
          <w:lang w:bidi="ar"/>
        </w:rPr>
      </w:pPr>
    </w:p>
    <w:p w:rsidR="00F4481D" w:rsidRDefault="00F4481D">
      <w:pPr>
        <w:pStyle w:val="ab"/>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F4481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F4481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F4481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F4481D">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F4481D">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F4481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宋体" w:hAnsi="Times New Roman" w:cs="Times New Roman"/>
                <w:color w:val="000000"/>
                <w:sz w:val="24"/>
                <w:szCs w:val="24"/>
              </w:rPr>
            </w:pPr>
          </w:p>
        </w:tc>
      </w:tr>
    </w:tbl>
    <w:p w:rsidR="00F4481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F4481D" w:rsidRDefault="00F4481D">
      <w:pPr>
        <w:widowControl/>
        <w:jc w:val="left"/>
        <w:textAlignment w:val="center"/>
        <w:rPr>
          <w:rFonts w:ascii="Times New Roman" w:eastAsia="宋体" w:hAnsi="Times New Roman" w:cs="Times New Roman"/>
          <w:color w:val="000000"/>
          <w:kern w:val="0"/>
          <w:sz w:val="24"/>
          <w:szCs w:val="24"/>
          <w:lang w:bidi="ar"/>
        </w:rPr>
      </w:pPr>
    </w:p>
    <w:p w:rsidR="00F4481D"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F4481D" w:rsidRDefault="00F4481D">
      <w:pPr>
        <w:widowControl/>
        <w:jc w:val="center"/>
        <w:rPr>
          <w:rFonts w:ascii="Times New Roman" w:eastAsia="方正小标宋_GBK" w:hAnsi="Times New Roman" w:cs="Times New Roman"/>
          <w:color w:val="000000"/>
          <w:kern w:val="0"/>
          <w:sz w:val="36"/>
          <w:szCs w:val="36"/>
        </w:rPr>
      </w:pPr>
    </w:p>
    <w:p w:rsidR="00F4481D" w:rsidRDefault="00F4481D">
      <w:pPr>
        <w:pStyle w:val="ab"/>
        <w:spacing w:line="400" w:lineRule="exact"/>
        <w:rPr>
          <w:rFonts w:ascii="Times New Roman" w:eastAsia="华文中宋"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F4481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F4481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2" w:type="pct"/>
        <w:jc w:val="center"/>
        <w:tblLook w:val="04A0" w:firstRow="1" w:lastRow="0" w:firstColumn="1" w:lastColumn="0" w:noHBand="0" w:noVBand="1"/>
      </w:tblPr>
      <w:tblGrid>
        <w:gridCol w:w="934"/>
        <w:gridCol w:w="1225"/>
        <w:gridCol w:w="1086"/>
        <w:gridCol w:w="1187"/>
        <w:gridCol w:w="1422"/>
        <w:gridCol w:w="1384"/>
        <w:gridCol w:w="1047"/>
        <w:gridCol w:w="1160"/>
        <w:gridCol w:w="1160"/>
        <w:gridCol w:w="1160"/>
        <w:gridCol w:w="1364"/>
        <w:gridCol w:w="1410"/>
      </w:tblGrid>
      <w:tr w:rsidR="00F4481D">
        <w:trPr>
          <w:trHeight w:val="606"/>
          <w:jc w:val="center"/>
        </w:trPr>
        <w:tc>
          <w:tcPr>
            <w:tcW w:w="2488" w:type="pct"/>
            <w:gridSpan w:val="6"/>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1" w:type="pct"/>
            <w:gridSpan w:val="6"/>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F4481D">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1"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0" w:type="pct"/>
            <w:gridSpan w:val="3"/>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399"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7" w:type="pct"/>
            <w:gridSpan w:val="3"/>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4" w:type="pct"/>
            <w:vMerge w:val="restar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F4481D">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2"/>
              </w:rPr>
            </w:pPr>
          </w:p>
        </w:tc>
        <w:tc>
          <w:tcPr>
            <w:tcW w:w="421"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2"/>
              </w:rPr>
            </w:pPr>
          </w:p>
        </w:tc>
        <w:tc>
          <w:tcPr>
            <w:tcW w:w="399"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2"/>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7"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4" w:type="pct"/>
            <w:vMerge/>
            <w:tcBorders>
              <w:top w:val="single" w:sz="4" w:space="0" w:color="000000"/>
              <w:left w:val="single" w:sz="4" w:space="0" w:color="000000"/>
              <w:bottom w:val="single" w:sz="4" w:space="0" w:color="000000"/>
              <w:right w:val="single" w:sz="4" w:space="0" w:color="000000"/>
            </w:tcBorders>
            <w:vAlign w:val="center"/>
          </w:tcPr>
          <w:p w:rsidR="00F4481D" w:rsidRDefault="00F4481D">
            <w:pPr>
              <w:jc w:val="center"/>
              <w:rPr>
                <w:rFonts w:ascii="Times New Roman" w:eastAsia="仿宋_GB2312" w:hAnsi="Times New Roman" w:cs="Times New Roman"/>
                <w:color w:val="000000"/>
                <w:sz w:val="22"/>
              </w:rPr>
            </w:pPr>
          </w:p>
        </w:tc>
      </w:tr>
      <w:tr w:rsidR="00F4481D">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1"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4"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0"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7"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4"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F4481D">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F4481D" w:rsidRDefault="00000000">
            <w:pP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7.78</w:t>
            </w:r>
          </w:p>
        </w:tc>
        <w:tc>
          <w:tcPr>
            <w:tcW w:w="421" w:type="pct"/>
            <w:tcBorders>
              <w:top w:val="single" w:sz="4" w:space="0" w:color="000000"/>
              <w:left w:val="single" w:sz="4" w:space="0" w:color="000000"/>
              <w:bottom w:val="single" w:sz="4" w:space="0" w:color="000000"/>
              <w:right w:val="single" w:sz="4" w:space="0" w:color="000000"/>
            </w:tcBorders>
            <w:vAlign w:val="center"/>
          </w:tcPr>
          <w:p w:rsidR="00F4481D" w:rsidRDefault="00F4481D">
            <w:pPr>
              <w:widowControl/>
              <w:jc w:val="right"/>
              <w:textAlignment w:val="center"/>
              <w:rPr>
                <w:rFonts w:ascii="宋体" w:eastAsia="宋体" w:hAnsi="宋体" w:cs="宋体" w:hint="eastAsia"/>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4481D" w:rsidRDefault="00000000">
            <w:pP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4.40</w:t>
            </w:r>
          </w:p>
        </w:tc>
        <w:tc>
          <w:tcPr>
            <w:tcW w:w="408"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4.40</w:t>
            </w:r>
          </w:p>
        </w:tc>
        <w:tc>
          <w:tcPr>
            <w:tcW w:w="474"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3.38</w:t>
            </w:r>
          </w:p>
        </w:tc>
        <w:tc>
          <w:tcPr>
            <w:tcW w:w="360"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7.44</w:t>
            </w: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2"/>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4.30</w:t>
            </w:r>
          </w:p>
        </w:tc>
        <w:tc>
          <w:tcPr>
            <w:tcW w:w="399" w:type="pct"/>
            <w:tcBorders>
              <w:top w:val="single" w:sz="4" w:space="0" w:color="000000"/>
              <w:left w:val="single" w:sz="4" w:space="0" w:color="000000"/>
              <w:bottom w:val="single" w:sz="4" w:space="0" w:color="000000"/>
              <w:right w:val="single" w:sz="4" w:space="0" w:color="000000"/>
            </w:tcBorders>
            <w:vAlign w:val="center"/>
          </w:tcPr>
          <w:p w:rsidR="00F4481D" w:rsidRDefault="00F4481D">
            <w:pPr>
              <w:rPr>
                <w:rFonts w:ascii="Times New Roman" w:eastAsia="仿宋_GB2312" w:hAnsi="Times New Roman" w:cs="Times New Roman"/>
                <w:color w:val="000000"/>
                <w:sz w:val="22"/>
              </w:rPr>
            </w:pPr>
          </w:p>
        </w:tc>
        <w:tc>
          <w:tcPr>
            <w:tcW w:w="467"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4.30</w:t>
            </w:r>
          </w:p>
        </w:tc>
        <w:tc>
          <w:tcPr>
            <w:tcW w:w="484" w:type="pct"/>
            <w:tcBorders>
              <w:top w:val="single" w:sz="4" w:space="0" w:color="000000"/>
              <w:left w:val="single" w:sz="4" w:space="0" w:color="000000"/>
              <w:bottom w:val="single" w:sz="4" w:space="0" w:color="000000"/>
              <w:right w:val="single" w:sz="4" w:space="0" w:color="000000"/>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3.14</w:t>
            </w:r>
          </w:p>
        </w:tc>
      </w:tr>
    </w:tbl>
    <w:p w:rsidR="00F4481D"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000000">
      <w:pPr>
        <w:widowControl/>
        <w:rPr>
          <w:rFonts w:ascii="Times New Roman" w:hAnsi="Times New Roman" w:cs="Times New Roman"/>
          <w:sz w:val="72"/>
          <w:szCs w:val="72"/>
        </w:rPr>
        <w:sectPr w:rsidR="00F4481D">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F4481D" w:rsidRDefault="00F4481D">
      <w:pPr>
        <w:pStyle w:val="Default"/>
        <w:rPr>
          <w:rFonts w:ascii="Times New Roman" w:hAnsi="Times New Roman" w:cs="Times New Roman"/>
          <w:sz w:val="72"/>
          <w:szCs w:val="72"/>
        </w:rPr>
      </w:pPr>
    </w:p>
    <w:p w:rsidR="00F4481D" w:rsidRDefault="00F4481D">
      <w:pPr>
        <w:pStyle w:val="Default"/>
        <w:rPr>
          <w:rFonts w:ascii="Times New Roman" w:hAnsi="Times New Roman" w:cs="Times New Roman"/>
          <w:sz w:val="72"/>
          <w:szCs w:val="72"/>
        </w:rPr>
      </w:pPr>
    </w:p>
    <w:p w:rsidR="00F4481D" w:rsidRDefault="00F4481D">
      <w:pPr>
        <w:pStyle w:val="Default"/>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eastAsia="方正小标宋_GBK" w:hAnsi="Times New Roman" w:cs="Times New Roman"/>
          <w:sz w:val="72"/>
          <w:szCs w:val="72"/>
        </w:rPr>
      </w:pP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F4481D"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农林水支出支出减少。</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2,208.28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89.69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253.96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农林水支出支出减少。</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2,300.06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93.41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154.93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6.31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农林水支出支出减少。</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2,300.06</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1,298.10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56.44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公共安全（类）支出</w:t>
      </w:r>
      <w:r>
        <w:rPr>
          <w:rFonts w:ascii="Times New Roman" w:eastAsia="仿宋_GB2312" w:hAnsi="Times New Roman" w:hint="eastAsia"/>
          <w:sz w:val="32"/>
          <w:szCs w:val="32"/>
        </w:rPr>
        <w:t>0.12</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0.005%;</w:t>
      </w:r>
      <w:r>
        <w:rPr>
          <w:rFonts w:ascii="Times New Roman" w:eastAsia="仿宋_GB2312" w:hAnsi="Times New Roman" w:hint="eastAsia"/>
          <w:sz w:val="32"/>
          <w:szCs w:val="32"/>
        </w:rPr>
        <w:t>社会保障和就业（类）支出</w:t>
      </w:r>
      <w:r>
        <w:rPr>
          <w:rFonts w:ascii="Times New Roman" w:eastAsia="仿宋_GB2312" w:hAnsi="Times New Roman" w:hint="eastAsia"/>
          <w:sz w:val="32"/>
          <w:szCs w:val="32"/>
        </w:rPr>
        <w:t>143.90</w:t>
      </w:r>
      <w:r>
        <w:rPr>
          <w:rFonts w:ascii="Times New Roman" w:eastAsia="仿宋_GB2312" w:hAnsi="Times New Roman" w:hint="eastAsia"/>
          <w:sz w:val="32"/>
          <w:szCs w:val="32"/>
        </w:rPr>
        <w:t>万元，占</w:t>
      </w:r>
      <w:r>
        <w:rPr>
          <w:rFonts w:ascii="Times New Roman" w:eastAsia="仿宋_GB2312" w:hAnsi="Times New Roman" w:hint="eastAsia"/>
          <w:sz w:val="32"/>
          <w:szCs w:val="32"/>
        </w:rPr>
        <w:t>6.26%</w:t>
      </w:r>
      <w:r>
        <w:rPr>
          <w:rFonts w:ascii="Times New Roman" w:eastAsia="仿宋_GB2312" w:hAnsi="Times New Roman" w:hint="eastAsia"/>
          <w:sz w:val="32"/>
          <w:szCs w:val="32"/>
        </w:rPr>
        <w:t>；卫生健康（类）支出</w:t>
      </w:r>
      <w:r>
        <w:rPr>
          <w:rFonts w:ascii="Times New Roman" w:eastAsia="仿宋_GB2312" w:hAnsi="Times New Roman" w:hint="eastAsia"/>
          <w:sz w:val="32"/>
          <w:szCs w:val="32"/>
        </w:rPr>
        <w:t>49.42</w:t>
      </w:r>
      <w:r>
        <w:rPr>
          <w:rFonts w:ascii="Times New Roman" w:eastAsia="仿宋_GB2312" w:hAnsi="Times New Roman" w:hint="eastAsia"/>
          <w:sz w:val="32"/>
          <w:szCs w:val="32"/>
        </w:rPr>
        <w:t>万元，占</w:t>
      </w:r>
      <w:r>
        <w:rPr>
          <w:rFonts w:ascii="Times New Roman" w:eastAsia="仿宋_GB2312" w:hAnsi="Times New Roman" w:hint="eastAsia"/>
          <w:sz w:val="32"/>
          <w:szCs w:val="32"/>
        </w:rPr>
        <w:t>2.15%</w:t>
      </w:r>
      <w:r>
        <w:rPr>
          <w:rFonts w:ascii="Times New Roman" w:eastAsia="仿宋_GB2312" w:hAnsi="Times New Roman" w:hint="eastAsia"/>
          <w:sz w:val="32"/>
          <w:szCs w:val="32"/>
        </w:rPr>
        <w:t>；城乡社区（类）支出</w:t>
      </w:r>
      <w:r>
        <w:rPr>
          <w:rFonts w:ascii="Times New Roman" w:eastAsia="仿宋_GB2312" w:hAnsi="Times New Roman" w:hint="eastAsia"/>
          <w:sz w:val="32"/>
          <w:szCs w:val="32"/>
        </w:rPr>
        <w:t>174.10</w:t>
      </w:r>
      <w:r>
        <w:rPr>
          <w:rFonts w:ascii="Times New Roman" w:eastAsia="仿宋_GB2312" w:hAnsi="Times New Roman" w:hint="eastAsia"/>
          <w:sz w:val="32"/>
          <w:szCs w:val="32"/>
        </w:rPr>
        <w:t>万元，占</w:t>
      </w:r>
      <w:r>
        <w:rPr>
          <w:rFonts w:ascii="Times New Roman" w:eastAsia="仿宋_GB2312" w:hAnsi="Times New Roman" w:hint="eastAsia"/>
          <w:sz w:val="32"/>
          <w:szCs w:val="32"/>
        </w:rPr>
        <w:t>7.57%</w:t>
      </w:r>
      <w:r>
        <w:rPr>
          <w:rFonts w:ascii="Times New Roman" w:eastAsia="仿宋_GB2312" w:hAnsi="Times New Roman" w:hint="eastAsia"/>
          <w:sz w:val="32"/>
          <w:szCs w:val="32"/>
        </w:rPr>
        <w:t>；</w:t>
      </w:r>
      <w:r>
        <w:rPr>
          <w:rFonts w:ascii="仿宋_GB2312" w:eastAsia="仿宋_GB2312" w:hAnsi="宋体" w:hint="eastAsia"/>
          <w:sz w:val="32"/>
          <w:szCs w:val="32"/>
        </w:rPr>
        <w:t>农林水支出（类）520.23万元，占22.62%；商业服务业等支出</w:t>
      </w:r>
      <w:r>
        <w:rPr>
          <w:rFonts w:ascii="Times New Roman" w:eastAsia="仿宋_GB2312" w:hAnsi="Times New Roman" w:hint="eastAsia"/>
          <w:sz w:val="32"/>
          <w:szCs w:val="32"/>
        </w:rPr>
        <w:t>（类）支出</w:t>
      </w:r>
      <w:r>
        <w:rPr>
          <w:rFonts w:ascii="仿宋_GB2312" w:eastAsia="仿宋_GB2312" w:hAnsi="宋体" w:hint="eastAsia"/>
          <w:sz w:val="32"/>
          <w:szCs w:val="32"/>
        </w:rPr>
        <w:t>4万元，占0.17%;住房保障</w:t>
      </w:r>
      <w:r>
        <w:rPr>
          <w:rFonts w:ascii="Times New Roman" w:eastAsia="仿宋_GB2312" w:hAnsi="Times New Roman" w:hint="eastAsia"/>
          <w:sz w:val="32"/>
          <w:szCs w:val="32"/>
        </w:rPr>
        <w:t>（类）</w:t>
      </w:r>
      <w:r>
        <w:rPr>
          <w:rFonts w:ascii="仿宋_GB2312" w:eastAsia="仿宋_GB2312" w:hAnsi="宋体" w:hint="eastAsia"/>
          <w:sz w:val="32"/>
          <w:szCs w:val="32"/>
        </w:rPr>
        <w:t>支出89.21万元，占3.88%；灾害防治及应急管理支出（类）支出20.98万元，占0.91%。</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2065.06</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2,300.06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111.38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0.67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1,165.12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1,206.08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103.52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_GB2312" w:eastAsia="仿宋_GB2312" w:hAnsi="宋体" w:hint="eastAsia"/>
          <w:sz w:val="32"/>
          <w:szCs w:val="32"/>
        </w:rPr>
        <w:t>3、</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72.12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_GB2312" w:eastAsia="仿宋_GB2312" w:hAnsi="宋体" w:hint="eastAsia"/>
          <w:sz w:val="32"/>
          <w:szCs w:val="32"/>
        </w:rPr>
        <w:t>4、</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其他政府办公厅（室）及相关机构事务支出</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17.74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财政事务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firstLineChars="200" w:firstLine="640"/>
        <w:rPr>
          <w:rFonts w:ascii="Times New Roman" w:eastAsia="仿宋_GB2312" w:hAnsi="Times New Roman"/>
          <w:sz w:val="32"/>
          <w:szCs w:val="32"/>
        </w:rPr>
      </w:pPr>
      <w:r>
        <w:rPr>
          <w:rFonts w:ascii="仿宋_GB2312" w:eastAsia="仿宋_GB2312" w:hAnsi="宋体" w:hint="eastAsia"/>
          <w:sz w:val="32"/>
          <w:szCs w:val="32"/>
        </w:rPr>
        <w:t>6、</w:t>
      </w:r>
      <w:r>
        <w:rPr>
          <w:rFonts w:ascii="Times New Roman" w:eastAsia="仿宋_GB2312" w:hAnsi="Times New Roman" w:hint="eastAsia"/>
          <w:sz w:val="32"/>
          <w:szCs w:val="32"/>
        </w:rPr>
        <w:t>公共安全支出（类）其他公共安全支出（款）其他公共安全支出（项）。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7、社会保障和就业支出（类）人力资源和社会保障管理事务（款）其他人力资源和社会保障管理事务支出（项）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121.54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6.73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5.54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决算数小于年初预算数的主要原因是：</w:t>
      </w:r>
      <w:r>
        <w:rPr>
          <w:rFonts w:ascii="仿宋_GB2312" w:eastAsia="仿宋_GB2312" w:hAnsi="宋体" w:hint="eastAsia"/>
          <w:sz w:val="32"/>
          <w:szCs w:val="32"/>
        </w:rPr>
        <w:t>人数减少。</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8、社会保障和就业支出（类）行政事业单位养老支出（款）</w:t>
      </w:r>
      <w:r>
        <w:rPr>
          <w:rFonts w:ascii="仿宋_GB2312" w:eastAsia="仿宋_GB2312" w:hAnsi="宋体" w:hint="eastAsia"/>
          <w:sz w:val="32"/>
          <w:szCs w:val="32"/>
        </w:rPr>
        <w:lastRenderedPageBreak/>
        <w:t>机关事业单位基本养老保险缴费支出（项）。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117.64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9、社会保障和就业支出（类）抚恤（款）死亡抚恤（项）。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6.64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10、社会保障和就业支出（类）其他社会保障和就业支出其他社会保障和就业支出（款）其他社会保障和就业支出（项）。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12.89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卫生健康支出（类）行政事业单位医疗（款）行政单位医疗（项）。</w:t>
      </w:r>
    </w:p>
    <w:p w:rsidR="00F4481D" w:rsidRDefault="00000000">
      <w:pPr>
        <w:pStyle w:val="Default"/>
        <w:spacing w:line="600" w:lineRule="exac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 xml:space="preserve">121.54 </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49.42</w:t>
      </w:r>
      <w:r>
        <w:rPr>
          <w:rFonts w:ascii="Times New Roman" w:eastAsia="仿宋_GB2312" w:hAnsi="Times New Roman" w:hint="eastAsia"/>
          <w:sz w:val="32"/>
          <w:szCs w:val="32"/>
        </w:rPr>
        <w:t>万元，完成年初预算数的</w:t>
      </w:r>
      <w:r>
        <w:rPr>
          <w:rFonts w:ascii="Times New Roman" w:eastAsia="仿宋_GB2312" w:hAnsi="Times New Roman" w:hint="eastAsia"/>
          <w:sz w:val="32"/>
          <w:szCs w:val="32"/>
        </w:rPr>
        <w:t>40.66%</w:t>
      </w:r>
      <w:r>
        <w:rPr>
          <w:rFonts w:ascii="Times New Roman" w:eastAsia="仿宋_GB2312" w:hAnsi="Times New Roman" w:hint="eastAsia"/>
          <w:sz w:val="32"/>
          <w:szCs w:val="32"/>
        </w:rPr>
        <w:t>，决算数小于年初预算数的主要原因是：</w:t>
      </w:r>
      <w:r>
        <w:rPr>
          <w:rFonts w:ascii="仿宋_GB2312" w:eastAsia="仿宋_GB2312" w:hAnsi="宋体" w:hint="eastAsia"/>
          <w:sz w:val="32"/>
          <w:szCs w:val="32"/>
        </w:rPr>
        <w:t>人数减少。</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城乡社区支出（类）城乡社区环境卫生（款）城乡社区环境卫生（项）。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174.10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overflowPunct w:val="0"/>
        <w:autoSpaceDE/>
        <w:autoSpaceDN/>
        <w:spacing w:line="600" w:lineRule="exact"/>
        <w:ind w:firstLineChars="250" w:firstLine="800"/>
        <w:jc w:val="both"/>
        <w:rPr>
          <w:rFonts w:ascii="仿宋_GB2312" w:eastAsia="仿宋_GB2312" w:hAnsi="宋体" w:hint="eastAsia"/>
          <w:sz w:val="32"/>
          <w:szCs w:val="32"/>
        </w:rPr>
      </w:pPr>
      <w:r>
        <w:rPr>
          <w:rFonts w:ascii="仿宋_GB2312" w:eastAsia="仿宋_GB2312" w:hAnsi="宋体" w:hint="eastAsia"/>
          <w:sz w:val="32"/>
          <w:szCs w:val="32"/>
        </w:rPr>
        <w:t>农林水支出（类）巩固脱贫攻坚成果衔接乡村振兴</w:t>
      </w:r>
      <w:r>
        <w:rPr>
          <w:rFonts w:ascii="仿宋_GB2312" w:eastAsia="仿宋_GB2312" w:hAnsi="宋体" w:hint="eastAsia"/>
          <w:sz w:val="32"/>
          <w:szCs w:val="32"/>
        </w:rPr>
        <w:lastRenderedPageBreak/>
        <w:t>（款）农村基础设施建设（项）。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overflowPunct w:val="0"/>
        <w:autoSpaceDE/>
        <w:autoSpaceDN/>
        <w:spacing w:line="600" w:lineRule="exact"/>
        <w:ind w:firstLineChars="250" w:firstLine="800"/>
        <w:jc w:val="both"/>
        <w:rPr>
          <w:rFonts w:ascii="仿宋_GB2312" w:eastAsia="仿宋_GB2312" w:hAnsi="宋体" w:hint="eastAsia"/>
          <w:sz w:val="32"/>
          <w:szCs w:val="32"/>
        </w:rPr>
      </w:pPr>
      <w:r>
        <w:rPr>
          <w:rFonts w:ascii="仿宋_GB2312" w:eastAsia="仿宋_GB2312" w:hAnsi="宋体" w:hint="eastAsia"/>
          <w:sz w:val="32"/>
          <w:szCs w:val="32"/>
        </w:rPr>
        <w:t>农林水支出（类）农村综合改革（款）对村级公益事业建设的补助（项）。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overflowPunct w:val="0"/>
        <w:autoSpaceDE/>
        <w:autoSpaceDN/>
        <w:spacing w:line="600" w:lineRule="exact"/>
        <w:ind w:firstLineChars="250" w:firstLine="800"/>
        <w:jc w:val="both"/>
        <w:rPr>
          <w:rFonts w:ascii="仿宋_GB2312" w:eastAsia="仿宋_GB2312" w:hAnsi="宋体" w:hint="eastAsia"/>
          <w:sz w:val="32"/>
          <w:szCs w:val="32"/>
        </w:rPr>
      </w:pPr>
      <w:r>
        <w:rPr>
          <w:rFonts w:ascii="仿宋_GB2312" w:eastAsia="仿宋_GB2312" w:hAnsi="宋体" w:hint="eastAsia"/>
          <w:sz w:val="32"/>
          <w:szCs w:val="32"/>
        </w:rPr>
        <w:t>农林水支出（类）农村综合改革（款）对村民委员会和村党支部的补助（项）。</w:t>
      </w:r>
    </w:p>
    <w:p w:rsidR="00F4481D" w:rsidRDefault="00000000">
      <w:pPr>
        <w:pStyle w:val="Default"/>
        <w:spacing w:line="600" w:lineRule="exac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 xml:space="preserve">639.77 </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390.23</w:t>
      </w:r>
      <w:r>
        <w:rPr>
          <w:rFonts w:ascii="Times New Roman" w:eastAsia="仿宋_GB2312" w:hAnsi="Times New Roman" w:hint="eastAsia"/>
          <w:sz w:val="32"/>
          <w:szCs w:val="32"/>
        </w:rPr>
        <w:t>万元，完成年初预算数的</w:t>
      </w:r>
      <w:r>
        <w:rPr>
          <w:rFonts w:ascii="Times New Roman" w:eastAsia="仿宋_GB2312" w:hAnsi="Times New Roman" w:hint="eastAsia"/>
          <w:sz w:val="32"/>
          <w:szCs w:val="32"/>
        </w:rPr>
        <w:t>61%</w:t>
      </w:r>
      <w:r>
        <w:rPr>
          <w:rFonts w:ascii="Times New Roman" w:eastAsia="仿宋_GB2312" w:hAnsi="Times New Roman" w:hint="eastAsia"/>
          <w:sz w:val="32"/>
          <w:szCs w:val="32"/>
        </w:rPr>
        <w:t>，决算数小于年初预算数的主要原因是：</w:t>
      </w:r>
      <w:r>
        <w:rPr>
          <w:rFonts w:ascii="仿宋_GB2312" w:eastAsia="仿宋_GB2312" w:hAnsi="宋体" w:hint="eastAsia"/>
          <w:sz w:val="32"/>
          <w:szCs w:val="32"/>
        </w:rPr>
        <w:t>人数减少。</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农林水支出（类）农村综合改革（款）农村综合改革示范试点补助（项）。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农林水支出（类）其他农林水支出（款）其他农林水支出（项）。</w:t>
      </w: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商业服务业等支出（类）商业流通事务（款）其他商业流通事务支出（项）。</w:t>
      </w:r>
    </w:p>
    <w:p w:rsidR="00F4481D" w:rsidRDefault="00F4481D">
      <w:pPr>
        <w:pStyle w:val="Default"/>
        <w:spacing w:line="600" w:lineRule="exact"/>
        <w:rPr>
          <w:rFonts w:ascii="仿宋_GB2312" w:eastAsia="仿宋_GB2312" w:hAnsi="宋体" w:hint="eastAsia"/>
          <w:sz w:val="32"/>
          <w:szCs w:val="32"/>
        </w:rPr>
      </w:pP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住房保障支出（类）住房改革支出（款）住房公积金（项）。</w:t>
      </w:r>
    </w:p>
    <w:p w:rsidR="00F4481D" w:rsidRDefault="00000000">
      <w:pPr>
        <w:pStyle w:val="Default"/>
        <w:spacing w:line="600" w:lineRule="exac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 xml:space="preserve">89.21 </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89.21</w:t>
      </w:r>
      <w:r>
        <w:rPr>
          <w:rFonts w:ascii="Times New Roman" w:eastAsia="仿宋_GB2312" w:hAnsi="Times New Roman" w:hint="eastAsia"/>
          <w:sz w:val="32"/>
          <w:szCs w:val="32"/>
        </w:rPr>
        <w:t>万元，完成年初预算数的</w:t>
      </w:r>
      <w:r>
        <w:rPr>
          <w:rFonts w:ascii="Times New Roman" w:eastAsia="仿宋_GB2312" w:hAnsi="Times New Roman" w:hint="eastAsia"/>
          <w:sz w:val="32"/>
          <w:szCs w:val="32"/>
        </w:rPr>
        <w:t>100%</w:t>
      </w:r>
      <w:r>
        <w:rPr>
          <w:rFonts w:ascii="仿宋_GB2312" w:eastAsia="仿宋_GB2312" w:hAnsi="宋体" w:hint="eastAsia"/>
          <w:sz w:val="32"/>
          <w:szCs w:val="32"/>
        </w:rPr>
        <w:t>。</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交通运输支出（类）公路水路运输（款）一般行政管理事务（项）。</w:t>
      </w: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17.50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21、灾害防治及应急管理支出（类）消防救援事务（款）消防应急救援（项）。</w:t>
      </w: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3.48</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F4481D">
      <w:pPr>
        <w:pStyle w:val="Default"/>
        <w:overflowPunct w:val="0"/>
        <w:autoSpaceDE/>
        <w:autoSpaceDN/>
        <w:spacing w:line="600" w:lineRule="exact"/>
        <w:jc w:val="both"/>
        <w:rPr>
          <w:rFonts w:ascii="仿宋_GB2312" w:eastAsia="仿宋_GB2312" w:hAnsi="宋体" w:hint="eastAsia"/>
          <w:sz w:val="32"/>
          <w:szCs w:val="32"/>
        </w:rPr>
      </w:pP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2,208.28</w:t>
      </w:r>
      <w:r>
        <w:rPr>
          <w:rFonts w:ascii="Times New Roman" w:eastAsia="仿宋_GB2312" w:hAnsi="Times New Roman" w:cs="Times New Roman"/>
          <w:sz w:val="32"/>
          <w:szCs w:val="32"/>
        </w:rPr>
        <w:t>万元，其中：</w:t>
      </w:r>
    </w:p>
    <w:p w:rsidR="00F4481D"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b/>
          <w:bCs/>
          <w:sz w:val="32"/>
          <w:szCs w:val="32"/>
        </w:rPr>
        <w:t>1,643.58</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74.43</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基本工资、津贴补贴、奖金、机关事业单位基本养老保险缴费、职业年金缴费、职工基本医疗保险缴费、其他社会保障缴费、住房公积金、其他工资福利支出、抚恤金、生活补助、对个人和家庭的补助等。</w:t>
      </w:r>
    </w:p>
    <w:p w:rsidR="00F4481D"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cs="Times New Roman"/>
          <w:b/>
          <w:bCs/>
          <w:sz w:val="32"/>
          <w:szCs w:val="32"/>
        </w:rPr>
        <w:lastRenderedPageBreak/>
        <w:t>公用经费</w:t>
      </w:r>
      <w:r>
        <w:rPr>
          <w:rFonts w:ascii="Times New Roman" w:eastAsia="仿宋_GB2312" w:hAnsi="Times New Roman" w:cs="Times New Roman" w:hint="eastAsia"/>
          <w:b/>
          <w:bCs/>
          <w:sz w:val="32"/>
          <w:szCs w:val="32"/>
        </w:rPr>
        <w:t>564.69</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25.57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办公费、印刷费、咨询费、水费、电费、邮电费、差旅费、维修（护）费、会议费、培训费、公务接待费、专用材料费、专用燃料费、劳务费、公务用车运行维护费、其他交通费用、其他商品和服务支出。</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7.78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7.44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95.63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公务用车运行维护费、公务接待费减少</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公务用车运行维护费、公务接待费减少</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w:t>
      </w:r>
      <w:r>
        <w:rPr>
          <w:rFonts w:ascii="Times New Roman" w:eastAsia="仿宋_GB2312" w:hAnsi="Times New Roman" w:hint="eastAsia"/>
          <w:sz w:val="32"/>
          <w:szCs w:val="32"/>
        </w:rPr>
        <w:t>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，无法计算百分比，决算数等于预算数的主要原因是无公出国（境）费支出，与上年相比持平，主要原因是无公出国（境）费支出。</w:t>
      </w:r>
    </w:p>
    <w:p w:rsidR="00F4481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w:t>
      </w: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，无法计算百分比，决算数与预算数持平的主要原因是无公务用车购置费支出，与上年相比持平，主要原因是无公务用车购置费支出。</w:t>
      </w:r>
    </w:p>
    <w:p w:rsidR="00F4481D" w:rsidRDefault="00000000">
      <w:pPr>
        <w:pStyle w:val="Default"/>
        <w:spacing w:line="600" w:lineRule="exact"/>
        <w:ind w:firstLineChars="200" w:firstLine="640"/>
        <w:rPr>
          <w:rFonts w:ascii="Times New Roman" w:eastAsia="楷体" w:hAnsi="Times New Roman" w:cs="Times New Roman"/>
          <w:b/>
          <w:bCs/>
          <w:i/>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sz w:val="32"/>
          <w:szCs w:val="32"/>
        </w:rPr>
        <w:t>4.</w:t>
      </w:r>
      <w:r>
        <w:rPr>
          <w:rFonts w:ascii="Times New Roman" w:eastAsia="仿宋_GB2312" w:hAnsi="Times New Roman" w:hint="eastAsia"/>
          <w:sz w:val="32"/>
          <w:szCs w:val="32"/>
        </w:rPr>
        <w:t>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4.30</w:t>
      </w:r>
      <w:r>
        <w:rPr>
          <w:rFonts w:ascii="Times New Roman" w:eastAsia="仿宋_GB2312" w:hAnsi="Times New Roman" w:hint="eastAsia"/>
          <w:sz w:val="32"/>
          <w:szCs w:val="32"/>
        </w:rPr>
        <w:lastRenderedPageBreak/>
        <w:t>万元，完成预算的</w:t>
      </w:r>
      <w:r>
        <w:rPr>
          <w:rFonts w:ascii="Times New Roman" w:eastAsia="仿宋_GB2312" w:hAnsi="Times New Roman" w:hint="eastAsia"/>
          <w:sz w:val="32"/>
          <w:szCs w:val="32"/>
        </w:rPr>
        <w:t>97.73%</w:t>
      </w:r>
      <w:r>
        <w:rPr>
          <w:rFonts w:ascii="Times New Roman" w:eastAsia="仿宋_GB2312" w:hAnsi="Times New Roman" w:hint="eastAsia"/>
          <w:sz w:val="32"/>
          <w:szCs w:val="32"/>
        </w:rPr>
        <w:t>，决算数小于预算数的主要原因是</w:t>
      </w:r>
      <w:r>
        <w:rPr>
          <w:rFonts w:ascii="仿宋_GB2312" w:eastAsia="仿宋_GB2312" w:hAnsi="宋体" w:hint="eastAsia"/>
          <w:sz w:val="32"/>
          <w:szCs w:val="32"/>
        </w:rPr>
        <w:t>严格公务用车管理</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0.02</w:t>
      </w:r>
      <w:r>
        <w:rPr>
          <w:rFonts w:ascii="Times New Roman" w:eastAsia="仿宋_GB2312" w:hAnsi="Times New Roman" w:hint="eastAsia"/>
          <w:sz w:val="32"/>
          <w:szCs w:val="32"/>
        </w:rPr>
        <w:t>万元，增加</w:t>
      </w:r>
      <w:r>
        <w:rPr>
          <w:rFonts w:ascii="Times New Roman" w:eastAsia="仿宋_GB2312" w:hAnsi="Times New Roman" w:hint="eastAsia"/>
          <w:sz w:val="32"/>
          <w:szCs w:val="32"/>
        </w:rPr>
        <w:t>0.46%,</w:t>
      </w:r>
      <w:r>
        <w:rPr>
          <w:rFonts w:ascii="Times New Roman" w:eastAsia="仿宋_GB2312" w:hAnsi="Times New Roman" w:hint="eastAsia"/>
          <w:sz w:val="32"/>
          <w:szCs w:val="32"/>
        </w:rPr>
        <w:t>减少的主要原因是</w:t>
      </w:r>
      <w:r>
        <w:rPr>
          <w:rFonts w:ascii="仿宋_GB2312" w:eastAsia="仿宋_GB2312" w:hAnsi="宋体" w:hint="eastAsia"/>
          <w:sz w:val="32"/>
          <w:szCs w:val="32"/>
        </w:rPr>
        <w:t>公务用车维护减少</w:t>
      </w:r>
      <w:r>
        <w:rPr>
          <w:rFonts w:ascii="Times New Roman" w:eastAsia="仿宋_GB2312" w:hAnsi="Times New Roman" w:hint="eastAsia"/>
          <w:sz w:val="32"/>
          <w:szCs w:val="32"/>
        </w:rPr>
        <w:t>。</w:t>
      </w:r>
    </w:p>
    <w:p w:rsidR="00F4481D" w:rsidRDefault="00000000">
      <w:pPr>
        <w:pStyle w:val="Default"/>
        <w:numPr>
          <w:ilvl w:val="0"/>
          <w:numId w:val="3"/>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3.38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。决算数小于预算数的主要原因是公务接待</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。决算数小</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上年数的主要原因是公务接待</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162.18</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162.18</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162.18</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F4481D" w:rsidRDefault="00000000">
      <w:pPr>
        <w:pStyle w:val="Default"/>
        <w:numPr>
          <w:ilvl w:val="0"/>
          <w:numId w:val="4"/>
        </w:numPr>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城乡社区支出（类）国有土地使用权出让收入安排的支出（款）农业农村生态环境支出（项）。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25.67</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4"/>
        </w:numPr>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城乡社区支出（类）国有土地使用权出让收入安排的支出（款）其他国有土地使用权出让收入安排的支出（项）。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114.83</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4"/>
        </w:numPr>
        <w:spacing w:line="600" w:lineRule="exact"/>
        <w:ind w:firstLineChars="200" w:firstLine="640"/>
        <w:rPr>
          <w:rFonts w:ascii="Times New Roman" w:eastAsia="仿宋_GB2312" w:hAnsi="Times New Roman"/>
          <w:sz w:val="32"/>
          <w:szCs w:val="32"/>
        </w:rPr>
      </w:pPr>
      <w:r>
        <w:rPr>
          <w:rFonts w:ascii="仿宋_GB2312" w:eastAsia="仿宋_GB2312" w:hAnsi="宋体" w:hint="eastAsia"/>
          <w:sz w:val="32"/>
          <w:szCs w:val="32"/>
        </w:rPr>
        <w:t>城乡社区支出</w:t>
      </w:r>
      <w:r>
        <w:rPr>
          <w:rFonts w:ascii="Times New Roman" w:eastAsia="仿宋_GB2312" w:hAnsi="Times New Roman" w:hint="eastAsia"/>
          <w:sz w:val="32"/>
          <w:szCs w:val="32"/>
        </w:rPr>
        <w:t>（类）城市基础设施配套费安排的支出（款）其他城市基础设施配套费安排的支出（项）。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1.68</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left="42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、其他支出（类）彩票公益金安排的支出（款）用于社会福利的彩票公益金支出（项）。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F4481D" w:rsidRDefault="00000000">
      <w:pPr>
        <w:pStyle w:val="Default"/>
        <w:spacing w:line="600" w:lineRule="exact"/>
        <w:ind w:firstLineChars="200" w:firstLine="640"/>
        <w:rPr>
          <w:rFonts w:hAnsi="黑体" w:hint="eastAsia"/>
          <w:bCs/>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564.69</w:t>
      </w:r>
      <w:r>
        <w:rPr>
          <w:rFonts w:ascii="Times New Roman" w:eastAsia="仿宋_GB2312" w:hAnsi="Times New Roman" w:hint="eastAsia"/>
          <w:sz w:val="32"/>
          <w:szCs w:val="32"/>
        </w:rPr>
        <w:t>万元，年初预算为</w:t>
      </w:r>
      <w:r>
        <w:rPr>
          <w:rFonts w:ascii="Times New Roman" w:eastAsia="仿宋_GB2312" w:hAnsi="Times New Roman" w:hint="eastAsia"/>
          <w:sz w:val="32"/>
          <w:szCs w:val="32"/>
        </w:rPr>
        <w:t xml:space="preserve">210.50 </w:t>
      </w:r>
      <w:r>
        <w:rPr>
          <w:rFonts w:ascii="Times New Roman" w:eastAsia="仿宋_GB2312" w:hAnsi="Times New Roman" w:hint="eastAsia"/>
          <w:sz w:val="32"/>
          <w:szCs w:val="32"/>
        </w:rPr>
        <w:t>万元，比年初预算数增加</w:t>
      </w:r>
      <w:r>
        <w:rPr>
          <w:rFonts w:ascii="Times New Roman" w:eastAsia="仿宋_GB2312" w:hAnsi="Times New Roman" w:hint="eastAsia"/>
          <w:sz w:val="32"/>
          <w:szCs w:val="32"/>
        </w:rPr>
        <w:t>354.19</w:t>
      </w:r>
      <w:r>
        <w:rPr>
          <w:rFonts w:ascii="Times New Roman" w:eastAsia="仿宋_GB2312" w:hAnsi="Times New Roman" w:hint="eastAsia"/>
          <w:sz w:val="32"/>
          <w:szCs w:val="32"/>
        </w:rPr>
        <w:t>万元，主要原因是：</w:t>
      </w:r>
      <w:r>
        <w:rPr>
          <w:rFonts w:ascii="仿宋_GB2312" w:eastAsia="仿宋_GB2312" w:hAnsi="宋体" w:hint="eastAsia"/>
          <w:sz w:val="32"/>
          <w:szCs w:val="32"/>
        </w:rPr>
        <w:t>财政追加预算</w:t>
      </w:r>
      <w:r>
        <w:rPr>
          <w:rFonts w:ascii="Times New Roman" w:eastAsia="仿宋_GB2312" w:hAnsi="Times New Roman" w:hint="eastAsia"/>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F4481D"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35.66</w:t>
      </w:r>
      <w:r>
        <w:rPr>
          <w:rFonts w:ascii="Times New Roman" w:eastAsia="仿宋_GB2312" w:hAnsi="Times New Roman" w:hint="eastAsia"/>
          <w:sz w:val="32"/>
          <w:szCs w:val="32"/>
        </w:rPr>
        <w:t>万元，用于召开</w:t>
      </w:r>
      <w:r>
        <w:rPr>
          <w:rFonts w:ascii="仿宋_GB2312" w:eastAsia="仿宋_GB2312" w:hAnsi="仿宋_GB2312" w:cs="仿宋_GB2312" w:hint="eastAsia"/>
          <w:kern w:val="2"/>
          <w:sz w:val="32"/>
          <w:szCs w:val="32"/>
        </w:rPr>
        <w:t>年初起步大会、救灾、人大、七一、疫情防控</w:t>
      </w:r>
      <w:r>
        <w:rPr>
          <w:rFonts w:ascii="Times New Roman" w:eastAsia="仿宋_GB2312" w:hAnsi="Times New Roman" w:hint="eastAsia"/>
          <w:sz w:val="32"/>
          <w:szCs w:val="32"/>
        </w:rPr>
        <w:t>，人数</w:t>
      </w:r>
      <w:r>
        <w:rPr>
          <w:rFonts w:ascii="Times New Roman" w:eastAsia="仿宋_GB2312" w:hAnsi="Times New Roman" w:hint="eastAsia"/>
          <w:sz w:val="32"/>
          <w:szCs w:val="32"/>
        </w:rPr>
        <w:t>7664</w:t>
      </w:r>
      <w:r>
        <w:rPr>
          <w:rFonts w:ascii="Times New Roman" w:eastAsia="仿宋_GB2312" w:hAnsi="Times New Roman" w:hint="eastAsia"/>
          <w:sz w:val="32"/>
          <w:szCs w:val="32"/>
        </w:rPr>
        <w:t>人，内容为</w:t>
      </w:r>
      <w:r>
        <w:rPr>
          <w:rFonts w:ascii="仿宋_GB2312" w:eastAsia="仿宋_GB2312" w:hAnsi="仿宋_GB2312" w:cs="仿宋_GB2312" w:hint="eastAsia"/>
          <w:sz w:val="32"/>
          <w:szCs w:val="32"/>
        </w:rPr>
        <w:t>年初工作安排、七一党员大会及人民代表大会</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39.10</w:t>
      </w:r>
      <w:r>
        <w:rPr>
          <w:rFonts w:ascii="Times New Roman" w:eastAsia="仿宋_GB2312" w:hAnsi="Times New Roman" w:hint="eastAsia"/>
          <w:sz w:val="32"/>
          <w:szCs w:val="32"/>
        </w:rPr>
        <w:t>万元，用于开展</w:t>
      </w:r>
      <w:r>
        <w:rPr>
          <w:rFonts w:ascii="仿宋_GB2312" w:eastAsia="仿宋_GB2312" w:hAnsi="仿宋_GB2312" w:cs="仿宋_GB2312" w:hint="eastAsia"/>
          <w:sz w:val="32"/>
          <w:szCs w:val="32"/>
        </w:rPr>
        <w:t>党校培训、新闻写作及乡村振兴知识培训、业务知识培训</w:t>
      </w:r>
      <w:r>
        <w:rPr>
          <w:rFonts w:ascii="Times New Roman" w:eastAsia="仿宋_GB2312" w:hAnsi="Times New Roman" w:hint="eastAsia"/>
          <w:sz w:val="32"/>
          <w:szCs w:val="32"/>
        </w:rPr>
        <w:t>，人数</w:t>
      </w:r>
      <w:r>
        <w:rPr>
          <w:rFonts w:ascii="Times New Roman" w:eastAsia="仿宋_GB2312" w:hAnsi="Times New Roman" w:hint="eastAsia"/>
          <w:sz w:val="32"/>
          <w:szCs w:val="32"/>
        </w:rPr>
        <w:t>10885</w:t>
      </w:r>
      <w:r>
        <w:rPr>
          <w:rFonts w:ascii="Times New Roman" w:eastAsia="仿宋_GB2312" w:hAnsi="Times New Roman" w:hint="eastAsia"/>
          <w:sz w:val="32"/>
          <w:szCs w:val="32"/>
        </w:rPr>
        <w:t>人，内容为</w:t>
      </w:r>
      <w:r>
        <w:rPr>
          <w:rFonts w:ascii="仿宋_GB2312" w:eastAsia="仿宋_GB2312" w:hAnsi="仿宋_GB2312" w:cs="仿宋_GB2312" w:hint="eastAsia"/>
          <w:sz w:val="32"/>
          <w:szCs w:val="32"/>
        </w:rPr>
        <w:t>开展党员培训、乡村振兴知识培训及各部门业务知识培训</w:t>
      </w:r>
      <w:r>
        <w:rPr>
          <w:rFonts w:ascii="Times New Roman" w:eastAsia="仿宋_GB2312" w:hAnsi="Times New Roman" w:hint="eastAsia"/>
          <w:sz w:val="32"/>
          <w:szCs w:val="32"/>
        </w:rPr>
        <w:t>；未举办节庆、晚会、论坛、赛事活动。</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F4481D" w:rsidRDefault="00000000">
      <w:pPr>
        <w:pStyle w:val="Default"/>
        <w:spacing w:line="600" w:lineRule="exact"/>
        <w:ind w:firstLineChars="200" w:firstLine="640"/>
        <w:rPr>
          <w:rFonts w:hAnsi="黑体" w:hint="eastAsia"/>
          <w:bCs/>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2023</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269.9</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10.65</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246.08</w:t>
      </w:r>
      <w:r>
        <w:rPr>
          <w:rFonts w:ascii="Times New Roman" w:eastAsia="仿宋_GB2312" w:hAnsi="Times New Roman" w:hint="eastAsia"/>
          <w:sz w:val="32"/>
          <w:szCs w:val="32"/>
        </w:rPr>
        <w:t>万元、政府</w:t>
      </w:r>
      <w:r>
        <w:rPr>
          <w:rFonts w:ascii="Times New Roman" w:eastAsia="仿宋_GB2312" w:hAnsi="Times New Roman" w:hint="eastAsia"/>
          <w:sz w:val="32"/>
          <w:szCs w:val="32"/>
        </w:rPr>
        <w:lastRenderedPageBreak/>
        <w:t>采购服务支出</w:t>
      </w:r>
      <w:r>
        <w:rPr>
          <w:rFonts w:ascii="Times New Roman" w:eastAsia="仿宋_GB2312" w:hAnsi="Times New Roman" w:hint="eastAsia"/>
          <w:sz w:val="32"/>
          <w:szCs w:val="32"/>
        </w:rPr>
        <w:t>13.17</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269.9</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269.9</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F4481D" w:rsidRDefault="00000000">
      <w:pPr>
        <w:pStyle w:val="Default"/>
        <w:spacing w:line="580" w:lineRule="exact"/>
        <w:ind w:firstLineChars="200" w:firstLine="640"/>
        <w:rPr>
          <w:rFonts w:hAnsi="黑体" w:hint="eastAsia"/>
          <w:bCs/>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Pr>
          <w:rFonts w:ascii="Times New Roman" w:eastAsia="仿宋_GB2312" w:hAnsi="Times New Roman" w:hint="eastAsia"/>
          <w:sz w:val="32"/>
          <w:szCs w:val="32"/>
        </w:rPr>
        <w:t>本单位共有车辆</w:t>
      </w:r>
      <w:r>
        <w:rPr>
          <w:rFonts w:ascii="Times New Roman" w:eastAsia="仿宋_GB2312" w:hAnsi="Times New Roman" w:hint="eastAsia"/>
          <w:sz w:val="32"/>
          <w:szCs w:val="32"/>
        </w:rPr>
        <w:t>1</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1</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r>
        <w:rPr>
          <w:rFonts w:ascii="Times New Roman" w:eastAsia="仿宋_GB2312" w:hAnsi="Times New Roman" w:hint="eastAsia"/>
          <w:color w:val="auto"/>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F4481D" w:rsidRDefault="00000000">
      <w:pPr>
        <w:ind w:firstLineChars="200" w:firstLine="964"/>
        <w:jc w:val="center"/>
        <w:rPr>
          <w:rFonts w:ascii="黑体" w:eastAsia="黑体" w:hAnsi="黑体" w:hint="eastAsia"/>
          <w:b/>
          <w:sz w:val="48"/>
          <w:szCs w:val="48"/>
        </w:rPr>
      </w:pPr>
      <w:r>
        <w:rPr>
          <w:rFonts w:ascii="黑体" w:eastAsia="黑体" w:hAnsi="黑体" w:hint="eastAsia"/>
          <w:b/>
          <w:sz w:val="48"/>
          <w:szCs w:val="48"/>
        </w:rPr>
        <w:t>预算绩效自评报告综述</w:t>
      </w:r>
    </w:p>
    <w:p w:rsidR="00F4481D" w:rsidRDefault="00F4481D">
      <w:pPr>
        <w:ind w:firstLineChars="200" w:firstLine="560"/>
        <w:rPr>
          <w:sz w:val="28"/>
          <w:szCs w:val="28"/>
        </w:rPr>
      </w:pP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一、单位概况</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（一）单位基本情况</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1．主要职能。</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（1）在上级和镇党委领导下，执行本级人民代表大会的决议 ，根据上级行政机关的决定和命令，制定具体实施意见。</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（2）执行本行政区域内的经济和社会发展计划．财政预算，管理全镇的农业、工业及教育、科技、文化、卫生健康、民政、司法及镇新农村规划和建设、环境保护、土地等行政工作。</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lastRenderedPageBreak/>
        <w:t>（3）保护集体财产和公民私人合法财产，维护社会秩序，保障公民的人事权利、民主权利和其他合法权利。</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（4）保护各种经济组织的合法权益。</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（5）办理上级人民政府交办的其他事项。</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2．机构情况，纳入 2024 年财政部门决算的有：党政综合办公室、基层党建办公室、经济发展办公室、社会事务办公室、财政所、社会治安和应急管理办公室、社会事业综合服务中心、农业综合服务中心、便民服务中心、退役军人服务站、综合行政执法大队等11个部门。</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3．人员情况，人员（不含临聘人员），祁阳市潘市镇人民政府编制人数112人，财政负担人员 100人。</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（二）单位整体支出规模、使用方向和主要内容、涉及范围等</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本单位2024年整体支出2065.06万元。一般公共服务支出占1165.12万元，占56.4%；公共安全支出0元，占0%；社会保障和就业支出 121.54万元，占5.9%；卫生健康支出49.42万元，占2.4%；农林水支出639.77万元</w:t>
      </w:r>
      <w:r>
        <w:rPr>
          <w:rFonts w:ascii="宋体" w:eastAsia="宋体" w:hAnsi="宋体" w:cs="宋体" w:hint="eastAsia"/>
          <w:kern w:val="0"/>
          <w:sz w:val="28"/>
          <w:szCs w:val="28"/>
          <w:shd w:val="clear" w:color="auto" w:fill="FFFFFF"/>
          <w:lang w:bidi="ar"/>
        </w:rPr>
        <w:t>，</w:t>
      </w:r>
      <w:r>
        <w:rPr>
          <w:rFonts w:ascii="宋体" w:eastAsia="宋体" w:hAnsi="宋体" w:cs="宋体" w:hint="eastAsia"/>
          <w:sz w:val="28"/>
          <w:szCs w:val="28"/>
        </w:rPr>
        <w:t>占31%</w:t>
      </w:r>
      <w:r>
        <w:rPr>
          <w:rFonts w:ascii="宋体" w:eastAsia="宋体" w:hAnsi="宋体" w:cs="宋体" w:hint="eastAsia"/>
          <w:kern w:val="0"/>
          <w:sz w:val="28"/>
          <w:szCs w:val="28"/>
          <w:shd w:val="clear" w:color="auto" w:fill="FFFFFF"/>
          <w:lang w:bidi="ar"/>
        </w:rPr>
        <w:t>；</w:t>
      </w:r>
      <w:r>
        <w:rPr>
          <w:rFonts w:ascii="宋体" w:eastAsia="宋体" w:hAnsi="宋体" w:cs="宋体" w:hint="eastAsia"/>
          <w:sz w:val="28"/>
          <w:szCs w:val="28"/>
        </w:rPr>
        <w:t>住房保障支出89.21万元，占4.3%。</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二、单位整体支出管理及使用情况</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（一）基本支出</w:t>
      </w:r>
    </w:p>
    <w:p w:rsidR="00F4481D" w:rsidRDefault="00000000">
      <w:pPr>
        <w:widowControl/>
        <w:spacing w:line="600" w:lineRule="exact"/>
        <w:ind w:firstLine="660"/>
        <w:jc w:val="left"/>
        <w:rPr>
          <w:sz w:val="28"/>
          <w:szCs w:val="28"/>
        </w:rPr>
      </w:pPr>
      <w:r>
        <w:rPr>
          <w:rFonts w:ascii="宋体" w:eastAsia="宋体" w:hAnsi="宋体" w:cs="宋体" w:hint="eastAsia"/>
          <w:sz w:val="28"/>
          <w:szCs w:val="28"/>
        </w:rPr>
        <w:t>2023年基本支出1425.29万元，主要是为保障部门正常运转、完成日常工作任务而发生的各项支出，包括用于基本工资、津贴补贴等人员经费以及办公费、印刷费、水电费、办公设备购置等公用经费。</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（二）项目支出</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1.项目资金安排落实，总投入等情况分析</w:t>
      </w:r>
    </w:p>
    <w:p w:rsidR="00F4481D" w:rsidRDefault="00000000">
      <w:pPr>
        <w:widowControl/>
        <w:spacing w:line="560" w:lineRule="exact"/>
        <w:ind w:firstLine="660"/>
        <w:jc w:val="left"/>
        <w:rPr>
          <w:rFonts w:ascii="宋体" w:eastAsia="宋体" w:hAnsi="宋体" w:cs="宋体" w:hint="eastAsia"/>
          <w:sz w:val="28"/>
          <w:szCs w:val="28"/>
        </w:rPr>
      </w:pPr>
      <w:r>
        <w:rPr>
          <w:rFonts w:ascii="宋体" w:eastAsia="宋体" w:hAnsi="宋体" w:cs="宋体" w:hint="eastAsia"/>
          <w:sz w:val="28"/>
          <w:szCs w:val="28"/>
        </w:rPr>
        <w:lastRenderedPageBreak/>
        <w:t>项目总收入639.77万元，主要是对村民委员会和村党支部的补助支出。</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2.项目资金管理情况分析</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项目资金管理是非常重要的，它是确保项目顺利实施的前提。项目资金管理政策比较完善，严格执行了项目资金管理制度，严格把关支出资金，确保资金的有效监督和有效使用。</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三、单位整体支出绩效情况</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（一）部门整体支出绩效目标完成情况</w:t>
      </w:r>
    </w:p>
    <w:p w:rsidR="00F4481D" w:rsidRDefault="00000000">
      <w:pPr>
        <w:ind w:firstLineChars="200" w:firstLine="560"/>
        <w:rPr>
          <w:sz w:val="28"/>
          <w:szCs w:val="28"/>
        </w:rPr>
      </w:pPr>
      <w:r>
        <w:rPr>
          <w:rFonts w:hint="eastAsia"/>
          <w:sz w:val="28"/>
          <w:szCs w:val="28"/>
        </w:rPr>
        <w:t>高质量完成绩效目标。</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(二）部门整体支出效益情况</w:t>
      </w:r>
    </w:p>
    <w:p w:rsidR="00F4481D" w:rsidRDefault="00000000">
      <w:pPr>
        <w:ind w:firstLineChars="200" w:firstLine="560"/>
        <w:rPr>
          <w:sz w:val="28"/>
          <w:szCs w:val="28"/>
        </w:rPr>
      </w:pPr>
      <w:r>
        <w:rPr>
          <w:rFonts w:hint="eastAsia"/>
          <w:sz w:val="28"/>
          <w:szCs w:val="28"/>
        </w:rPr>
        <w:t>本年预算配置控制较好。财政供养人员控制在预算编制人数以内，</w:t>
      </w:r>
      <w:r w:rsidR="0091085C">
        <w:rPr>
          <w:rFonts w:hint="eastAsia"/>
          <w:sz w:val="28"/>
          <w:szCs w:val="28"/>
        </w:rPr>
        <w:t xml:space="preserve"> </w:t>
      </w:r>
      <w:r w:rsidR="0091085C">
        <w:rPr>
          <w:rFonts w:hint="eastAsia"/>
          <w:sz w:val="28"/>
          <w:szCs w:val="28"/>
        </w:rPr>
        <w:t>“三公”</w:t>
      </w:r>
      <w:r>
        <w:rPr>
          <w:rFonts w:hint="eastAsia"/>
          <w:sz w:val="28"/>
          <w:szCs w:val="28"/>
        </w:rPr>
        <w:t>经费支出总额小，未超过年初预算；预算执行方面。支出总额控制在预算总额以内，所有支出严格依照相关财务管理规定执行</w:t>
      </w:r>
      <w:r>
        <w:rPr>
          <w:rFonts w:hint="eastAsia"/>
          <w:sz w:val="28"/>
          <w:szCs w:val="28"/>
        </w:rPr>
        <w:t xml:space="preserve"> </w:t>
      </w:r>
      <w:r>
        <w:rPr>
          <w:rFonts w:hint="eastAsia"/>
          <w:sz w:val="28"/>
          <w:szCs w:val="28"/>
        </w:rPr>
        <w:t>，特别重视量财办事、量力而行，严格控制标准、注重节约，少花钱办好事，各项支出都在合理范围内；预算管理方面。制定了有效的内部管理制度和经费支出控制方案，有较强的内控风险管理意识、</w:t>
      </w:r>
      <w:r>
        <w:rPr>
          <w:rFonts w:hint="eastAsia"/>
          <w:sz w:val="28"/>
          <w:szCs w:val="28"/>
        </w:rPr>
        <w:t xml:space="preserve"> </w:t>
      </w:r>
      <w:r>
        <w:rPr>
          <w:rFonts w:hint="eastAsia"/>
          <w:sz w:val="28"/>
          <w:szCs w:val="28"/>
        </w:rPr>
        <w:t>各项经费支出得到了有效控制。</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四、绩效评价结论</w:t>
      </w:r>
    </w:p>
    <w:p w:rsidR="00F4481D" w:rsidRDefault="00000000">
      <w:pPr>
        <w:ind w:firstLineChars="200" w:firstLine="560"/>
        <w:rPr>
          <w:sz w:val="28"/>
          <w:szCs w:val="28"/>
        </w:rPr>
      </w:pPr>
      <w:r>
        <w:rPr>
          <w:rFonts w:hint="eastAsia"/>
          <w:sz w:val="28"/>
          <w:szCs w:val="28"/>
        </w:rPr>
        <w:t>预算执行到位。严格执行</w:t>
      </w:r>
      <w:r>
        <w:rPr>
          <w:rFonts w:hint="eastAsia"/>
          <w:sz w:val="28"/>
          <w:szCs w:val="28"/>
        </w:rPr>
        <w:t xml:space="preserve"> </w:t>
      </w:r>
      <w:r>
        <w:rPr>
          <w:rFonts w:hint="eastAsia"/>
          <w:sz w:val="28"/>
          <w:szCs w:val="28"/>
        </w:rPr>
        <w:t>《预算法》和各项财经纪律，机关管理制度健全，财务管理规范，预算编制合理；资金监管到位。</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五、存在的主要问题</w:t>
      </w:r>
    </w:p>
    <w:p w:rsidR="00F4481D" w:rsidRDefault="00000000">
      <w:pPr>
        <w:ind w:firstLineChars="200" w:firstLine="560"/>
        <w:rPr>
          <w:sz w:val="28"/>
          <w:szCs w:val="28"/>
        </w:rPr>
      </w:pPr>
      <w:r>
        <w:rPr>
          <w:rFonts w:hint="eastAsia"/>
          <w:sz w:val="28"/>
          <w:szCs w:val="28"/>
        </w:rPr>
        <w:t>预算编制工作有待细化。预算编制不够明确和细化，预算编制的合</w:t>
      </w:r>
      <w:r>
        <w:rPr>
          <w:rFonts w:hint="eastAsia"/>
          <w:sz w:val="28"/>
          <w:szCs w:val="28"/>
        </w:rPr>
        <w:lastRenderedPageBreak/>
        <w:t>理性需要提高。因部分工作是年中或年末根据省市相关要求开展，未纳入年初预算，另外还有部分不可预见经费的追加，无法纳入预算，导致预算执行存在偏差。</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六、改进措施和有关建议</w:t>
      </w:r>
    </w:p>
    <w:p w:rsidR="00F4481D" w:rsidRDefault="00000000">
      <w:pPr>
        <w:ind w:firstLineChars="200" w:firstLine="560"/>
        <w:rPr>
          <w:sz w:val="28"/>
          <w:szCs w:val="28"/>
        </w:rPr>
      </w:pPr>
      <w:r>
        <w:rPr>
          <w:rFonts w:hint="eastAsia"/>
          <w:sz w:val="28"/>
          <w:szCs w:val="28"/>
        </w:rPr>
        <w:t>提高认识，突出重点。提高对预算绩效管理的认识，充分理解财政绩效评价指标体系；强化全过程预算绩效管理理念，合理设定绩效目标，强化管理措施，科学编制预算；强化管理，规范行为。强化部门预算约束，细化预算编制，严格执行预算，提高财政资金使用效率和效益。加强预算事前、中、后管控，做到事前有评估、事中有监控，事后有评价。</w:t>
      </w: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both"/>
        <w:rPr>
          <w:rFonts w:ascii="Times New Roman" w:hAnsi="Times New Roman" w:cs="Times New Roman"/>
          <w:sz w:val="72"/>
          <w:szCs w:val="72"/>
        </w:rPr>
      </w:pP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F4481D" w:rsidRDefault="00F4481D">
      <w:pPr>
        <w:widowControl/>
        <w:jc w:val="left"/>
        <w:rPr>
          <w:rFonts w:ascii="Times New Roman" w:hAnsi="Times New Roman" w:cs="Times New Roman"/>
          <w:color w:val="000000"/>
          <w:kern w:val="0"/>
          <w:sz w:val="32"/>
          <w:szCs w:val="32"/>
        </w:rPr>
      </w:pPr>
    </w:p>
    <w:p w:rsidR="00F4481D"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lastRenderedPageBreak/>
        <w:t>二、支出科目</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F4481D"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jc w:val="left"/>
        <w:rPr>
          <w:rFonts w:ascii="Times New Roman" w:hAnsi="Times New Roman" w:cs="Times New Roman"/>
          <w:color w:val="000000"/>
          <w:kern w:val="0"/>
          <w:sz w:val="32"/>
          <w:szCs w:val="32"/>
        </w:rPr>
      </w:pPr>
    </w:p>
    <w:sectPr w:rsidR="00F4481D">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C42" w:rsidRDefault="003B7C42">
      <w:r>
        <w:separator/>
      </w:r>
    </w:p>
  </w:endnote>
  <w:endnote w:type="continuationSeparator" w:id="0">
    <w:p w:rsidR="003B7C42" w:rsidRDefault="003B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1D" w:rsidRDefault="00F448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1D" w:rsidRDefault="00F448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1D"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481D"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F4481D"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C42" w:rsidRDefault="003B7C42">
      <w:r>
        <w:separator/>
      </w:r>
    </w:p>
  </w:footnote>
  <w:footnote w:type="continuationSeparator" w:id="0">
    <w:p w:rsidR="003B7C42" w:rsidRDefault="003B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03B7CB"/>
    <w:multiLevelType w:val="singleLevel"/>
    <w:tmpl w:val="AF03B7CB"/>
    <w:lvl w:ilvl="0">
      <w:start w:val="1"/>
      <w:numFmt w:val="decimal"/>
      <w:suff w:val="nothing"/>
      <w:lvlText w:val="%1、"/>
      <w:lvlJc w:val="left"/>
    </w:lvl>
  </w:abstractNum>
  <w:abstractNum w:abstractNumId="1" w15:restartNumberingAfterBreak="0">
    <w:nsid w:val="CCF6E464"/>
    <w:multiLevelType w:val="singleLevel"/>
    <w:tmpl w:val="CCF6E464"/>
    <w:lvl w:ilvl="0">
      <w:start w:val="5"/>
      <w:numFmt w:val="decimal"/>
      <w:suff w:val="nothing"/>
      <w:lvlText w:val="%1、"/>
      <w:lvlJc w:val="left"/>
    </w:lvl>
  </w:abstractNum>
  <w:abstractNum w:abstractNumId="2" w15:restartNumberingAfterBreak="0">
    <w:nsid w:val="D35D5B49"/>
    <w:multiLevelType w:val="singleLevel"/>
    <w:tmpl w:val="D35D5B49"/>
    <w:lvl w:ilvl="0">
      <w:start w:val="3"/>
      <w:numFmt w:val="decimal"/>
      <w:lvlText w:val="%1."/>
      <w:lvlJc w:val="left"/>
      <w:pPr>
        <w:tabs>
          <w:tab w:val="left" w:pos="312"/>
        </w:tabs>
      </w:pPr>
    </w:lvl>
  </w:abstractNum>
  <w:abstractNum w:abstractNumId="3" w15:restartNumberingAfterBreak="0">
    <w:nsid w:val="D58A3C31"/>
    <w:multiLevelType w:val="singleLevel"/>
    <w:tmpl w:val="D58A3C31"/>
    <w:lvl w:ilvl="0">
      <w:start w:val="11"/>
      <w:numFmt w:val="decimal"/>
      <w:suff w:val="nothing"/>
      <w:lvlText w:val="%1、"/>
      <w:lvlJc w:val="left"/>
    </w:lvl>
  </w:abstractNum>
  <w:num w:numId="1" w16cid:durableId="1002851622">
    <w:abstractNumId w:val="1"/>
  </w:num>
  <w:num w:numId="2" w16cid:durableId="323321582">
    <w:abstractNumId w:val="3"/>
  </w:num>
  <w:num w:numId="3" w16cid:durableId="84150765">
    <w:abstractNumId w:val="2"/>
  </w:num>
  <w:num w:numId="4" w16cid:durableId="108850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29D4"/>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B7C42"/>
    <w:rsid w:val="003C2E17"/>
    <w:rsid w:val="003C47E6"/>
    <w:rsid w:val="003C4FC2"/>
    <w:rsid w:val="00401F9A"/>
    <w:rsid w:val="00416E61"/>
    <w:rsid w:val="0042241D"/>
    <w:rsid w:val="0042790C"/>
    <w:rsid w:val="004506F9"/>
    <w:rsid w:val="00462315"/>
    <w:rsid w:val="004717A2"/>
    <w:rsid w:val="00473DF3"/>
    <w:rsid w:val="00487911"/>
    <w:rsid w:val="00490F48"/>
    <w:rsid w:val="00491741"/>
    <w:rsid w:val="004B0CEE"/>
    <w:rsid w:val="004B2D6D"/>
    <w:rsid w:val="004C2A0A"/>
    <w:rsid w:val="004F5EFB"/>
    <w:rsid w:val="00500E5F"/>
    <w:rsid w:val="005122EF"/>
    <w:rsid w:val="0051441A"/>
    <w:rsid w:val="00517C33"/>
    <w:rsid w:val="00517D5F"/>
    <w:rsid w:val="00523644"/>
    <w:rsid w:val="0054069E"/>
    <w:rsid w:val="00544866"/>
    <w:rsid w:val="00552A3D"/>
    <w:rsid w:val="00573B98"/>
    <w:rsid w:val="00574CC8"/>
    <w:rsid w:val="005767CC"/>
    <w:rsid w:val="00590D9F"/>
    <w:rsid w:val="00595D26"/>
    <w:rsid w:val="005A74E6"/>
    <w:rsid w:val="005B404E"/>
    <w:rsid w:val="005D417D"/>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3806"/>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1085C"/>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74855"/>
    <w:rsid w:val="00E8683C"/>
    <w:rsid w:val="00EA2B72"/>
    <w:rsid w:val="00F4481D"/>
    <w:rsid w:val="00F74360"/>
    <w:rsid w:val="00FB462F"/>
    <w:rsid w:val="00FE16FA"/>
    <w:rsid w:val="00FE328A"/>
    <w:rsid w:val="00FE6269"/>
    <w:rsid w:val="00FF5CD6"/>
    <w:rsid w:val="03CD1985"/>
    <w:rsid w:val="051455F1"/>
    <w:rsid w:val="084F6021"/>
    <w:rsid w:val="09F83BE1"/>
    <w:rsid w:val="0B483A56"/>
    <w:rsid w:val="0DD405FA"/>
    <w:rsid w:val="0F376B68"/>
    <w:rsid w:val="145F04F1"/>
    <w:rsid w:val="14F275B8"/>
    <w:rsid w:val="1D97DEFF"/>
    <w:rsid w:val="1DFF72E5"/>
    <w:rsid w:val="1EFC6F07"/>
    <w:rsid w:val="20576CCF"/>
    <w:rsid w:val="20E00C0C"/>
    <w:rsid w:val="26A526DC"/>
    <w:rsid w:val="29C202C4"/>
    <w:rsid w:val="2B9F3B9D"/>
    <w:rsid w:val="2D5C647F"/>
    <w:rsid w:val="2F77273B"/>
    <w:rsid w:val="2FDF85B8"/>
    <w:rsid w:val="2FFFEE04"/>
    <w:rsid w:val="30411D15"/>
    <w:rsid w:val="34DF85B0"/>
    <w:rsid w:val="3B8F36BC"/>
    <w:rsid w:val="3C380927"/>
    <w:rsid w:val="3D6B74DB"/>
    <w:rsid w:val="3FA63F1A"/>
    <w:rsid w:val="40BF3F42"/>
    <w:rsid w:val="426E1C0F"/>
    <w:rsid w:val="43784FA8"/>
    <w:rsid w:val="452C7644"/>
    <w:rsid w:val="458D2861"/>
    <w:rsid w:val="473F7B8B"/>
    <w:rsid w:val="475B7E9F"/>
    <w:rsid w:val="491FF225"/>
    <w:rsid w:val="498126DD"/>
    <w:rsid w:val="4E2A241D"/>
    <w:rsid w:val="4ED43A6C"/>
    <w:rsid w:val="4F302BDB"/>
    <w:rsid w:val="4FA25905"/>
    <w:rsid w:val="4FFD214C"/>
    <w:rsid w:val="54296C5D"/>
    <w:rsid w:val="56D227CA"/>
    <w:rsid w:val="5777D4F5"/>
    <w:rsid w:val="59647877"/>
    <w:rsid w:val="59DD8326"/>
    <w:rsid w:val="5AF820D3"/>
    <w:rsid w:val="5BB659D8"/>
    <w:rsid w:val="5D0E28EC"/>
    <w:rsid w:val="5DEF592A"/>
    <w:rsid w:val="5EC9722A"/>
    <w:rsid w:val="5FAF1AFA"/>
    <w:rsid w:val="5FC6BB1E"/>
    <w:rsid w:val="5FF720F1"/>
    <w:rsid w:val="60AD570E"/>
    <w:rsid w:val="65501489"/>
    <w:rsid w:val="67845F4C"/>
    <w:rsid w:val="67B815D3"/>
    <w:rsid w:val="67FF5C0B"/>
    <w:rsid w:val="6B0007D3"/>
    <w:rsid w:val="6EFC0924"/>
    <w:rsid w:val="6F0D7743"/>
    <w:rsid w:val="6F214CF4"/>
    <w:rsid w:val="6FB74722"/>
    <w:rsid w:val="6FEF8B7E"/>
    <w:rsid w:val="7055204A"/>
    <w:rsid w:val="71A6591B"/>
    <w:rsid w:val="73347E02"/>
    <w:rsid w:val="737D59BA"/>
    <w:rsid w:val="740924A3"/>
    <w:rsid w:val="77A4164C"/>
    <w:rsid w:val="77C37683"/>
    <w:rsid w:val="79D19834"/>
    <w:rsid w:val="79FF515B"/>
    <w:rsid w:val="7D87405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3735"/>
  <w15:docId w15:val="{E3D92ED7-0310-4630-85C8-46F5039C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3017</Words>
  <Characters>17199</Characters>
  <Application>Microsoft Office Word</Application>
  <DocSecurity>0</DocSecurity>
  <Lines>143</Lines>
  <Paragraphs>40</Paragraphs>
  <ScaleCrop>false</ScaleCrop>
  <Company>Microsoft</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8</cp:revision>
  <cp:lastPrinted>2024-08-08T18:20:00Z</cp:lastPrinted>
  <dcterms:created xsi:type="dcterms:W3CDTF">2025-08-18T10:17:00Z</dcterms:created>
  <dcterms:modified xsi:type="dcterms:W3CDTF">2025-12-04T08:18:00Z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eyJoZGlkIjoiNzllMzg1N2E5YjkyOGU0ZTdlMWU3NmJkZDE4MTcxN2QiLCJ1c2VySWQiOiI1MDI4NzYwNTIifQ==</vt:lpwstr>
  </property>
</Properties>
</file>