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Theme="minorEastAsia" w:hAnsiTheme="minorEastAsia" w:eastAsiaTheme="minorEastAsia"/>
          <w:sz w:val="56"/>
          <w:szCs w:val="56"/>
        </w:rPr>
      </w:pPr>
    </w:p>
    <w:p>
      <w:pPr>
        <w:pStyle w:val="13"/>
        <w:rPr>
          <w:rFonts w:asciiTheme="minorEastAsia" w:hAnsiTheme="minorEastAsia" w:eastAsiaTheme="minorEastAsia"/>
          <w:sz w:val="84"/>
          <w:szCs w:val="84"/>
        </w:rPr>
      </w:pPr>
    </w:p>
    <w:p>
      <w:pPr>
        <w:pStyle w:val="13"/>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2021年度</w:t>
      </w:r>
    </w:p>
    <w:p>
      <w:pPr>
        <w:pStyle w:val="13"/>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祁阳市农村经营服站</w:t>
      </w:r>
    </w:p>
    <w:p>
      <w:pPr>
        <w:pStyle w:val="13"/>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部门决算</w:t>
      </w:r>
    </w:p>
    <w:p>
      <w:pPr>
        <w:pStyle w:val="13"/>
        <w:jc w:val="center"/>
        <w:rPr>
          <w:rFonts w:asciiTheme="minorEastAsia" w:hAnsiTheme="minorEastAsia" w:eastAsiaTheme="minorEastAsia"/>
          <w:b/>
          <w:sz w:val="56"/>
          <w:szCs w:val="56"/>
        </w:rPr>
      </w:pPr>
    </w:p>
    <w:p>
      <w:pPr>
        <w:pStyle w:val="13"/>
        <w:jc w:val="center"/>
        <w:rPr>
          <w:rFonts w:asciiTheme="minorEastAsia" w:hAnsiTheme="minorEastAsia" w:eastAsiaTheme="minorEastAsia"/>
          <w:sz w:val="56"/>
          <w:szCs w:val="56"/>
        </w:rPr>
      </w:pPr>
    </w:p>
    <w:p>
      <w:pPr>
        <w:pStyle w:val="13"/>
        <w:spacing w:line="500" w:lineRule="exact"/>
        <w:rPr>
          <w:rFonts w:asciiTheme="minorEastAsia" w:hAnsiTheme="minorEastAsia" w:eastAsiaTheme="minorEastAsia"/>
          <w:b/>
          <w:sz w:val="36"/>
          <w:szCs w:val="28"/>
        </w:rPr>
      </w:pPr>
    </w:p>
    <w:p>
      <w:pPr>
        <w:pStyle w:val="13"/>
        <w:spacing w:line="500" w:lineRule="exact"/>
        <w:jc w:val="center"/>
        <w:rPr>
          <w:rFonts w:asciiTheme="minorEastAsia" w:hAnsiTheme="minorEastAsia" w:eastAsiaTheme="minorEastAsia"/>
          <w:b/>
          <w:sz w:val="36"/>
          <w:szCs w:val="28"/>
        </w:rPr>
      </w:pPr>
      <w:r>
        <w:rPr>
          <w:rFonts w:hint="eastAsia" w:asciiTheme="minorEastAsia" w:hAnsiTheme="minorEastAsia" w:eastAsiaTheme="minorEastAsia"/>
          <w:b/>
          <w:sz w:val="36"/>
          <w:szCs w:val="28"/>
        </w:rPr>
        <w:t>目录</w:t>
      </w:r>
    </w:p>
    <w:p>
      <w:pPr>
        <w:pStyle w:val="13"/>
        <w:spacing w:line="500" w:lineRule="exact"/>
        <w:rPr>
          <w:rFonts w:cs="仿宋_GB2312" w:asciiTheme="minorEastAsia" w:hAnsiTheme="minorEastAsia" w:eastAsiaTheme="minorEastAsia"/>
          <w:b/>
          <w:sz w:val="28"/>
          <w:szCs w:val="28"/>
        </w:rPr>
      </w:pPr>
      <w:r>
        <w:rPr>
          <w:rFonts w:hint="eastAsia" w:asciiTheme="minorEastAsia" w:hAnsiTheme="minorEastAsia" w:eastAsiaTheme="minorEastAsia"/>
          <w:b/>
          <w:sz w:val="28"/>
          <w:szCs w:val="28"/>
        </w:rPr>
        <w:t>第一部分祁阳市农村经营站单位概况</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rPr>
        <w:t>机构设置及决算单位构成</w:t>
      </w:r>
    </w:p>
    <w:p>
      <w:pPr>
        <w:pStyle w:val="13"/>
        <w:spacing w:line="500" w:lineRule="exact"/>
        <w:rPr>
          <w:rFonts w:cs="仿宋_GB2312" w:asciiTheme="minorEastAsia" w:hAnsiTheme="minorEastAsia" w:eastAsiaTheme="minorEastAsia"/>
          <w:b/>
          <w:sz w:val="28"/>
          <w:szCs w:val="28"/>
        </w:rPr>
      </w:pPr>
      <w:r>
        <w:rPr>
          <w:rFonts w:hint="eastAsia" w:asciiTheme="minorEastAsia" w:hAnsiTheme="minorEastAsia" w:eastAsiaTheme="minorEastAsia"/>
          <w:b/>
          <w:sz w:val="28"/>
          <w:szCs w:val="28"/>
        </w:rPr>
        <w:t>第二部分</w:t>
      </w:r>
      <w:r>
        <w:rPr>
          <w:rFonts w:asciiTheme="minorEastAsia" w:hAnsiTheme="minorEastAsia" w:eastAsiaTheme="minorEastAsia"/>
          <w:b/>
          <w:sz w:val="28"/>
          <w:szCs w:val="28"/>
        </w:rPr>
        <w:t>20</w:t>
      </w:r>
      <w:r>
        <w:rPr>
          <w:rFonts w:hint="eastAsia" w:asciiTheme="minorEastAsia" w:hAnsiTheme="minorEastAsia" w:eastAsiaTheme="minorEastAsia"/>
          <w:b/>
          <w:sz w:val="28"/>
          <w:szCs w:val="28"/>
        </w:rPr>
        <w:t>21年度部门决算表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3"/>
        <w:spacing w:line="500" w:lineRule="exact"/>
        <w:rPr>
          <w:rFonts w:cs="仿宋_GB2312" w:asciiTheme="minorEastAsia" w:hAnsiTheme="minorEastAsia" w:eastAsiaTheme="minorEastAsia"/>
          <w:b/>
          <w:sz w:val="28"/>
          <w:szCs w:val="28"/>
        </w:rPr>
      </w:pPr>
      <w:r>
        <w:rPr>
          <w:rFonts w:hint="eastAsia" w:asciiTheme="minorEastAsia" w:hAnsiTheme="minorEastAsia" w:eastAsiaTheme="minorEastAsia"/>
          <w:b/>
          <w:sz w:val="28"/>
          <w:szCs w:val="28"/>
        </w:rPr>
        <w:t>第三部分</w:t>
      </w:r>
      <w:r>
        <w:rPr>
          <w:rFonts w:asciiTheme="minorEastAsia" w:hAnsiTheme="minorEastAsia" w:eastAsiaTheme="minorEastAsia"/>
          <w:b/>
          <w:sz w:val="28"/>
          <w:szCs w:val="28"/>
        </w:rPr>
        <w:t>20</w:t>
      </w:r>
      <w:r>
        <w:rPr>
          <w:rFonts w:hint="eastAsia" w:asciiTheme="minorEastAsia" w:hAnsiTheme="minorEastAsia" w:eastAsiaTheme="minorEastAsia"/>
          <w:b/>
          <w:sz w:val="28"/>
          <w:szCs w:val="28"/>
        </w:rPr>
        <w:t>21年度部门决算情况说明</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cs="仿宋_GB2312" w:asciiTheme="minorEastAsia" w:hAnsiTheme="minorEastAsia"/>
          <w:sz w:val="28"/>
          <w:szCs w:val="28"/>
        </w:rPr>
      </w:pPr>
      <w:r>
        <w:rPr>
          <w:rFonts w:cs="仿宋_GB2312" w:asciiTheme="minorEastAsia" w:hAnsiTheme="minorEastAsia"/>
          <w:sz w:val="28"/>
          <w:szCs w:val="28"/>
        </w:rPr>
        <w:t>二、收入决算情况说明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三、支出决算情况说明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七、一般公共预算财政拨款</w:t>
      </w:r>
      <w:r>
        <w:rPr>
          <w:rFonts w:hint="eastAsia" w:cs="仿宋_GB2312" w:asciiTheme="minorEastAsia" w:hAnsiTheme="minorEastAsia"/>
          <w:color w:val="000000"/>
          <w:kern w:val="0"/>
          <w:sz w:val="28"/>
          <w:szCs w:val="28"/>
        </w:rPr>
        <w:t>“</w:t>
      </w:r>
      <w:r>
        <w:rPr>
          <w:rFonts w:cs="仿宋_GB2312" w:asciiTheme="minorEastAsia" w:hAnsiTheme="minorEastAsia"/>
          <w:color w:val="000000"/>
          <w:kern w:val="0"/>
          <w:sz w:val="28"/>
          <w:szCs w:val="28"/>
        </w:rPr>
        <w:t>三公</w:t>
      </w:r>
      <w:r>
        <w:rPr>
          <w:rFonts w:hint="eastAsia" w:cs="仿宋_GB2312" w:asciiTheme="minorEastAsia" w:hAnsiTheme="minorEastAsia"/>
          <w:color w:val="000000"/>
          <w:kern w:val="0"/>
          <w:sz w:val="28"/>
          <w:szCs w:val="28"/>
        </w:rPr>
        <w:t>”</w:t>
      </w:r>
      <w:r>
        <w:rPr>
          <w:rFonts w:cs="仿宋_GB2312" w:asciiTheme="minorEastAsia" w:hAnsiTheme="minorEastAsia"/>
          <w:color w:val="000000"/>
          <w:kern w:val="0"/>
          <w:sz w:val="28"/>
          <w:szCs w:val="28"/>
        </w:rPr>
        <w:t>经费支出决算情况说明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hint="eastAsia" w:cs="仿宋_GB2312" w:asciiTheme="minorEastAsia" w:hAnsiTheme="minorEastAsia"/>
          <w:color w:val="000000"/>
          <w:kern w:val="0"/>
          <w:sz w:val="28"/>
          <w:szCs w:val="28"/>
        </w:rPr>
        <w:t>八</w:t>
      </w:r>
      <w:r>
        <w:rPr>
          <w:rFonts w:cs="仿宋_GB2312" w:asciiTheme="minorEastAsia" w:hAnsiTheme="minorEastAsia"/>
          <w:color w:val="000000"/>
          <w:kern w:val="0"/>
          <w:sz w:val="28"/>
          <w:szCs w:val="28"/>
        </w:rPr>
        <w:t>、</w:t>
      </w:r>
      <w:r>
        <w:rPr>
          <w:rFonts w:hint="eastAsia" w:cs="仿宋_GB2312" w:asciiTheme="minorEastAsia" w:hAnsiTheme="minorEastAsia"/>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hint="eastAsia" w:cs="仿宋_GB2312" w:asciiTheme="minorEastAsia" w:hAnsiTheme="minorEastAsia"/>
          <w:color w:val="000000"/>
          <w:kern w:val="0"/>
          <w:sz w:val="28"/>
          <w:szCs w:val="28"/>
        </w:rPr>
        <w:t>九</w:t>
      </w:r>
      <w:r>
        <w:rPr>
          <w:rFonts w:cs="仿宋_GB2312" w:asciiTheme="minorEastAsia" w:hAnsiTheme="minorEastAsia"/>
          <w:color w:val="000000"/>
          <w:kern w:val="0"/>
          <w:sz w:val="28"/>
          <w:szCs w:val="28"/>
        </w:rPr>
        <w:t>、</w:t>
      </w:r>
      <w:r>
        <w:rPr>
          <w:rFonts w:hint="eastAsia" w:cs="仿宋_GB2312" w:asciiTheme="minorEastAsia" w:hAnsiTheme="minorEastAsia"/>
          <w:color w:val="000000"/>
          <w:kern w:val="0"/>
          <w:sz w:val="28"/>
          <w:szCs w:val="28"/>
        </w:rPr>
        <w:t>机关运行经费支出说明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hint="eastAsia" w:cs="仿宋_GB2312" w:asciiTheme="minorEastAsia" w:hAnsiTheme="minorEastAsia"/>
          <w:color w:val="000000"/>
          <w:kern w:val="0"/>
          <w:sz w:val="28"/>
          <w:szCs w:val="28"/>
        </w:rPr>
        <w:t>十、一般性支出情况说明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hint="eastAsia" w:cs="仿宋_GB2312" w:asciiTheme="minorEastAsia" w:hAnsiTheme="minorEastAsia"/>
          <w:color w:val="000000"/>
          <w:kern w:val="0"/>
          <w:sz w:val="28"/>
          <w:szCs w:val="28"/>
        </w:rPr>
        <w:t>十一、政府采购支出说明</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十二、国有资产占用情况说明</w:t>
      </w:r>
    </w:p>
    <w:p>
      <w:pPr>
        <w:pStyle w:val="13"/>
        <w:spacing w:line="50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十三、2021年度预算绩效情况说明</w:t>
      </w:r>
    </w:p>
    <w:p>
      <w:pPr>
        <w:pStyle w:val="13"/>
        <w:spacing w:line="500" w:lineRule="exact"/>
        <w:ind w:firstLine="700" w:firstLineChars="250"/>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十四、国有资本经营预算财政拨款支出决算情况</w:t>
      </w:r>
    </w:p>
    <w:p>
      <w:pPr>
        <w:autoSpaceDE w:val="0"/>
        <w:autoSpaceDN w:val="0"/>
        <w:adjustRightInd w:val="0"/>
        <w:spacing w:line="500" w:lineRule="exact"/>
        <w:jc w:val="left"/>
        <w:rPr>
          <w:rFonts w:cs="黑体" w:asciiTheme="minorEastAsia" w:hAnsiTheme="minorEastAsia"/>
          <w:b/>
          <w:color w:val="000000"/>
          <w:kern w:val="0"/>
          <w:sz w:val="28"/>
          <w:szCs w:val="28"/>
        </w:rPr>
      </w:pPr>
      <w:r>
        <w:rPr>
          <w:rFonts w:cs="黑体" w:asciiTheme="minorEastAsia" w:hAnsiTheme="minorEastAsia"/>
          <w:b/>
          <w:color w:val="000000"/>
          <w:kern w:val="0"/>
          <w:sz w:val="28"/>
          <w:szCs w:val="28"/>
        </w:rPr>
        <w:t>第四部分名词解释</w:t>
      </w:r>
    </w:p>
    <w:p>
      <w:pPr>
        <w:autoSpaceDE w:val="0"/>
        <w:autoSpaceDN w:val="0"/>
        <w:adjustRightInd w:val="0"/>
        <w:spacing w:line="500" w:lineRule="exact"/>
        <w:jc w:val="left"/>
        <w:rPr>
          <w:rFonts w:cs="仿宋_GB2312" w:asciiTheme="minorEastAsia" w:hAnsiTheme="minorEastAsia"/>
          <w:b/>
          <w:color w:val="000000"/>
          <w:kern w:val="0"/>
          <w:sz w:val="28"/>
          <w:szCs w:val="28"/>
        </w:rPr>
      </w:pPr>
      <w:r>
        <w:rPr>
          <w:rFonts w:hint="eastAsia" w:cs="黑体" w:asciiTheme="minorEastAsia" w:hAnsiTheme="minorEastAsia"/>
          <w:b/>
          <w:color w:val="000000"/>
          <w:kern w:val="0"/>
          <w:sz w:val="28"/>
          <w:szCs w:val="28"/>
        </w:rPr>
        <w:t>第五部分附件</w:t>
      </w:r>
    </w:p>
    <w:p>
      <w:pPr>
        <w:jc w:val="center"/>
        <w:rPr>
          <w:rFonts w:asciiTheme="minorEastAsia" w:hAnsiTheme="minorEastAsia"/>
          <w:sz w:val="72"/>
          <w:szCs w:val="72"/>
        </w:rPr>
      </w:pPr>
    </w:p>
    <w:p>
      <w:pPr>
        <w:rPr>
          <w:rFonts w:asciiTheme="minorEastAsia" w:hAnsiTheme="minorEastAsia"/>
          <w:sz w:val="72"/>
          <w:szCs w:val="72"/>
        </w:rPr>
      </w:pPr>
    </w:p>
    <w:p>
      <w:pPr>
        <w:rPr>
          <w:rFonts w:asciiTheme="minorEastAsia" w:hAnsiTheme="minorEastAsia"/>
          <w:sz w:val="72"/>
          <w:szCs w:val="72"/>
        </w:rPr>
      </w:pPr>
    </w:p>
    <w:p>
      <w:pPr>
        <w:pStyle w:val="13"/>
        <w:jc w:val="center"/>
        <w:rPr>
          <w:rFonts w:hint="eastAsia" w:asciiTheme="minorEastAsia" w:hAnsiTheme="minorEastAsia" w:eastAsiaTheme="minorEastAsia"/>
          <w:sz w:val="84"/>
          <w:szCs w:val="84"/>
          <w:lang w:eastAsia="zh-CN"/>
        </w:rPr>
      </w:pPr>
      <w:r>
        <w:rPr>
          <w:rFonts w:hint="eastAsia" w:asciiTheme="minorEastAsia" w:hAnsiTheme="minorEastAsia" w:eastAsiaTheme="minorEastAsia"/>
          <w:sz w:val="84"/>
          <w:szCs w:val="84"/>
        </w:rPr>
        <w:t>第一部分</w:t>
      </w:r>
    </w:p>
    <w:p>
      <w:pPr>
        <w:pStyle w:val="13"/>
        <w:jc w:val="center"/>
        <w:rPr>
          <w:rFonts w:asciiTheme="minorEastAsia" w:hAnsiTheme="minorEastAsia" w:eastAsiaTheme="minorEastAsia"/>
          <w:sz w:val="84"/>
          <w:szCs w:val="84"/>
        </w:rPr>
      </w:pPr>
    </w:p>
    <w:p>
      <w:pPr>
        <w:pStyle w:val="13"/>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祁阳市农村经营服务站单位概况</w:t>
      </w: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一、部门职责</w:t>
      </w:r>
    </w:p>
    <w:p>
      <w:pPr>
        <w:pStyle w:val="16"/>
        <w:spacing w:before="0" w:beforeAutospacing="0" w:after="0" w:afterAutospacing="0" w:line="600" w:lineRule="exact"/>
        <w:ind w:firstLine="640" w:firstLineChars="200"/>
        <w:rPr>
          <w:rFonts w:asciiTheme="minorEastAsia" w:hAnsiTheme="minorEastAsia"/>
          <w:bCs/>
          <w:kern w:val="0"/>
          <w:sz w:val="32"/>
          <w:szCs w:val="32"/>
        </w:rPr>
      </w:pPr>
      <w:r>
        <w:rPr>
          <w:rFonts w:asciiTheme="minorEastAsia" w:hAnsiTheme="minorEastAsia"/>
          <w:bCs/>
          <w:kern w:val="0"/>
          <w:sz w:val="32"/>
          <w:szCs w:val="32"/>
        </w:rPr>
        <w:t>1、</w:t>
      </w:r>
      <w:r>
        <w:rPr>
          <w:rFonts w:hint="eastAsia" w:asciiTheme="minorEastAsia" w:hAnsiTheme="minorEastAsia"/>
          <w:bCs/>
          <w:kern w:val="0"/>
          <w:sz w:val="32"/>
          <w:szCs w:val="32"/>
        </w:rPr>
        <w:t>负责提出稳定和完善家庭承包经营为主的责任制和统分结合的双层经营体制的意见</w:t>
      </w:r>
      <w:r>
        <w:rPr>
          <w:rFonts w:asciiTheme="minorEastAsia" w:hAnsiTheme="minorEastAsia"/>
          <w:bCs/>
          <w:kern w:val="0"/>
          <w:sz w:val="32"/>
          <w:szCs w:val="32"/>
        </w:rPr>
        <w:t>。</w:t>
      </w:r>
    </w:p>
    <w:p>
      <w:pPr>
        <w:pStyle w:val="16"/>
        <w:spacing w:before="0" w:beforeAutospacing="0" w:after="0" w:afterAutospacing="0" w:line="600" w:lineRule="exact"/>
        <w:ind w:firstLine="640" w:firstLineChars="200"/>
        <w:rPr>
          <w:rFonts w:asciiTheme="minorEastAsia" w:hAnsiTheme="minorEastAsia"/>
          <w:bCs/>
          <w:kern w:val="0"/>
          <w:sz w:val="32"/>
          <w:szCs w:val="32"/>
        </w:rPr>
      </w:pPr>
      <w:r>
        <w:rPr>
          <w:rFonts w:asciiTheme="minorEastAsia" w:hAnsiTheme="minorEastAsia"/>
          <w:bCs/>
          <w:kern w:val="0"/>
          <w:sz w:val="32"/>
          <w:szCs w:val="32"/>
        </w:rPr>
        <w:t>2、</w:t>
      </w:r>
      <w:r>
        <w:rPr>
          <w:rFonts w:hint="eastAsia" w:asciiTheme="minorEastAsia" w:hAnsiTheme="minorEastAsia"/>
          <w:bCs/>
          <w:kern w:val="0"/>
          <w:sz w:val="32"/>
          <w:szCs w:val="32"/>
        </w:rPr>
        <w:t>负责农村土地承包管理</w:t>
      </w:r>
      <w:r>
        <w:rPr>
          <w:rFonts w:asciiTheme="minorEastAsia" w:hAnsiTheme="minorEastAsia"/>
          <w:bCs/>
          <w:kern w:val="0"/>
          <w:sz w:val="32"/>
          <w:szCs w:val="32"/>
        </w:rPr>
        <w:t>。</w:t>
      </w:r>
      <w:r>
        <w:rPr>
          <w:rFonts w:hint="eastAsia" w:asciiTheme="minorEastAsia" w:hAnsiTheme="minorEastAsia"/>
          <w:bCs/>
          <w:kern w:val="0"/>
          <w:sz w:val="32"/>
          <w:szCs w:val="32"/>
        </w:rPr>
        <w:t>做好农村土地承包经营权确权颁证工作，稳定和完善农村土地承包关系；指导规范农村土地使用权流转工作；指导农村承包合同签订、鉴证、变更以及农村承包合同纠纷调解、仲裁工作，推进农村土地承包经营权健康有序流转。</w:t>
      </w:r>
    </w:p>
    <w:p>
      <w:pPr>
        <w:pStyle w:val="16"/>
        <w:spacing w:before="0" w:beforeAutospacing="0" w:after="0" w:afterAutospacing="0" w:line="600" w:lineRule="exact"/>
        <w:ind w:firstLine="640" w:firstLineChars="200"/>
        <w:rPr>
          <w:rFonts w:asciiTheme="minorEastAsia" w:hAnsiTheme="minorEastAsia"/>
          <w:bCs/>
          <w:kern w:val="0"/>
          <w:sz w:val="32"/>
          <w:szCs w:val="32"/>
        </w:rPr>
      </w:pPr>
      <w:r>
        <w:rPr>
          <w:rFonts w:asciiTheme="minorEastAsia" w:hAnsiTheme="minorEastAsia"/>
          <w:bCs/>
          <w:kern w:val="0"/>
          <w:sz w:val="32"/>
          <w:szCs w:val="32"/>
        </w:rPr>
        <w:t>3、</w:t>
      </w:r>
      <w:r>
        <w:rPr>
          <w:rFonts w:hint="eastAsia" w:asciiTheme="minorEastAsia" w:hAnsiTheme="minorEastAsia"/>
          <w:bCs/>
          <w:kern w:val="0"/>
          <w:sz w:val="32"/>
          <w:szCs w:val="32"/>
        </w:rPr>
        <w:t>负责农民负担监督管理</w:t>
      </w:r>
      <w:r>
        <w:rPr>
          <w:rFonts w:asciiTheme="minorEastAsia" w:hAnsiTheme="minorEastAsia"/>
          <w:bCs/>
          <w:kern w:val="0"/>
          <w:sz w:val="32"/>
          <w:szCs w:val="32"/>
        </w:rPr>
        <w:t>。</w:t>
      </w:r>
      <w:r>
        <w:rPr>
          <w:rFonts w:hint="eastAsia" w:asciiTheme="minorEastAsia" w:hAnsiTheme="minorEastAsia"/>
          <w:bCs/>
          <w:kern w:val="0"/>
          <w:sz w:val="32"/>
          <w:szCs w:val="32"/>
        </w:rPr>
        <w:t>宣传贯彻国家农民负担监督管理的法律、法规和政策；组织对乡村“共同生产费用”预决算方案的审批；审核会签涉及农民负担的文件和项目；监督惠农政策的落实，进行农民负担专项审计；监督管理涉农收费政策及价格的公示；参与查处涉及农民负担的违法违纪案件；培训农民负担监督管理工作人员。</w:t>
      </w:r>
    </w:p>
    <w:p>
      <w:pPr>
        <w:pStyle w:val="16"/>
        <w:spacing w:before="0" w:beforeAutospacing="0" w:after="0" w:afterAutospacing="0" w:line="600" w:lineRule="exact"/>
        <w:ind w:firstLine="640" w:firstLineChars="200"/>
        <w:rPr>
          <w:rFonts w:asciiTheme="minorEastAsia" w:hAnsiTheme="minorEastAsia"/>
          <w:bCs/>
          <w:kern w:val="0"/>
          <w:sz w:val="32"/>
          <w:szCs w:val="32"/>
        </w:rPr>
      </w:pPr>
      <w:r>
        <w:rPr>
          <w:rFonts w:asciiTheme="minorEastAsia" w:hAnsiTheme="minorEastAsia"/>
          <w:bCs/>
          <w:kern w:val="0"/>
          <w:sz w:val="32"/>
          <w:szCs w:val="32"/>
        </w:rPr>
        <w:t>4、</w:t>
      </w:r>
      <w:r>
        <w:rPr>
          <w:rFonts w:hint="eastAsia" w:asciiTheme="minorEastAsia" w:hAnsiTheme="minorEastAsia"/>
          <w:bCs/>
          <w:kern w:val="0"/>
          <w:sz w:val="32"/>
          <w:szCs w:val="32"/>
        </w:rPr>
        <w:t>负责农村集体财务和农村集体资产管理</w:t>
      </w:r>
      <w:r>
        <w:rPr>
          <w:rFonts w:asciiTheme="minorEastAsia" w:hAnsiTheme="minorEastAsia"/>
          <w:bCs/>
          <w:kern w:val="0"/>
          <w:sz w:val="32"/>
          <w:szCs w:val="32"/>
        </w:rPr>
        <w:t>。</w:t>
      </w:r>
      <w:r>
        <w:rPr>
          <w:rFonts w:hint="eastAsia" w:asciiTheme="minorEastAsia" w:hAnsiTheme="minorEastAsia"/>
          <w:bCs/>
          <w:kern w:val="0"/>
          <w:sz w:val="32"/>
          <w:szCs w:val="32"/>
        </w:rPr>
        <w:t>建立健全农村财务管理制度；负责农村资产清产核资工作，股权量化，管好用好农村集体资产，促进农村集体资产保值增值；管理农村财务人员，开展农村财会人员的业务培训；指导农村财会业务，指导农村财务公开。</w:t>
      </w:r>
    </w:p>
    <w:p>
      <w:pPr>
        <w:pStyle w:val="16"/>
        <w:spacing w:before="0" w:beforeAutospacing="0" w:after="0" w:afterAutospacing="0"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5、负责农村经济情况和社会发展指标体系的统计和分析工作。组织对农村经济收支、农民收入情况的监测。</w:t>
      </w:r>
    </w:p>
    <w:p>
      <w:pPr>
        <w:pStyle w:val="16"/>
        <w:spacing w:before="0" w:beforeAutospacing="0" w:after="0" w:afterAutospacing="0"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6、负责农村集体经济审计监督。管理和培训农村集体经济审计工作人员，组织开展村集体经济审计工作。</w:t>
      </w:r>
    </w:p>
    <w:p>
      <w:pPr>
        <w:pStyle w:val="16"/>
        <w:spacing w:before="0" w:beforeAutospacing="0" w:after="0" w:afterAutospacing="0"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7、负责农民专业合作社的管理。指导农业产业化经营、农村专业合作社组织和农业生产社会化服务体系建设；为农户经营、农村专业合作社组织提供产前、产中、产后的经济信息服务；指导专业合作社的经济核算。</w:t>
      </w:r>
    </w:p>
    <w:p>
      <w:pPr>
        <w:pStyle w:val="16"/>
        <w:spacing w:before="0" w:beforeAutospacing="0" w:after="0" w:afterAutospacing="0"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8、负责牵头农村宅基地管理体系改革，承担指导宅基地分配、使用、流转、纠纷仲裁、合理布局、用地标准、查处违法用地行为以及闲置宅基地、闲置住房的利用，负责农村宅基监督检查，重点查处“未批先建”“骗取批准”“批小建大”“批东建西”等违法行为，负责引导农村适度集中建房，及农村宅基地队伍管理培训、政策宣传、统计年报等工作。</w:t>
      </w:r>
    </w:p>
    <w:p>
      <w:pPr>
        <w:pStyle w:val="16"/>
        <w:spacing w:before="0" w:beforeAutospacing="0" w:after="0" w:afterAutospacing="0"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9、承办市委、市政府和上级主管部门交办的其他工作</w:t>
      </w:r>
      <w:r>
        <w:rPr>
          <w:rFonts w:asciiTheme="minorEastAsia" w:hAnsiTheme="minorEastAsia"/>
          <w:bCs/>
          <w:kern w:val="0"/>
          <w:sz w:val="32"/>
          <w:szCs w:val="32"/>
        </w:rPr>
        <w:t>。</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二、机构设置及决算单位构成</w:t>
      </w:r>
    </w:p>
    <w:p>
      <w:pPr>
        <w:pStyle w:val="16"/>
        <w:spacing w:before="0" w:beforeAutospacing="0" w:after="0" w:afterAutospacing="0"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祁阳市农村经营服务站内设机构包括：综合股、农村土地承包管理股、农村经济发展指导股、农村集体资产（财务）管理股、农村宅基地管理股、农民负担监督管理股、，农村土地承包仲裁委员会办公室。</w:t>
      </w:r>
    </w:p>
    <w:p>
      <w:pPr>
        <w:widowControl/>
        <w:spacing w:line="600" w:lineRule="exact"/>
        <w:rPr>
          <w:rFonts w:asciiTheme="minorEastAsia" w:hAnsiTheme="minorEastAsia"/>
          <w:sz w:val="28"/>
          <w:szCs w:val="32"/>
        </w:rPr>
      </w:pPr>
      <w:r>
        <w:rPr>
          <w:rFonts w:hint="eastAsia" w:asciiTheme="minorEastAsia" w:hAnsiTheme="minorEastAsia"/>
          <w:bCs/>
          <w:kern w:val="0"/>
          <w:sz w:val="32"/>
          <w:szCs w:val="32"/>
        </w:rPr>
        <w:t>（二）决算单位构成。</w:t>
      </w:r>
      <w:r>
        <w:rPr>
          <w:rFonts w:ascii="宋体" w:hAnsi="宋体"/>
          <w:bCs/>
          <w:sz w:val="32"/>
          <w:szCs w:val="32"/>
        </w:rPr>
        <w:t>祁阳</w:t>
      </w:r>
      <w:r>
        <w:rPr>
          <w:rFonts w:hint="eastAsia" w:ascii="宋体" w:hAnsi="宋体"/>
          <w:bCs/>
          <w:sz w:val="32"/>
          <w:szCs w:val="32"/>
        </w:rPr>
        <w:t>市农村经营服务站</w:t>
      </w:r>
      <w:r>
        <w:rPr>
          <w:rFonts w:ascii="宋体" w:hAnsi="宋体"/>
          <w:bCs/>
          <w:sz w:val="32"/>
          <w:szCs w:val="32"/>
        </w:rPr>
        <w:t>20</w:t>
      </w:r>
      <w:r>
        <w:rPr>
          <w:rFonts w:hint="eastAsia" w:ascii="宋体" w:hAnsi="宋体"/>
          <w:bCs/>
          <w:sz w:val="32"/>
          <w:szCs w:val="32"/>
        </w:rPr>
        <w:t>21年部门决算汇总公开单位构成包括：</w:t>
      </w:r>
      <w:r>
        <w:rPr>
          <w:rFonts w:ascii="宋体" w:hAnsi="宋体"/>
          <w:bCs/>
          <w:sz w:val="32"/>
          <w:szCs w:val="32"/>
        </w:rPr>
        <w:t>祁阳</w:t>
      </w:r>
      <w:r>
        <w:rPr>
          <w:rFonts w:hint="eastAsia" w:ascii="宋体" w:hAnsi="宋体"/>
          <w:bCs/>
          <w:sz w:val="32"/>
          <w:szCs w:val="32"/>
        </w:rPr>
        <w:t>市农村经营服务站本级，共有人员编制24个，</w:t>
      </w:r>
      <w:r>
        <w:rPr>
          <w:rFonts w:ascii="宋体" w:hAnsi="宋体"/>
          <w:bCs/>
          <w:sz w:val="32"/>
          <w:szCs w:val="32"/>
        </w:rPr>
        <w:t>20</w:t>
      </w:r>
      <w:r>
        <w:rPr>
          <w:rFonts w:hint="eastAsia" w:ascii="宋体" w:hAnsi="宋体"/>
          <w:bCs/>
          <w:sz w:val="32"/>
          <w:szCs w:val="32"/>
        </w:rPr>
        <w:t>21</w:t>
      </w:r>
      <w:r>
        <w:rPr>
          <w:rFonts w:ascii="宋体" w:hAnsi="宋体"/>
          <w:bCs/>
          <w:sz w:val="32"/>
          <w:szCs w:val="32"/>
        </w:rPr>
        <w:t>年</w:t>
      </w:r>
      <w:r>
        <w:rPr>
          <w:rFonts w:hint="eastAsia" w:ascii="宋体" w:hAnsi="宋体"/>
          <w:bCs/>
          <w:sz w:val="32"/>
          <w:szCs w:val="32"/>
        </w:rPr>
        <w:t>末实有在职人员16</w:t>
      </w:r>
      <w:r>
        <w:rPr>
          <w:rFonts w:ascii="宋体" w:hAnsi="宋体"/>
          <w:bCs/>
          <w:sz w:val="32"/>
          <w:szCs w:val="32"/>
        </w:rPr>
        <w:t>人</w:t>
      </w:r>
      <w:r>
        <w:rPr>
          <w:rFonts w:hint="eastAsia" w:ascii="宋体" w:hAnsi="宋体"/>
          <w:bCs/>
          <w:sz w:val="32"/>
          <w:szCs w:val="32"/>
        </w:rPr>
        <w:t>。</w:t>
      </w: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72"/>
          <w:szCs w:val="72"/>
        </w:rPr>
      </w:pPr>
    </w:p>
    <w:p>
      <w:pPr>
        <w:jc w:val="center"/>
        <w:rPr>
          <w:rFonts w:asciiTheme="minorEastAsia" w:hAnsiTheme="minorEastAsia"/>
          <w:sz w:val="72"/>
          <w:szCs w:val="72"/>
        </w:rPr>
      </w:pPr>
      <w:r>
        <w:rPr>
          <w:rFonts w:hint="eastAsia" w:asciiTheme="minorEastAsia" w:hAnsiTheme="minorEastAsia"/>
          <w:sz w:val="72"/>
          <w:szCs w:val="72"/>
        </w:rPr>
        <w:t>第二部分</w:t>
      </w:r>
    </w:p>
    <w:p>
      <w:pPr>
        <w:jc w:val="center"/>
        <w:rPr>
          <w:rFonts w:asciiTheme="minorEastAsia" w:hAnsiTheme="minorEastAsia"/>
          <w:sz w:val="72"/>
          <w:szCs w:val="72"/>
        </w:rPr>
      </w:pPr>
    </w:p>
    <w:p>
      <w:pPr>
        <w:jc w:val="center"/>
        <w:rPr>
          <w:rFonts w:asciiTheme="minorEastAsia" w:hAnsiTheme="minorEastAsia"/>
          <w:sz w:val="72"/>
          <w:szCs w:val="72"/>
        </w:rPr>
      </w:pPr>
      <w:r>
        <w:rPr>
          <w:rFonts w:hint="eastAsia" w:asciiTheme="minorEastAsia" w:hAnsiTheme="minorEastAsia"/>
          <w:sz w:val="72"/>
          <w:szCs w:val="72"/>
        </w:rPr>
        <w:t>2021年部门决算表</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left"/>
        <w:rPr>
          <w:rFonts w:asciiTheme="minorEastAsia" w:hAnsiTheme="minorEastAsia"/>
          <w:sz w:val="32"/>
          <w:szCs w:val="32"/>
        </w:rPr>
      </w:pPr>
    </w:p>
    <w:tbl>
      <w:tblPr>
        <w:tblStyle w:val="8"/>
        <w:tblW w:w="14085" w:type="dxa"/>
        <w:tblInd w:w="89" w:type="dxa"/>
        <w:tblLayout w:type="autofit"/>
        <w:tblCellMar>
          <w:top w:w="0" w:type="dxa"/>
          <w:left w:w="108" w:type="dxa"/>
          <w:bottom w:w="0" w:type="dxa"/>
          <w:right w:w="108" w:type="dxa"/>
        </w:tblCellMar>
      </w:tblPr>
      <w:tblGrid>
        <w:gridCol w:w="4087"/>
        <w:gridCol w:w="467"/>
        <w:gridCol w:w="723"/>
        <w:gridCol w:w="587"/>
        <w:gridCol w:w="107"/>
        <w:gridCol w:w="232"/>
        <w:gridCol w:w="3431"/>
        <w:gridCol w:w="839"/>
        <w:gridCol w:w="1456"/>
        <w:gridCol w:w="653"/>
        <w:gridCol w:w="1503"/>
      </w:tblGrid>
      <w:tr>
        <w:tblPrEx>
          <w:tblCellMar>
            <w:top w:w="0" w:type="dxa"/>
            <w:left w:w="108" w:type="dxa"/>
            <w:bottom w:w="0" w:type="dxa"/>
            <w:right w:w="108" w:type="dxa"/>
          </w:tblCellMar>
        </w:tblPrEx>
        <w:trPr>
          <w:trHeight w:val="360" w:hRule="atLeast"/>
        </w:trPr>
        <w:tc>
          <w:tcPr>
            <w:tcW w:w="14085" w:type="dxa"/>
            <w:gridSpan w:val="11"/>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77"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94"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26"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53"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03"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77" w:type="dxa"/>
            <w:gridSpan w:val="3"/>
            <w:tcBorders>
              <w:top w:val="nil"/>
              <w:left w:val="nil"/>
              <w:bottom w:val="nil"/>
              <w:right w:val="nil"/>
            </w:tcBorders>
            <w:shd w:val="clear" w:color="000000" w:fill="FFFFFF"/>
            <w:noWrap/>
            <w:vAlign w:val="center"/>
          </w:tcPr>
          <w:p>
            <w:pPr>
              <w:widowControl/>
              <w:jc w:val="left"/>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rPr>
              <w:t>部门：</w:t>
            </w:r>
            <w:r>
              <w:rPr>
                <w:rFonts w:hint="eastAsia" w:asciiTheme="minorEastAsia" w:hAnsiTheme="minorEastAsia"/>
                <w:bCs/>
                <w:kern w:val="0"/>
                <w:sz w:val="22"/>
              </w:rPr>
              <w:t>祁阳市农村经营服务站</w:t>
            </w:r>
          </w:p>
        </w:tc>
        <w:tc>
          <w:tcPr>
            <w:tcW w:w="694"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26"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53"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03"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收入</w:t>
            </w:r>
          </w:p>
        </w:tc>
        <w:tc>
          <w:tcPr>
            <w:tcW w:w="8221"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支出</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131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c>
          <w:tcPr>
            <w:tcW w:w="377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w:t>
            </w:r>
          </w:p>
        </w:tc>
        <w:tc>
          <w:tcPr>
            <w:tcW w:w="83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361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1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377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83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61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一、一般公共预算财政拨款收入</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939.04　</w:t>
            </w:r>
          </w:p>
        </w:tc>
        <w:tc>
          <w:tcPr>
            <w:tcW w:w="3770"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一、一般公共服务支出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32</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3.25</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二、政府性基金预算财政拨款收入</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70"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二、外交支出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33</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三、国有资本经营预算财政拨款收入</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70"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三、国防支出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34</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四、上级补助收入</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4</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70"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四、公共安全支出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35</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五、事业收入</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5</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70"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五、教育支出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36</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六、经营收入</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6</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70"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六、科学技术支出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37</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七、附属单位上缴收入</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7</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七、文化旅游体育与传媒支出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38</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八、其他收入</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8</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八、社会保障和就业支出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39</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23.81</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9</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九、卫生健康支出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40</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6.81</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10</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十、节能环保支出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41</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11</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十一、城乡社区支出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42</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12</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十二、农林水支出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43</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894.84</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13</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十三、交通运输支出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44</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14</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十四、资源勘探工业信息等支出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45</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15</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十五、商业服务业等支出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46</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16</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十六、金融支出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47</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17</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十七、援助其他地区支出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48</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18</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十八、自然资源海洋气象等支出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49</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19</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十九、住房保障支出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50</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10.33</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20</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二十、粮油物资储备支出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51</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21</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二十一、国有资本经营预算支出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52</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22</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二十二、灾害防治及应急管理支出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53</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23</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二十三、其他支出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54</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24</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二十四、债务还本支出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55</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25</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二十五、债务付息支出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56</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0"/>
                <w:szCs w:val="20"/>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26</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二十六、抗疫特别国债安排的支出</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57</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本年收入合计</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27</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939.04　</w:t>
            </w:r>
          </w:p>
        </w:tc>
        <w:tc>
          <w:tcPr>
            <w:tcW w:w="377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本年支出合计</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58</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939.04</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使用非财政拨款结余</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28</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结余分配</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59</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年初结转和结余</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29</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7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年末结转和结余</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60</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30</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p>
        </w:tc>
        <w:tc>
          <w:tcPr>
            <w:tcW w:w="377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61</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p>
        </w:tc>
      </w:tr>
      <w:tr>
        <w:tblPrEx>
          <w:tblCellMar>
            <w:top w:w="0" w:type="dxa"/>
            <w:left w:w="108" w:type="dxa"/>
            <w:bottom w:w="0" w:type="dxa"/>
            <w:right w:w="108" w:type="dxa"/>
          </w:tblCellMar>
        </w:tblPrEx>
        <w:trPr>
          <w:trHeight w:val="340" w:hRule="atLeast"/>
        </w:trPr>
        <w:tc>
          <w:tcPr>
            <w:tcW w:w="408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总计</w:t>
            </w:r>
          </w:p>
        </w:tc>
        <w:tc>
          <w:tcPr>
            <w:tcW w:w="467"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31</w:t>
            </w:r>
          </w:p>
        </w:tc>
        <w:tc>
          <w:tcPr>
            <w:tcW w:w="13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939.04　</w:t>
            </w:r>
          </w:p>
        </w:tc>
        <w:tc>
          <w:tcPr>
            <w:tcW w:w="377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总计</w:t>
            </w:r>
          </w:p>
        </w:tc>
        <w:tc>
          <w:tcPr>
            <w:tcW w:w="83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62</w:t>
            </w:r>
          </w:p>
        </w:tc>
        <w:tc>
          <w:tcPr>
            <w:tcW w:w="36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939.04</w:t>
            </w:r>
          </w:p>
        </w:tc>
      </w:tr>
      <w:tr>
        <w:tblPrEx>
          <w:tblCellMar>
            <w:top w:w="0" w:type="dxa"/>
            <w:left w:w="108" w:type="dxa"/>
            <w:bottom w:w="0" w:type="dxa"/>
            <w:right w:w="108" w:type="dxa"/>
          </w:tblCellMar>
        </w:tblPrEx>
        <w:trPr>
          <w:trHeight w:val="1020" w:hRule="atLeast"/>
        </w:trPr>
        <w:tc>
          <w:tcPr>
            <w:tcW w:w="14085" w:type="dxa"/>
            <w:gridSpan w:val="11"/>
            <w:tcBorders>
              <w:top w:val="nil"/>
              <w:left w:val="nil"/>
              <w:bottom w:val="nil"/>
              <w:right w:val="nil"/>
            </w:tcBorders>
            <w:shd w:val="clear" w:color="auto" w:fill="auto"/>
            <w:vAlign w:val="center"/>
          </w:tcPr>
          <w:p>
            <w:pPr>
              <w:widowControl/>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注：1.本表反映部门本年度的总收支和年末结转结余情况。</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2.本套报表金额单位转换时可能存在尾数误差。</w:t>
            </w:r>
          </w:p>
        </w:tc>
      </w:tr>
    </w:tbl>
    <w:p>
      <w:pPr>
        <w:jc w:val="center"/>
        <w:rPr>
          <w:rFonts w:asciiTheme="minorEastAsia" w:hAnsiTheme="minorEastAsia"/>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0" w:type="auto"/>
        <w:tblInd w:w="0" w:type="dxa"/>
        <w:tblLayout w:type="autofit"/>
        <w:tblCellMar>
          <w:top w:w="0" w:type="dxa"/>
          <w:left w:w="0" w:type="dxa"/>
          <w:bottom w:w="0" w:type="dxa"/>
          <w:right w:w="0" w:type="dxa"/>
        </w:tblCellMar>
      </w:tblPr>
      <w:tblGrid>
        <w:gridCol w:w="2756"/>
        <w:gridCol w:w="2382"/>
        <w:gridCol w:w="1168"/>
        <w:gridCol w:w="1290"/>
        <w:gridCol w:w="1290"/>
        <w:gridCol w:w="1290"/>
        <w:gridCol w:w="870"/>
        <w:gridCol w:w="870"/>
        <w:gridCol w:w="1710"/>
        <w:gridCol w:w="1030"/>
      </w:tblGrid>
      <w:tr>
        <w:tblPrEx>
          <w:tblCellMar>
            <w:top w:w="0" w:type="dxa"/>
            <w:left w:w="0" w:type="dxa"/>
            <w:bottom w:w="0" w:type="dxa"/>
            <w:right w:w="0" w:type="dxa"/>
          </w:tblCellMar>
        </w:tblPrEx>
        <w:trPr>
          <w:trHeight w:val="435" w:hRule="atLeast"/>
        </w:trPr>
        <w:tc>
          <w:tcPr>
            <w:tcW w:w="0" w:type="auto"/>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cs="宋体" w:asciiTheme="minorEastAsia" w:hAnsiTheme="minorEastAsia"/>
                <w:color w:val="000000"/>
                <w:sz w:val="32"/>
                <w:szCs w:val="32"/>
              </w:rPr>
            </w:pPr>
            <w:r>
              <w:rPr>
                <w:rFonts w:hint="eastAsia" w:asciiTheme="minorEastAsia" w:hAnsiTheme="minorEastAsia"/>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color w:val="000000"/>
                <w:sz w:val="20"/>
                <w:szCs w:val="20"/>
              </w:rPr>
            </w:pPr>
            <w:r>
              <w:rPr>
                <w:rFonts w:hint="eastAsia" w:asciiTheme="minorEastAsia" w:hAnsiTheme="minor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cs="宋体" w:asciiTheme="minorEastAsia" w:hAnsiTheme="minorEastAsia"/>
                <w:color w:val="000000"/>
                <w:sz w:val="20"/>
                <w:szCs w:val="20"/>
              </w:rPr>
            </w:pPr>
            <w:r>
              <w:rPr>
                <w:rFonts w:hint="eastAsia" w:asciiTheme="minorEastAsia" w:hAnsiTheme="minorEastAsia"/>
                <w:color w:val="000000"/>
                <w:sz w:val="20"/>
                <w:szCs w:val="20"/>
              </w:rPr>
              <w:t>部门：</w:t>
            </w:r>
            <w:r>
              <w:rPr>
                <w:rFonts w:hint="eastAsia" w:asciiTheme="minorEastAsia" w:hAnsiTheme="minorEastAsia"/>
                <w:bCs/>
                <w:kern w:val="0"/>
                <w:sz w:val="22"/>
              </w:rPr>
              <w:t>祁阳市农村经营服务站</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color w:val="000000"/>
                <w:sz w:val="20"/>
                <w:szCs w:val="20"/>
              </w:rPr>
            </w:pPr>
            <w:r>
              <w:rPr>
                <w:rFonts w:hint="eastAsia" w:asciiTheme="minorEastAsia" w:hAnsiTheme="minorEastAsia"/>
                <w:color w:val="000000"/>
                <w:sz w:val="20"/>
                <w:szCs w:val="20"/>
              </w:rPr>
              <w:t>单位：万元</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项目</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本年收入合计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财政拨款收入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上级补助收入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事业收入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经营收入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附属单位上缴收入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其他收入</w:t>
            </w:r>
          </w:p>
        </w:tc>
      </w:tr>
      <w:tr>
        <w:tblPrEx>
          <w:tblCellMar>
            <w:top w:w="0" w:type="dxa"/>
            <w:left w:w="0" w:type="dxa"/>
            <w:bottom w:w="0" w:type="dxa"/>
            <w:right w:w="0" w:type="dxa"/>
          </w:tblCellMar>
        </w:tblPrEx>
        <w:trPr>
          <w:trHeight w:val="45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功能分类科目编码</w:t>
            </w:r>
          </w:p>
        </w:tc>
        <w:tc>
          <w:tcPr>
            <w:tcW w:w="0" w:type="auto"/>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939.04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939.04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201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3.25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3.25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20199</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其他一般公共服务支出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3.25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3.25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2019999</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其他一般公共服务支出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3.25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3.25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208</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23.81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23.81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20805</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14.31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14.31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2080505</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14.31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14.31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20808</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6.6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6.6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2080801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6.6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6.6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20899</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其他社会保障和就业支出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2089999</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其他社会保障和就业支出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210</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6.81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6.81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21011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6.81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6.81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2101101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行政单位医疗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2101102</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4.81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4.81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213</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894.84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894.84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21301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农业农村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374.84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374.84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2130101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134.18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134.18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2130102</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50.66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50.66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2130122</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农业生产发展</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70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70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2130124</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农村合作经济</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120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120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21307</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农村综合改革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520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520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2130706</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对村集体经济组织的补助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520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520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221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10.33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10.33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22102</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10.33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10.33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2210201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Arial"/>
                <w:color w:val="000000"/>
                <w:sz w:val="22"/>
              </w:rPr>
            </w:pPr>
            <w:r>
              <w:rPr>
                <w:rFonts w:hint="eastAsia" w:cs="Arial"/>
                <w:color w:val="000000"/>
                <w:sz w:val="22"/>
              </w:rPr>
              <w:t>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10.33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10.33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bl>
    <w:p>
      <w:pPr>
        <w:widowControl/>
        <w:rPr>
          <w:rFonts w:cs="Times New Roman" w:asciiTheme="minorEastAsia" w:hAnsiTheme="minorEastAsia"/>
          <w:color w:val="000000"/>
          <w:kern w:val="0"/>
          <w:sz w:val="36"/>
          <w:szCs w:val="36"/>
        </w:rPr>
      </w:pPr>
    </w:p>
    <w:p>
      <w:pPr>
        <w:widowControl/>
        <w:rPr>
          <w:rFonts w:cs="Times New Roman" w:asciiTheme="minorEastAsia" w:hAnsiTheme="minorEastAsia"/>
          <w:color w:val="000000"/>
          <w:kern w:val="0"/>
          <w:sz w:val="36"/>
          <w:szCs w:val="36"/>
        </w:rPr>
      </w:pPr>
    </w:p>
    <w:p>
      <w:pPr>
        <w:widowControl/>
        <w:rPr>
          <w:rFonts w:cs="Times New Roman" w:asciiTheme="minorEastAsia" w:hAnsiTheme="minorEastAsia"/>
          <w:color w:val="000000"/>
          <w:kern w:val="0"/>
          <w:sz w:val="36"/>
          <w:szCs w:val="36"/>
        </w:rPr>
      </w:pPr>
    </w:p>
    <w:p>
      <w:pPr>
        <w:widowControl/>
        <w:rPr>
          <w:rFonts w:cs="Times New Roman" w:asciiTheme="minorEastAsia" w:hAnsiTheme="minorEastAsia"/>
          <w:color w:val="000000"/>
          <w:kern w:val="0"/>
          <w:sz w:val="36"/>
          <w:szCs w:val="36"/>
        </w:rPr>
      </w:pPr>
    </w:p>
    <w:p>
      <w:pPr>
        <w:widowControl/>
        <w:rPr>
          <w:rFonts w:cs="Times New Roman" w:asciiTheme="minorEastAsia" w:hAnsiTheme="minorEastAsia"/>
          <w:color w:val="000000"/>
          <w:kern w:val="0"/>
          <w:sz w:val="36"/>
          <w:szCs w:val="36"/>
        </w:rPr>
      </w:pPr>
    </w:p>
    <w:p>
      <w:pPr>
        <w:widowControl/>
        <w:rPr>
          <w:rFonts w:cs="Times New Roman" w:asciiTheme="minorEastAsia" w:hAnsiTheme="minorEastAsia"/>
          <w:color w:val="000000"/>
          <w:kern w:val="0"/>
          <w:sz w:val="36"/>
          <w:szCs w:val="36"/>
        </w:rPr>
      </w:pPr>
    </w:p>
    <w:p>
      <w:pPr>
        <w:widowControl/>
        <w:rPr>
          <w:rFonts w:cs="Times New Roman" w:asciiTheme="minorEastAsia" w:hAnsiTheme="minorEastAsia"/>
          <w:color w:val="000000"/>
          <w:kern w:val="0"/>
          <w:sz w:val="36"/>
          <w:szCs w:val="36"/>
        </w:rPr>
      </w:pPr>
    </w:p>
    <w:p>
      <w:pPr>
        <w:widowControl/>
        <w:rPr>
          <w:rFonts w:cs="Times New Roman" w:asciiTheme="minorEastAsia" w:hAnsiTheme="minorEastAsia"/>
          <w:color w:val="000000"/>
          <w:kern w:val="0"/>
          <w:sz w:val="36"/>
          <w:szCs w:val="36"/>
        </w:rPr>
      </w:pPr>
    </w:p>
    <w:tbl>
      <w:tblPr>
        <w:tblStyle w:val="8"/>
        <w:tblW w:w="0" w:type="auto"/>
        <w:tblInd w:w="93" w:type="dxa"/>
        <w:tblLayout w:type="autofit"/>
        <w:tblCellMar>
          <w:top w:w="0" w:type="dxa"/>
          <w:left w:w="108" w:type="dxa"/>
          <w:bottom w:w="0" w:type="dxa"/>
          <w:right w:w="108" w:type="dxa"/>
        </w:tblCellMar>
      </w:tblPr>
      <w:tblGrid>
        <w:gridCol w:w="3136"/>
        <w:gridCol w:w="222"/>
        <w:gridCol w:w="3736"/>
        <w:gridCol w:w="1523"/>
        <w:gridCol w:w="1132"/>
        <w:gridCol w:w="1132"/>
        <w:gridCol w:w="1435"/>
        <w:gridCol w:w="1043"/>
        <w:gridCol w:w="2162"/>
      </w:tblGrid>
      <w:tr>
        <w:trPr>
          <w:trHeight w:val="435" w:hRule="atLeast"/>
        </w:trPr>
        <w:tc>
          <w:tcPr>
            <w:tcW w:w="0" w:type="auto"/>
            <w:gridSpan w:val="9"/>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公开03表</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部门：</w:t>
            </w:r>
            <w:r>
              <w:rPr>
                <w:rFonts w:hint="eastAsia" w:asciiTheme="minorEastAsia" w:hAnsiTheme="minorEastAsia"/>
                <w:bCs/>
                <w:kern w:val="0"/>
                <w:sz w:val="22"/>
              </w:rPr>
              <w:t>祁阳市农村经营服务站</w:t>
            </w:r>
          </w:p>
        </w:tc>
        <w:tc>
          <w:tcPr>
            <w:tcW w:w="0" w:type="auto"/>
            <w:tcBorders>
              <w:top w:val="nil"/>
              <w:left w:val="nil"/>
              <w:bottom w:val="nil"/>
              <w:right w:val="nil"/>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本年支出合计</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基本支出</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上缴上级支出</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经营支出</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对附属单位补助支出</w:t>
            </w:r>
          </w:p>
        </w:tc>
      </w:tr>
      <w:tr>
        <w:tblPrEx>
          <w:tblCellMar>
            <w:top w:w="0" w:type="dxa"/>
            <w:left w:w="108" w:type="dxa"/>
            <w:bottom w:w="0" w:type="dxa"/>
            <w:right w:w="108" w:type="dxa"/>
          </w:tblCellMar>
        </w:tblPrEx>
        <w:trPr>
          <w:trHeight w:val="450"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r>
      <w:tr>
        <w:tblPrEx>
          <w:tblCellMar>
            <w:top w:w="0" w:type="dxa"/>
            <w:left w:w="108" w:type="dxa"/>
            <w:bottom w:w="0" w:type="dxa"/>
            <w:right w:w="108"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939.04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178.38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760.66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rPr>
              <w:t>　201</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一般公共服务支出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sz w:val="24"/>
                <w:szCs w:val="24"/>
              </w:rPr>
            </w:pPr>
            <w:r>
              <w:rPr>
                <w:rFonts w:hint="eastAsia" w:asciiTheme="minorEastAsia" w:hAnsiTheme="minorEastAsia"/>
              </w:rPr>
              <w:t>3.25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sz w:val="24"/>
                <w:szCs w:val="24"/>
              </w:rPr>
            </w:pPr>
            <w:r>
              <w:rPr>
                <w:rFonts w:hint="eastAsia" w:asciiTheme="minorEastAsia" w:hAnsiTheme="minorEastAsia"/>
              </w:rPr>
              <w:t>3.25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rPr>
              <w:t>　20199</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其他一般公共服务支出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sz w:val="24"/>
                <w:szCs w:val="24"/>
              </w:rPr>
            </w:pPr>
            <w:r>
              <w:rPr>
                <w:rFonts w:hint="eastAsia" w:asciiTheme="minorEastAsia" w:hAnsiTheme="minorEastAsia"/>
              </w:rPr>
              <w:t>3.25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sz w:val="24"/>
                <w:szCs w:val="24"/>
              </w:rPr>
            </w:pPr>
            <w:r>
              <w:rPr>
                <w:rFonts w:hint="eastAsia" w:asciiTheme="minorEastAsia" w:hAnsiTheme="minorEastAsia"/>
              </w:rPr>
              <w:t>3.25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rPr>
              <w:t>　2019999</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其他一般公共服务支出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sz w:val="24"/>
                <w:szCs w:val="24"/>
              </w:rPr>
            </w:pPr>
            <w:r>
              <w:rPr>
                <w:rFonts w:hint="eastAsia" w:asciiTheme="minorEastAsia" w:hAnsiTheme="minorEastAsia"/>
              </w:rPr>
              <w:t>3.25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sz w:val="24"/>
                <w:szCs w:val="24"/>
              </w:rPr>
            </w:pPr>
            <w:r>
              <w:rPr>
                <w:rFonts w:hint="eastAsia" w:asciiTheme="minorEastAsia" w:hAnsiTheme="minorEastAsia"/>
              </w:rPr>
              <w:t>3.25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rPr>
              <w:t>　208</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sz w:val="24"/>
                <w:szCs w:val="24"/>
              </w:rPr>
            </w:pPr>
            <w:r>
              <w:rPr>
                <w:rFonts w:hint="eastAsia" w:asciiTheme="minorEastAsia" w:hAnsiTheme="minorEastAsia"/>
              </w:rPr>
              <w:t>23.81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sz w:val="24"/>
                <w:szCs w:val="24"/>
              </w:rPr>
            </w:pPr>
            <w:r>
              <w:rPr>
                <w:rFonts w:hint="eastAsia" w:asciiTheme="minorEastAsia" w:hAnsiTheme="minorEastAsia"/>
              </w:rPr>
              <w:t>23.81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rPr>
              <w:t>　20805</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行政事业单位养老支出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sz w:val="24"/>
                <w:szCs w:val="24"/>
              </w:rPr>
            </w:pPr>
            <w:r>
              <w:rPr>
                <w:rFonts w:hint="eastAsia" w:asciiTheme="minorEastAsia" w:hAnsiTheme="minorEastAsia"/>
              </w:rPr>
              <w:t>14.31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sz w:val="24"/>
                <w:szCs w:val="24"/>
              </w:rPr>
            </w:pPr>
            <w:r>
              <w:rPr>
                <w:rFonts w:hint="eastAsia" w:asciiTheme="minorEastAsia" w:hAnsiTheme="minorEastAsia"/>
              </w:rPr>
              <w:t>14.31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rPr>
              <w:t>　2080505</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机关事业单位基本养老保险缴费支出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sz w:val="24"/>
                <w:szCs w:val="24"/>
              </w:rPr>
            </w:pPr>
            <w:r>
              <w:rPr>
                <w:rFonts w:hint="eastAsia" w:asciiTheme="minorEastAsia" w:hAnsiTheme="minorEastAsia"/>
              </w:rPr>
              <w:t>14.31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sz w:val="24"/>
                <w:szCs w:val="24"/>
              </w:rPr>
            </w:pPr>
            <w:r>
              <w:rPr>
                <w:rFonts w:hint="eastAsia" w:asciiTheme="minorEastAsia" w:hAnsiTheme="minorEastAsia"/>
              </w:rPr>
              <w:t>14.31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20808</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抚恤</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6.6</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6.6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2080801</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死亡抚恤</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6.6</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6.6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20899</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其他社会保障和就业支出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2.9</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2089999</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其他社会保障和就业支出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2.9</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210</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卫生健康支出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6.81</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6.81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21011</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行政事业单位医疗</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6.81</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6.81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2101101</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行政单位医疗</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2</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2101102</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事业单位医疗</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4.81</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4.81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213</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农林水支出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894.84</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134.18</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760.66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21301</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农业农村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374.84</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134.18</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240.66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2130101</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行政运行</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134.18</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134.18</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2130102</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一般行政管理事务</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50.66</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50.66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2130122</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农业生产发展</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70</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70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2130124</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农村合作经济</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120</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120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21307</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农村综合改革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520</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520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2130706</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对村集体经济组织的补助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520</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520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221</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住房保障支出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10.33</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10.33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rPr>
            </w:pPr>
            <w:r>
              <w:rPr>
                <w:rFonts w:hint="eastAsia" w:asciiTheme="minorEastAsia" w:hAnsiTheme="minorEastAsia"/>
              </w:rPr>
              <w:t>22102</w:t>
            </w:r>
          </w:p>
        </w:tc>
        <w:tc>
          <w:tcPr>
            <w:tcW w:w="0" w:type="auto"/>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住房改革支出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10.33</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10.33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2210201</w:t>
            </w:r>
          </w:p>
        </w:tc>
        <w:tc>
          <w:tcPr>
            <w:tcW w:w="0" w:type="auto"/>
            <w:tcBorders>
              <w:top w:val="nil"/>
              <w:left w:val="nil"/>
              <w:bottom w:val="single" w:color="auto" w:sz="4" w:space="0"/>
              <w:right w:val="single" w:color="auto" w:sz="4" w:space="0"/>
            </w:tcBorders>
            <w:shd w:val="clear" w:color="000000" w:fill="FFFFFF"/>
            <w:noWrap/>
            <w:vAlign w:val="center"/>
          </w:tcPr>
          <w:p>
            <w:pPr>
              <w:rPr>
                <w:rFonts w:cs="Arial"/>
                <w:color w:val="000000"/>
                <w:sz w:val="22"/>
              </w:rPr>
            </w:pPr>
            <w:r>
              <w:rPr>
                <w:rFonts w:hint="eastAsia" w:cs="Arial"/>
                <w:color w:val="000000"/>
                <w:sz w:val="22"/>
              </w:rPr>
              <w:t>住房公积金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10.33</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heme="minorEastAsia" w:hAnsiTheme="minorEastAsia"/>
              </w:rPr>
            </w:pPr>
            <w:r>
              <w:rPr>
                <w:rFonts w:hint="eastAsia" w:asciiTheme="minorEastAsia" w:hAnsiTheme="minorEastAsia"/>
              </w:rPr>
              <w:t>10.33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630" w:hRule="atLeast"/>
        </w:trPr>
        <w:tc>
          <w:tcPr>
            <w:tcW w:w="0" w:type="auto"/>
            <w:gridSpan w:val="9"/>
            <w:tcBorders>
              <w:top w:val="nil"/>
              <w:left w:val="nil"/>
              <w:bottom w:val="nil"/>
              <w:right w:val="nil"/>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注：本表反映部门本年度各项支出情况。</w:t>
            </w:r>
          </w:p>
        </w:tc>
      </w:tr>
    </w:tbl>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cs="宋体" w:asciiTheme="minorEastAsia" w:hAnsiTheme="minorEastAsia"/>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部门：</w:t>
            </w:r>
            <w:r>
              <w:rPr>
                <w:rFonts w:hint="eastAsia" w:asciiTheme="minorEastAsia" w:hAnsiTheme="minorEastAsia"/>
                <w:bCs/>
                <w:kern w:val="0"/>
                <w:sz w:val="22"/>
              </w:rPr>
              <w:t>祁阳市农村经营服务站</w:t>
            </w:r>
          </w:p>
        </w:tc>
        <w:tc>
          <w:tcPr>
            <w:tcW w:w="43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939.04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3.25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3.25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23.81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23.81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6.81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6.81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894.84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894.84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10.33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10.33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939.04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939.04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939.04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r>
              <w:rPr>
                <w:rFonts w:hint="eastAsia" w:cs="宋体" w:asciiTheme="minorEastAsia" w:hAnsiTheme="minorEastAsia"/>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60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61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62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64</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939.04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939.04</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939.04</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r>
              <w:rPr>
                <w:rFonts w:hint="eastAsia" w:cs="宋体" w:asciiTheme="minorEastAsia" w:hAnsiTheme="minorEastAsia"/>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kern w:val="0"/>
                <w:sz w:val="22"/>
              </w:rPr>
            </w:pPr>
            <w:r>
              <w:rPr>
                <w:rFonts w:hint="eastAsia" w:cs="宋体" w:asciiTheme="minorEastAsia" w:hAnsiTheme="minorEastAsia"/>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cs="Times New Roman" w:asciiTheme="minorEastAsia" w:hAnsiTheme="minorEastAsia"/>
          <w:kern w:val="0"/>
          <w:sz w:val="36"/>
          <w:szCs w:val="36"/>
        </w:rPr>
      </w:pPr>
    </w:p>
    <w:p>
      <w:pPr>
        <w:widowControl/>
        <w:jc w:val="center"/>
        <w:rPr>
          <w:rFonts w:cs="Times New Roman" w:asciiTheme="minorEastAsia" w:hAnsiTheme="minorEastAsia"/>
          <w:kern w:val="0"/>
          <w:sz w:val="36"/>
          <w:szCs w:val="36"/>
        </w:rPr>
      </w:pPr>
    </w:p>
    <w:p>
      <w:pPr>
        <w:widowControl/>
        <w:jc w:val="center"/>
        <w:rPr>
          <w:rFonts w:cs="Times New Roman" w:asciiTheme="minorEastAsia" w:hAnsiTheme="minorEastAsia"/>
          <w:kern w:val="0"/>
          <w:sz w:val="36"/>
          <w:szCs w:val="36"/>
        </w:rPr>
      </w:pPr>
    </w:p>
    <w:p>
      <w:pPr>
        <w:widowControl/>
        <w:jc w:val="center"/>
        <w:rPr>
          <w:rFonts w:cs="Times New Roman" w:asciiTheme="minorEastAsia" w:hAnsiTheme="minorEastAsia"/>
          <w:kern w:val="0"/>
          <w:sz w:val="36"/>
          <w:szCs w:val="36"/>
        </w:rPr>
      </w:pPr>
    </w:p>
    <w:p>
      <w:pPr>
        <w:widowControl/>
        <w:jc w:val="center"/>
        <w:rPr>
          <w:rFonts w:cs="Times New Roman" w:asciiTheme="minorEastAsia" w:hAnsiTheme="minorEastAsia"/>
          <w:kern w:val="0"/>
          <w:sz w:val="36"/>
          <w:szCs w:val="36"/>
        </w:rPr>
      </w:pPr>
    </w:p>
    <w:p>
      <w:pPr>
        <w:widowControl/>
        <w:jc w:val="center"/>
        <w:rPr>
          <w:rFonts w:cs="Times New Roman" w:asciiTheme="minorEastAsia" w:hAnsiTheme="minorEastAsia"/>
          <w:kern w:val="0"/>
          <w:sz w:val="36"/>
          <w:szCs w:val="36"/>
        </w:rPr>
      </w:pPr>
    </w:p>
    <w:p>
      <w:pPr>
        <w:widowControl/>
        <w:jc w:val="center"/>
        <w:rPr>
          <w:rFonts w:cs="Times New Roman" w:asciiTheme="minorEastAsia" w:hAnsiTheme="minorEastAsia"/>
          <w:kern w:val="0"/>
          <w:sz w:val="36"/>
          <w:szCs w:val="36"/>
        </w:rPr>
      </w:pPr>
      <w:r>
        <w:rPr>
          <w:rFonts w:cs="Times New Roman" w:asciiTheme="minorEastAsia" w:hAnsiTheme="minorEastAsia"/>
          <w:kern w:val="0"/>
          <w:sz w:val="36"/>
          <w:szCs w:val="36"/>
        </w:rPr>
        <w:t>一般公共预算财政拨款支出决算表</w:t>
      </w:r>
      <w:bookmarkEnd w:id="1"/>
    </w:p>
    <w:p>
      <w:pPr>
        <w:widowControl/>
        <w:spacing w:beforeLines="50"/>
        <w:jc w:val="left"/>
        <w:rPr>
          <w:rFonts w:cs="Times New Roman" w:asciiTheme="minorEastAsia" w:hAnsiTheme="minorEastAsia"/>
          <w:color w:val="000000"/>
          <w:kern w:val="0"/>
          <w:szCs w:val="21"/>
        </w:rPr>
      </w:pPr>
      <w:r>
        <w:rPr>
          <w:rFonts w:cs="Times New Roman" w:asciiTheme="minorEastAsia" w:hAnsiTheme="minorEastAsia"/>
          <w:color w:val="000000"/>
          <w:kern w:val="0"/>
          <w:szCs w:val="21"/>
        </w:rPr>
        <w:t>部门：</w:t>
      </w:r>
      <w:r>
        <w:rPr>
          <w:rFonts w:hint="eastAsia" w:asciiTheme="minorEastAsia" w:hAnsiTheme="minorEastAsia"/>
          <w:bCs/>
          <w:kern w:val="0"/>
          <w:sz w:val="22"/>
        </w:rPr>
        <w:t>祁阳市农村经营服务站</w:t>
      </w:r>
      <w:r>
        <w:rPr>
          <w:rFonts w:cs="Times New Roman" w:asciiTheme="minorEastAsia" w:hAnsiTheme="minorEastAsia"/>
          <w:color w:val="000000"/>
          <w:kern w:val="0"/>
          <w:szCs w:val="21"/>
        </w:rPr>
        <w:t>公开05表</w:t>
      </w:r>
    </w:p>
    <w:p>
      <w:pPr>
        <w:widowControl/>
        <w:jc w:val="left"/>
        <w:rPr>
          <w:rFonts w:cs="Times New Roman" w:asciiTheme="minorEastAsia" w:hAnsiTheme="minorEastAsia"/>
          <w:color w:val="000000"/>
          <w:kern w:val="0"/>
          <w:sz w:val="20"/>
          <w:szCs w:val="20"/>
        </w:rPr>
      </w:pPr>
      <w:r>
        <w:rPr>
          <w:rFonts w:cs="Times New Roman" w:asciiTheme="minorEastAsia" w:hAnsiTheme="minorEastAsia"/>
          <w:color w:val="000000"/>
          <w:kern w:val="0"/>
          <w:szCs w:val="21"/>
        </w:rPr>
        <w:t>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939.04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178.38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760.66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rPr>
              <w:t>　201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sz w:val="24"/>
                <w:szCs w:val="24"/>
              </w:rPr>
            </w:pPr>
            <w:r>
              <w:rPr>
                <w:rFonts w:hint="eastAsia" w:asciiTheme="minorEastAsia" w:hAnsiTheme="minorEastAsia"/>
              </w:rPr>
              <w:t>3.25　</w:t>
            </w:r>
          </w:p>
        </w:tc>
        <w:tc>
          <w:tcPr>
            <w:tcW w:w="3492"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sz w:val="24"/>
                <w:szCs w:val="24"/>
              </w:rPr>
            </w:pPr>
            <w:r>
              <w:rPr>
                <w:rFonts w:hint="eastAsia" w:asciiTheme="minorEastAsia" w:hAnsiTheme="minorEastAsia"/>
              </w:rPr>
              <w:t>3.25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rPr>
              <w:t>　20199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sz w:val="24"/>
                <w:szCs w:val="24"/>
              </w:rPr>
            </w:pPr>
            <w:r>
              <w:rPr>
                <w:rFonts w:hint="eastAsia" w:asciiTheme="minorEastAsia" w:hAnsiTheme="minorEastAsia"/>
              </w:rPr>
              <w:t>3.25　</w:t>
            </w:r>
          </w:p>
        </w:tc>
        <w:tc>
          <w:tcPr>
            <w:tcW w:w="3492"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sz w:val="24"/>
                <w:szCs w:val="24"/>
              </w:rPr>
            </w:pPr>
            <w:r>
              <w:rPr>
                <w:rFonts w:hint="eastAsia" w:asciiTheme="minorEastAsia" w:hAnsiTheme="minorEastAsia"/>
              </w:rPr>
              <w:t>3.25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rPr>
              <w:t>　2019999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sz w:val="24"/>
                <w:szCs w:val="24"/>
              </w:rPr>
            </w:pPr>
            <w:r>
              <w:rPr>
                <w:rFonts w:hint="eastAsia" w:asciiTheme="minorEastAsia" w:hAnsiTheme="minorEastAsia"/>
              </w:rPr>
              <w:t>3.25　</w:t>
            </w:r>
          </w:p>
        </w:tc>
        <w:tc>
          <w:tcPr>
            <w:tcW w:w="3492"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sz w:val="24"/>
                <w:szCs w:val="24"/>
              </w:rPr>
            </w:pPr>
            <w:r>
              <w:rPr>
                <w:rFonts w:hint="eastAsia" w:asciiTheme="minorEastAsia" w:hAnsiTheme="minorEastAsia"/>
              </w:rPr>
              <w:t>3.25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rPr>
              <w:t>　208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sz w:val="24"/>
                <w:szCs w:val="24"/>
              </w:rPr>
            </w:pPr>
            <w:r>
              <w:rPr>
                <w:rFonts w:hint="eastAsia" w:asciiTheme="minorEastAsia" w:hAnsiTheme="minorEastAsia"/>
              </w:rPr>
              <w:t>23.81　</w:t>
            </w:r>
          </w:p>
        </w:tc>
        <w:tc>
          <w:tcPr>
            <w:tcW w:w="3492"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sz w:val="24"/>
                <w:szCs w:val="24"/>
              </w:rPr>
            </w:pPr>
            <w:r>
              <w:rPr>
                <w:rFonts w:hint="eastAsia" w:asciiTheme="minorEastAsia" w:hAnsiTheme="minorEastAsia"/>
              </w:rPr>
              <w:t>23.81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rPr>
              <w:t>　20805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sz w:val="24"/>
                <w:szCs w:val="24"/>
              </w:rPr>
            </w:pPr>
            <w:r>
              <w:rPr>
                <w:rFonts w:hint="eastAsia" w:asciiTheme="minorEastAsia" w:hAnsiTheme="minorEastAsia"/>
              </w:rPr>
              <w:t>14.31　</w:t>
            </w:r>
          </w:p>
        </w:tc>
        <w:tc>
          <w:tcPr>
            <w:tcW w:w="3492"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sz w:val="24"/>
                <w:szCs w:val="24"/>
              </w:rPr>
            </w:pPr>
            <w:r>
              <w:rPr>
                <w:rFonts w:hint="eastAsia" w:asciiTheme="minorEastAsia" w:hAnsiTheme="minorEastAsia"/>
              </w:rPr>
              <w:t>14.31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rPr>
              <w:t>　2080505</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cs="宋体" w:asciiTheme="minorEastAsia" w:hAnsiTheme="minorEastAsia"/>
                <w:sz w:val="24"/>
                <w:szCs w:val="24"/>
              </w:rPr>
            </w:pPr>
            <w:r>
              <w:rPr>
                <w:rFonts w:hint="eastAsia" w:asciiTheme="minorEastAsia" w:hAnsiTheme="minorEastAsia"/>
              </w:rPr>
              <w:t>14.31　</w:t>
            </w:r>
          </w:p>
        </w:tc>
        <w:tc>
          <w:tcPr>
            <w:tcW w:w="3492" w:type="dxa"/>
            <w:tcBorders>
              <w:top w:val="nil"/>
              <w:left w:val="nil"/>
              <w:bottom w:val="single" w:color="auto" w:sz="8" w:space="0"/>
              <w:right w:val="single" w:color="auto" w:sz="4" w:space="0"/>
            </w:tcBorders>
            <w:shd w:val="clear" w:color="auto" w:fill="auto"/>
            <w:vAlign w:val="center"/>
          </w:tcPr>
          <w:p>
            <w:pPr>
              <w:jc w:val="right"/>
              <w:rPr>
                <w:rFonts w:cs="宋体" w:asciiTheme="minorEastAsia" w:hAnsiTheme="minorEastAsia"/>
                <w:sz w:val="24"/>
                <w:szCs w:val="24"/>
              </w:rPr>
            </w:pPr>
            <w:r>
              <w:rPr>
                <w:rFonts w:hint="eastAsia" w:asciiTheme="minorEastAsia" w:hAnsiTheme="minorEastAsia"/>
              </w:rPr>
              <w:t>14.31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20808</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抚恤</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6.6</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6.6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2080801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死亡抚恤</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6.6</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6.6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20899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2.9</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2.9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2089999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2.9</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2.9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210</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卫生健康支出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6.81</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6.81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21011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6.81</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6.81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2101101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行政单位医疗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2</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2101102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事业单位医疗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4.81</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4.81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213</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农林水支出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894.84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134.18</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cs="Times New Roman" w:asciiTheme="minorEastAsia" w:hAnsiTheme="minorEastAsia"/>
                <w:kern w:val="0"/>
                <w:szCs w:val="21"/>
              </w:rPr>
            </w:pPr>
            <w:r>
              <w:rPr>
                <w:rFonts w:hint="eastAsia" w:cs="Times New Roman" w:asciiTheme="minorEastAsia" w:hAnsiTheme="minorEastAsia"/>
                <w:kern w:val="0"/>
                <w:szCs w:val="21"/>
              </w:rPr>
              <w:t>760.66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21301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农业农村</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374.84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134.18</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240.66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2130101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行政运行</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134.18</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134.18</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2130102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一般行政管理事务</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50.66</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50.66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2130122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农业生产发展</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70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p>
        </w:tc>
        <w:tc>
          <w:tcPr>
            <w:tcW w:w="3000" w:type="dxa"/>
            <w:tcBorders>
              <w:top w:val="nil"/>
              <w:left w:val="nil"/>
              <w:bottom w:val="single" w:color="auto" w:sz="8" w:space="0"/>
              <w:right w:val="single" w:color="auto" w:sz="8" w:space="0"/>
            </w:tcBorders>
            <w:shd w:val="clear" w:color="auto" w:fill="auto"/>
            <w:vAlign w:val="center"/>
          </w:tcPr>
          <w:p>
            <w:pPr>
              <w:jc w:val="right"/>
              <w:rPr>
                <w:rFonts w:asciiTheme="minorEastAsia" w:hAnsiTheme="minorEastAsia"/>
              </w:rPr>
            </w:pPr>
            <w:r>
              <w:rPr>
                <w:rFonts w:hint="eastAsia" w:asciiTheme="minorEastAsia" w:hAnsiTheme="minorEastAsia"/>
              </w:rPr>
              <w:t>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2130124</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农村合作经济</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120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p>
        </w:tc>
        <w:tc>
          <w:tcPr>
            <w:tcW w:w="3000" w:type="dxa"/>
            <w:tcBorders>
              <w:top w:val="nil"/>
              <w:left w:val="nil"/>
              <w:bottom w:val="single" w:color="auto" w:sz="8" w:space="0"/>
              <w:right w:val="single" w:color="auto" w:sz="8" w:space="0"/>
            </w:tcBorders>
            <w:shd w:val="clear" w:color="auto" w:fill="auto"/>
            <w:vAlign w:val="center"/>
          </w:tcPr>
          <w:p>
            <w:pPr>
              <w:jc w:val="right"/>
              <w:rPr>
                <w:rFonts w:asciiTheme="minorEastAsia" w:hAnsiTheme="minorEastAsia"/>
              </w:rPr>
            </w:pPr>
            <w:r>
              <w:rPr>
                <w:rFonts w:hint="eastAsia" w:asciiTheme="minorEastAsia" w:hAnsiTheme="minorEastAsia"/>
              </w:rPr>
              <w:t>120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21307</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农村综合改革</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520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p>
        </w:tc>
        <w:tc>
          <w:tcPr>
            <w:tcW w:w="3000" w:type="dxa"/>
            <w:tcBorders>
              <w:top w:val="nil"/>
              <w:left w:val="nil"/>
              <w:bottom w:val="single" w:color="auto" w:sz="8" w:space="0"/>
              <w:right w:val="single" w:color="auto" w:sz="8" w:space="0"/>
            </w:tcBorders>
            <w:shd w:val="clear" w:color="auto" w:fill="auto"/>
            <w:vAlign w:val="center"/>
          </w:tcPr>
          <w:p>
            <w:pPr>
              <w:jc w:val="right"/>
              <w:rPr>
                <w:rFonts w:asciiTheme="minorEastAsia" w:hAnsiTheme="minorEastAsia"/>
              </w:rPr>
            </w:pPr>
            <w:r>
              <w:rPr>
                <w:rFonts w:hint="eastAsia" w:asciiTheme="minorEastAsia" w:hAnsiTheme="minorEastAsia"/>
              </w:rPr>
              <w:t>520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2130706</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对村集体经济组织的补助</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520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520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221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住房保障支出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10.33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10.33</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rPr>
            </w:pPr>
            <w:r>
              <w:rPr>
                <w:rFonts w:hint="eastAsia" w:asciiTheme="minorEastAsia" w:hAnsiTheme="minorEastAsia"/>
              </w:rPr>
              <w:t>22102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住房改革支出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10.33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10.33</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2210201</w:t>
            </w:r>
          </w:p>
        </w:tc>
        <w:tc>
          <w:tcPr>
            <w:tcW w:w="3527" w:type="dxa"/>
            <w:tcBorders>
              <w:top w:val="nil"/>
              <w:left w:val="nil"/>
              <w:bottom w:val="single" w:color="auto" w:sz="8" w:space="0"/>
              <w:right w:val="single" w:color="auto" w:sz="4" w:space="0"/>
            </w:tcBorders>
            <w:shd w:val="clear" w:color="auto" w:fill="auto"/>
            <w:vAlign w:val="center"/>
          </w:tcPr>
          <w:p>
            <w:pPr>
              <w:rPr>
                <w:rFonts w:cs="Arial"/>
                <w:color w:val="000000"/>
                <w:sz w:val="22"/>
              </w:rPr>
            </w:pPr>
            <w:r>
              <w:rPr>
                <w:rFonts w:hint="eastAsia" w:cs="Arial"/>
                <w:color w:val="000000"/>
                <w:sz w:val="22"/>
              </w:rPr>
              <w:t>住房公积金</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10.33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rPr>
            </w:pPr>
            <w:r>
              <w:rPr>
                <w:rFonts w:hint="eastAsia" w:asciiTheme="minorEastAsia" w:hAnsiTheme="minorEastAsia"/>
              </w:rPr>
              <w:t>10.33</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Times New Roman" w:asciiTheme="minorEastAsia" w:hAnsiTheme="minorEastAsia"/>
                <w:kern w:val="0"/>
                <w:szCs w:val="21"/>
              </w:rPr>
            </w:pP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Times New Roman" w:asciiTheme="minorEastAsia" w:hAnsiTheme="minorEastAsia"/>
                <w:kern w:val="0"/>
                <w:szCs w:val="21"/>
              </w:rPr>
            </w:pP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Times New Roman" w:asciiTheme="minorEastAsia" w:hAnsiTheme="minorEastAsia"/>
                <w:kern w:val="0"/>
                <w:szCs w:val="21"/>
              </w:rPr>
            </w:pP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Times New Roman" w:asciiTheme="minorEastAsia" w:hAnsiTheme="minorEastAsia"/>
                <w:kern w:val="0"/>
                <w:szCs w:val="21"/>
              </w:rPr>
            </w:pP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Times New Roman" w:asciiTheme="minorEastAsia" w:hAnsiTheme="minorEastAsia"/>
                <w:kern w:val="0"/>
                <w:szCs w:val="21"/>
              </w:rPr>
            </w:pP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Times New Roman" w:asciiTheme="minorEastAsia" w:hAnsiTheme="minorEastAsia"/>
                <w:kern w:val="0"/>
                <w:szCs w:val="21"/>
              </w:rPr>
            </w:pP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注：本表反映部门本年度一般公共预算财政拨款支出情况。</w:t>
            </w:r>
          </w:p>
        </w:tc>
      </w:tr>
    </w:tbl>
    <w:p>
      <w:pPr>
        <w:widowControl/>
        <w:jc w:val="left"/>
        <w:rPr>
          <w:rFonts w:cs="Times New Roman" w:asciiTheme="minorEastAsia" w:hAnsiTheme="minorEastAsia"/>
          <w:bCs/>
          <w:kern w:val="0"/>
          <w:szCs w:val="21"/>
        </w:rPr>
      </w:pPr>
    </w:p>
    <w:p>
      <w:pPr>
        <w:widowControl/>
        <w:jc w:val="left"/>
        <w:rPr>
          <w:rFonts w:cs="Times New Roman" w:asciiTheme="minorEastAsia" w:hAnsiTheme="minorEastAsia"/>
          <w:bCs/>
          <w:kern w:val="0"/>
          <w:szCs w:val="21"/>
        </w:rPr>
      </w:pPr>
      <w:r>
        <w:rPr>
          <w:rFonts w:cs="Times New Roman" w:asciiTheme="minorEastAsia" w:hAnsiTheme="minorEastAsia"/>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1315"/>
        <w:gridCol w:w="2337"/>
        <w:gridCol w:w="1418"/>
        <w:gridCol w:w="1275"/>
        <w:gridCol w:w="2835"/>
        <w:gridCol w:w="709"/>
        <w:gridCol w:w="1015"/>
        <w:gridCol w:w="2812"/>
        <w:gridCol w:w="1898"/>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Cs w:val="32"/>
              </w:rPr>
            </w:pPr>
            <w:bookmarkStart w:id="2" w:name="RANGE!A1:I34"/>
            <w:r>
              <w:rPr>
                <w:rFonts w:hint="eastAsia" w:cs="宋体" w:asciiTheme="minorEastAsia" w:hAnsiTheme="minorEastAsia"/>
                <w:color w:val="000000"/>
                <w:kern w:val="0"/>
                <w:szCs w:val="32"/>
              </w:rPr>
              <w:t>一般公共预算财政拨款基本支出决算明细表</w:t>
            </w:r>
            <w:bookmarkEnd w:id="2"/>
          </w:p>
          <w:p>
            <w:pPr>
              <w:widowControl/>
              <w:wordWrap w:val="0"/>
              <w:jc w:val="right"/>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公开06表</w:t>
            </w:r>
          </w:p>
          <w:p>
            <w:pPr>
              <w:widowControl/>
              <w:ind w:right="420"/>
              <w:rPr>
                <w:rFonts w:cs="宋体" w:asciiTheme="minorEastAsia" w:hAnsiTheme="minorEastAsia"/>
                <w:color w:val="000000"/>
                <w:kern w:val="0"/>
                <w:szCs w:val="32"/>
              </w:rPr>
            </w:pPr>
            <w:r>
              <w:rPr>
                <w:rFonts w:hint="eastAsia" w:cs="Times New Roman" w:asciiTheme="minorEastAsia" w:hAnsiTheme="minorEastAsia"/>
                <w:color w:val="000000"/>
                <w:kern w:val="0"/>
                <w:szCs w:val="21"/>
              </w:rPr>
              <w:t>部门：祁阳市农村经营服务站单位：万元</w:t>
            </w:r>
          </w:p>
        </w:tc>
      </w:tr>
      <w:tr>
        <w:tblPrEx>
          <w:tblCellMar>
            <w:top w:w="0" w:type="dxa"/>
            <w:left w:w="108" w:type="dxa"/>
            <w:bottom w:w="0" w:type="dxa"/>
            <w:right w:w="108" w:type="dxa"/>
          </w:tblCellMar>
        </w:tblPrEx>
        <w:trPr>
          <w:trHeight w:val="113" w:hRule="atLeast"/>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 w:val="20"/>
                <w:szCs w:val="20"/>
              </w:rPr>
              <w:t>经济分类科目编码</w:t>
            </w:r>
          </w:p>
        </w:tc>
        <w:tc>
          <w:tcPr>
            <w:tcW w:w="23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科目名称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决算数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经济分类科目编码</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科目名称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决算数</w:t>
            </w:r>
          </w:p>
        </w:tc>
        <w:tc>
          <w:tcPr>
            <w:tcW w:w="10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经济分类科目编码</w:t>
            </w:r>
          </w:p>
        </w:tc>
        <w:tc>
          <w:tcPr>
            <w:tcW w:w="2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科目名称</w:t>
            </w:r>
          </w:p>
        </w:tc>
        <w:tc>
          <w:tcPr>
            <w:tcW w:w="1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决算数</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工资福利支出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156.44</w:t>
            </w:r>
          </w:p>
          <w:p>
            <w:pPr>
              <w:widowControl/>
              <w:jc w:val="left"/>
              <w:rPr>
                <w:rFonts w:cs="宋体" w:asciiTheme="minorEastAsia" w:hAnsiTheme="minorEastAsia"/>
                <w:color w:val="000000"/>
                <w:kern w:val="0"/>
                <w:szCs w:val="20"/>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商品和服务支出</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7.457.45</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307</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债务利息及费用支出</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30101</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基本工资</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60.14</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30201</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办公费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0.66</w:t>
            </w:r>
          </w:p>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0.66</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30701</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国内债务付息</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30102</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津贴补贴</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36.85</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30202</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印刷费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2.29</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30702</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国外债务付息</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30103</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奖金</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25.07</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30203</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咨询费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资本性支出</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30106</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伙食补助费</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30204</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手续费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31001</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房屋建筑物购建</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30107</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绩效工资</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30205</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水费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1.41</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31002</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办公设备购置</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30108</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机关事业单位基本养老保险缴费</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14.31</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30206</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电费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31003</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专用设备购置</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30109</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职业年金缴费</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30207</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邮电费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31005</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基础设施建设</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30110</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职工基本医疗保险缴费</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6.81</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30208</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取暖费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31006</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大型修缮</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30111</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公务员医疗补助缴费</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30209</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物业管理费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31007</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信息网络及软件购置更新</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30112</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其他社会保障缴费</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2.94</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30211</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差旅费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1.48</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31008</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物资储备</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30113</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住房公积金</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10.33</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30212</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因公出国（境）费用</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31009</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土地补偿</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30114</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医疗费</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30213</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维修（护）费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31010</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安置补助</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30199</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其他工资福利支出</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30214</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租赁费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31011</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地上附着物和青苗补偿</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对个人和家庭的补助</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14.48</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30215</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会议费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31012</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拆迁补偿</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30301</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离休费</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30216</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培训费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31013</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公务用车购置</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30302</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退休费</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30217</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公务接待费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31019</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其他交通工具购置</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30303</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退职（役）费</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30218</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专用材料费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31021</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文物和陈列品购置</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30304</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抚恤金</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14.48</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30224</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被装购置费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31022</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无形资产购置</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30305</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生活补助</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30225</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专用燃料费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31099</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其他资本性支出</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30306</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救济费</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30226</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劳务费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其他支出</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30307</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医疗费补助</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30227</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委托业务费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39906</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赠与</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30308</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助学金</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30228</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工会经费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39907</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国家赔偿费用支出</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30309</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奖励金</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30229</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福利费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0.19</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39908</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对民间非营利组织和群众性自治组织补贴</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30310</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个人农业生产补贴</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30231</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公务用车运行维护费</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39999</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其他支出</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30311</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代缴社会保险费</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30239</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其他交通费用</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0.56</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30399</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其他对个人和家庭的补助</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30240</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税金及附加费用</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233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30299</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其他商品和服务支出</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0.87</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281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r>
      <w:tr>
        <w:tblPrEx>
          <w:tblCellMar>
            <w:top w:w="0" w:type="dxa"/>
            <w:left w:w="108" w:type="dxa"/>
            <w:bottom w:w="0" w:type="dxa"/>
            <w:right w:w="108" w:type="dxa"/>
          </w:tblCellMar>
        </w:tblPrEx>
        <w:trPr>
          <w:trHeight w:val="284" w:hRule="exac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人员经费合计</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170.93</w:t>
            </w:r>
          </w:p>
        </w:tc>
        <w:tc>
          <w:tcPr>
            <w:tcW w:w="864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公用经费合计</w:t>
            </w: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7.45</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cs="宋体" w:asciiTheme="minorEastAsia" w:hAnsiTheme="minorEastAsia"/>
                <w:color w:val="000000"/>
                <w:kern w:val="0"/>
                <w:szCs w:val="24"/>
              </w:rPr>
            </w:pPr>
            <w:r>
              <w:rPr>
                <w:rFonts w:hint="eastAsia" w:cs="宋体" w:asciiTheme="minorEastAsia" w:hAnsiTheme="minorEastAsia"/>
                <w:color w:val="000000"/>
                <w:kern w:val="0"/>
                <w:szCs w:val="24"/>
              </w:rPr>
              <w:t>注：本表反映部门本年度一般公共预算财政拨款基本支出明细情况。</w:t>
            </w:r>
          </w:p>
        </w:tc>
      </w:tr>
    </w:tbl>
    <w:p>
      <w:pPr>
        <w:widowControl/>
        <w:jc w:val="center"/>
        <w:rPr>
          <w:rFonts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t>一般公共预算财政拨款“三公”经费支出决算表</w:t>
      </w:r>
    </w:p>
    <w:p>
      <w:pPr>
        <w:widowControl/>
        <w:ind w:left="13860" w:hanging="13860" w:hangingChars="6600"/>
        <w:jc w:val="left"/>
        <w:rPr>
          <w:rFonts w:cs="Times New Roman" w:asciiTheme="minorEastAsia" w:hAnsiTheme="minorEastAsia"/>
          <w:color w:val="000000"/>
          <w:kern w:val="0"/>
          <w:szCs w:val="21"/>
        </w:rPr>
      </w:pPr>
      <w:r>
        <w:rPr>
          <w:rFonts w:cs="Times New Roman" w:asciiTheme="minorEastAsia" w:hAnsiTheme="minorEastAsia"/>
          <w:color w:val="000000"/>
          <w:kern w:val="0"/>
          <w:szCs w:val="21"/>
        </w:rPr>
        <w:t>部门：</w:t>
      </w:r>
      <w:r>
        <w:rPr>
          <w:rFonts w:hint="eastAsia" w:cs="Times New Roman" w:asciiTheme="minorEastAsia" w:hAnsiTheme="minorEastAsia"/>
          <w:color w:val="000000"/>
          <w:kern w:val="0"/>
          <w:szCs w:val="21"/>
        </w:rPr>
        <w:t>祁阳市农村经营服务站</w:t>
      </w:r>
      <w:r>
        <w:rPr>
          <w:rFonts w:cs="Times New Roman" w:asciiTheme="minorEastAsia" w:hAnsiTheme="minorEastAsia"/>
          <w:color w:val="000000"/>
          <w:kern w:val="0"/>
          <w:szCs w:val="21"/>
        </w:rPr>
        <w:t>公开0</w:t>
      </w:r>
      <w:r>
        <w:rPr>
          <w:rFonts w:hint="eastAsia" w:cs="Times New Roman" w:asciiTheme="minorEastAsia" w:hAnsiTheme="minorEastAsia"/>
          <w:color w:val="000000"/>
          <w:kern w:val="0"/>
          <w:szCs w:val="21"/>
        </w:rPr>
        <w:t>7</w:t>
      </w:r>
      <w:r>
        <w:rPr>
          <w:rFonts w:cs="Times New Roman" w:asciiTheme="minorEastAsia" w:hAnsiTheme="minorEastAsia"/>
          <w:color w:val="000000"/>
          <w:kern w:val="0"/>
          <w:szCs w:val="21"/>
        </w:rPr>
        <w:t>表</w:t>
      </w:r>
    </w:p>
    <w:p>
      <w:pPr>
        <w:widowControl/>
        <w:ind w:right="420"/>
        <w:jc w:val="right"/>
        <w:rPr>
          <w:rFonts w:cs="Times New Roman" w:asciiTheme="minorEastAsia" w:hAnsiTheme="minorEastAsia"/>
          <w:color w:val="000000"/>
          <w:kern w:val="0"/>
          <w:szCs w:val="21"/>
        </w:rPr>
      </w:pPr>
      <w:r>
        <w:rPr>
          <w:rFonts w:cs="Times New Roman" w:asciiTheme="minorEastAsia" w:hAnsiTheme="minorEastAsia"/>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cs="Times New Roman" w:asciiTheme="minorEastAsia" w:hAnsiTheme="minorEastAsia" w:eastAsiaTheme="minorEastAsia"/>
                <w:kern w:val="0"/>
                <w:szCs w:val="21"/>
                <w:lang w:eastAsia="zh-CN"/>
              </w:rPr>
            </w:pPr>
            <w:r>
              <w:rPr>
                <w:rFonts w:cs="Times New Roman" w:asciiTheme="minorEastAsia" w:hAnsiTheme="minorEastAsia"/>
                <w:kern w:val="0"/>
                <w:szCs w:val="21"/>
              </w:rPr>
              <w:t>公务用车</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cs="Times New Roman" w:asciiTheme="minorEastAsia" w:hAnsiTheme="minorEastAsia" w:eastAsiaTheme="minorEastAsia"/>
                <w:kern w:val="0"/>
                <w:szCs w:val="21"/>
                <w:lang w:eastAsia="zh-CN"/>
              </w:rPr>
            </w:pPr>
            <w:r>
              <w:rPr>
                <w:rFonts w:cs="Times New Roman" w:asciiTheme="minorEastAsia" w:hAnsiTheme="minorEastAsia"/>
                <w:kern w:val="0"/>
                <w:szCs w:val="21"/>
              </w:rPr>
              <w:t>公务用车</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cs="Times New Roman" w:asciiTheme="minorEastAsia" w:hAnsiTheme="minorEastAsia" w:eastAsiaTheme="minorEastAsia"/>
                <w:kern w:val="0"/>
                <w:szCs w:val="21"/>
                <w:lang w:eastAsia="zh-CN"/>
              </w:rPr>
            </w:pPr>
            <w:r>
              <w:rPr>
                <w:rFonts w:cs="Times New Roman" w:asciiTheme="minorEastAsia" w:hAnsiTheme="minorEastAsia"/>
                <w:kern w:val="0"/>
                <w:szCs w:val="21"/>
              </w:rPr>
              <w:t>公务用车</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cs="Times New Roman" w:asciiTheme="minorEastAsia" w:hAnsiTheme="minorEastAsia" w:eastAsiaTheme="minorEastAsia"/>
                <w:kern w:val="0"/>
                <w:szCs w:val="21"/>
                <w:lang w:eastAsia="zh-CN"/>
              </w:rPr>
            </w:pPr>
            <w:r>
              <w:rPr>
                <w:rFonts w:cs="Times New Roman" w:asciiTheme="minorEastAsia" w:hAnsiTheme="minorEastAsia"/>
                <w:kern w:val="0"/>
                <w:szCs w:val="21"/>
              </w:rPr>
              <w:t>公务用车</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r>
              <w:rPr>
                <w:rFonts w:hint="eastAsia" w:cs="Times New Roman" w:asciiTheme="minorEastAsia" w:hAnsiTheme="minorEastAsia"/>
                <w:kern w:val="0"/>
                <w:szCs w:val="21"/>
              </w:rPr>
              <w:t>4.8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r>
              <w:rPr>
                <w:rFonts w:hint="eastAsia" w:cs="Times New Roman" w:asciiTheme="minorEastAsia" w:hAnsiTheme="minorEastAsia"/>
                <w:kern w:val="0"/>
                <w:szCs w:val="21"/>
              </w:rPr>
              <w:t>4.8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r>
              <w:rPr>
                <w:rFonts w:hint="eastAsia" w:cs="Times New Roman" w:asciiTheme="minorEastAsia" w:hAnsiTheme="minorEastAsia"/>
                <w:kern w:val="0"/>
                <w:szCs w:val="21"/>
              </w:rPr>
              <w:t>2.23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r>
              <w:rPr>
                <w:rFonts w:hint="eastAsia" w:cs="Times New Roman" w:asciiTheme="minorEastAsia" w:hAnsiTheme="minorEastAsia"/>
                <w:kern w:val="0"/>
                <w:szCs w:val="21"/>
              </w:rPr>
              <w:t>2.23</w:t>
            </w:r>
          </w:p>
        </w:tc>
      </w:tr>
    </w:tbl>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cs="宋体" w:asciiTheme="minorEastAsia" w:hAnsiTheme="minorEastAsia"/>
          <w:kern w:val="0"/>
          <w:sz w:val="24"/>
          <w:szCs w:val="24"/>
        </w:rPr>
        <w:br w:type="page"/>
      </w:r>
    </w:p>
    <w:p>
      <w:pPr>
        <w:autoSpaceDE w:val="0"/>
        <w:autoSpaceDN w:val="0"/>
        <w:adjustRightInd w:val="0"/>
        <w:ind w:left="315" w:leftChars="150"/>
        <w:jc w:val="left"/>
        <w:rPr>
          <w:rFonts w:cs="宋体" w:asciiTheme="minorEastAsia" w:hAnsiTheme="minorEastAsia"/>
          <w:kern w:val="0"/>
          <w:sz w:val="24"/>
          <w:szCs w:val="24"/>
        </w:rPr>
      </w:pPr>
    </w:p>
    <w:p>
      <w:pPr>
        <w:widowControl/>
        <w:jc w:val="center"/>
        <w:rPr>
          <w:rFonts w:cs="Times New Roman" w:asciiTheme="minorEastAsia" w:hAnsiTheme="minorEastAsia"/>
          <w:kern w:val="0"/>
          <w:sz w:val="36"/>
          <w:szCs w:val="36"/>
        </w:rPr>
      </w:pPr>
      <w:r>
        <w:rPr>
          <w:rFonts w:cs="Times New Roman" w:asciiTheme="minorEastAsia" w:hAnsiTheme="minorEastAsia"/>
          <w:kern w:val="0"/>
          <w:sz w:val="36"/>
          <w:szCs w:val="36"/>
        </w:rPr>
        <w:t>政府性基金预算财政拨款收入支出决算表</w:t>
      </w:r>
    </w:p>
    <w:p>
      <w:pPr>
        <w:widowControl/>
        <w:wordWrap w:val="0"/>
        <w:jc w:val="right"/>
        <w:rPr>
          <w:rFonts w:hint="eastAsia" w:cs="Times New Roman" w:asciiTheme="minorEastAsia" w:hAnsiTheme="minorEastAsia" w:eastAsiaTheme="minorEastAsia"/>
          <w:color w:val="000000"/>
          <w:kern w:val="0"/>
          <w:szCs w:val="21"/>
          <w:lang w:eastAsia="zh-CN"/>
        </w:rPr>
      </w:pPr>
      <w:r>
        <w:rPr>
          <w:rFonts w:cs="Times New Roman" w:asciiTheme="minorEastAsia" w:hAnsiTheme="minorEastAsia"/>
          <w:color w:val="000000"/>
          <w:kern w:val="0"/>
          <w:szCs w:val="21"/>
        </w:rPr>
        <w:t>部门：</w:t>
      </w:r>
      <w:r>
        <w:rPr>
          <w:rFonts w:hint="eastAsia" w:cs="Times New Roman" w:asciiTheme="minorEastAsia" w:hAnsiTheme="minorEastAsia"/>
          <w:color w:val="000000"/>
          <w:kern w:val="0"/>
          <w:szCs w:val="21"/>
        </w:rPr>
        <w:t>祁阳市农村经营服务站</w:t>
      </w:r>
    </w:p>
    <w:p>
      <w:pPr>
        <w:widowControl/>
        <w:jc w:val="right"/>
        <w:rPr>
          <w:rFonts w:cs="Times New Roman" w:asciiTheme="minorEastAsia" w:hAnsiTheme="minorEastAsia"/>
          <w:color w:val="000000"/>
          <w:kern w:val="0"/>
          <w:szCs w:val="21"/>
        </w:rPr>
      </w:pPr>
      <w:r>
        <w:rPr>
          <w:rFonts w:cs="Times New Roman" w:asciiTheme="minorEastAsia" w:hAnsiTheme="minorEastAsia"/>
          <w:color w:val="000000"/>
          <w:kern w:val="0"/>
          <w:szCs w:val="21"/>
        </w:rPr>
        <w:t>公开08表</w:t>
      </w:r>
    </w:p>
    <w:p>
      <w:pPr>
        <w:widowControl/>
        <w:jc w:val="right"/>
        <w:rPr>
          <w:rFonts w:cs="Times New Roman" w:asciiTheme="minorEastAsia" w:hAnsiTheme="minorEastAsia"/>
          <w:color w:val="000000"/>
          <w:kern w:val="0"/>
          <w:szCs w:val="21"/>
        </w:rPr>
      </w:pPr>
      <w:r>
        <w:rPr>
          <w:rFonts w:cs="Times New Roman" w:asciiTheme="minorEastAsia" w:hAnsiTheme="minorEastAsia"/>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6000" w:type="dxa"/>
            <w:gridSpan w:val="3"/>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32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2000" w:type="dxa"/>
            <w:vMerge w:val="continue"/>
            <w:vAlign w:val="center"/>
          </w:tcPr>
          <w:p>
            <w:pPr>
              <w:widowControl/>
              <w:jc w:val="left"/>
              <w:rPr>
                <w:rFonts w:cs="Times New Roman" w:asciiTheme="minorEastAsia" w:hAnsiTheme="minorEastAsia"/>
                <w:b/>
                <w:kern w:val="0"/>
                <w:szCs w:val="21"/>
              </w:rPr>
            </w:pPr>
          </w:p>
        </w:tc>
        <w:tc>
          <w:tcPr>
            <w:tcW w:w="2000" w:type="dxa"/>
            <w:vMerge w:val="continue"/>
            <w:vAlign w:val="center"/>
          </w:tcPr>
          <w:p>
            <w:pPr>
              <w:widowControl/>
              <w:jc w:val="left"/>
              <w:rPr>
                <w:rFonts w:cs="Times New Roman" w:asciiTheme="minorEastAsia" w:hAnsiTheme="minorEastAsia"/>
                <w:b/>
                <w:kern w:val="0"/>
                <w:szCs w:val="21"/>
              </w:rPr>
            </w:pP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2000" w:type="dxa"/>
            <w:vMerge w:val="restart"/>
            <w:shd w:val="clear" w:color="auto" w:fill="auto"/>
            <w:vAlign w:val="center"/>
          </w:tcPr>
          <w:p>
            <w:pPr>
              <w:widowControl/>
              <w:jc w:val="center"/>
              <w:rPr>
                <w:rFonts w:hint="eastAsia" w:cs="Times New Roman" w:asciiTheme="minorEastAsia" w:hAnsiTheme="minorEastAsia" w:eastAsiaTheme="minorEastAsia"/>
                <w:b/>
                <w:kern w:val="0"/>
                <w:szCs w:val="21"/>
                <w:lang w:eastAsia="zh-CN"/>
              </w:rPr>
            </w:pPr>
            <w:r>
              <w:rPr>
                <w:rFonts w:cs="Times New Roman" w:asciiTheme="minorEastAsia" w:hAnsiTheme="minorEastAsia"/>
                <w:b/>
                <w:kern w:val="0"/>
                <w:szCs w:val="21"/>
              </w:rPr>
              <w:t>基本支出</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2000" w:type="dxa"/>
            <w:vMerge w:val="continue"/>
            <w:vAlign w:val="center"/>
          </w:tcPr>
          <w:p>
            <w:pPr>
              <w:widowControl/>
              <w:jc w:val="left"/>
              <w:rPr>
                <w:rFonts w:cs="Times New Roman" w:asciiTheme="minorEastAsia" w:hAnsiTheme="minorEastAsia"/>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cs="Times New Roman" w:asciiTheme="minorEastAsia" w:hAnsiTheme="minorEastAsia"/>
                <w:kern w:val="0"/>
                <w:szCs w:val="21"/>
              </w:rPr>
            </w:pPr>
          </w:p>
        </w:tc>
        <w:tc>
          <w:tcPr>
            <w:tcW w:w="132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cs="Times New Roman" w:asciiTheme="minorEastAsia" w:hAnsiTheme="minorEastAsia"/>
                <w:kern w:val="0"/>
                <w:szCs w:val="21"/>
              </w:rPr>
            </w:pPr>
          </w:p>
        </w:tc>
        <w:tc>
          <w:tcPr>
            <w:tcW w:w="132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2000" w:type="dxa"/>
            <w:shd w:val="clear" w:color="auto" w:fill="auto"/>
            <w:vAlign w:val="center"/>
          </w:tcPr>
          <w:p>
            <w:pPr>
              <w:widowControl/>
              <w:jc w:val="center"/>
              <w:rPr>
                <w:rFonts w:hint="eastAsia" w:cs="Times New Roman" w:asciiTheme="minorEastAsia" w:hAnsiTheme="minorEastAsia" w:eastAsiaTheme="minorEastAsia"/>
                <w:kern w:val="0"/>
                <w:szCs w:val="21"/>
                <w:lang w:val="en-US" w:eastAsia="zh-CN"/>
              </w:rPr>
            </w:pPr>
            <w:r>
              <w:rPr>
                <w:rFonts w:cs="Times New Roman" w:asciiTheme="minorEastAsia" w:hAnsiTheme="minorEastAsia"/>
                <w:kern w:val="0"/>
                <w:szCs w:val="21"/>
              </w:rPr>
              <w:t>　</w:t>
            </w:r>
            <w:r>
              <w:rPr>
                <w:rFonts w:hint="eastAsia" w:cs="Times New Roman" w:asciiTheme="minorEastAsia" w:hAnsiTheme="minorEastAsia"/>
                <w:kern w:val="0"/>
                <w:szCs w:val="21"/>
                <w:lang w:val="en-US" w:eastAsia="zh-CN"/>
              </w:rPr>
              <w:t>0</w:t>
            </w:r>
          </w:p>
        </w:tc>
        <w:tc>
          <w:tcPr>
            <w:tcW w:w="2000" w:type="dxa"/>
            <w:shd w:val="clear" w:color="auto" w:fill="auto"/>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lang w:val="en-US" w:eastAsia="zh-CN"/>
              </w:rPr>
              <w:t>0</w:t>
            </w:r>
            <w:r>
              <w:rPr>
                <w:rFonts w:cs="Times New Roman" w:asciiTheme="minorEastAsia" w:hAnsiTheme="minorEastAsia"/>
                <w:kern w:val="0"/>
                <w:szCs w:val="21"/>
              </w:rPr>
              <w:t>　</w:t>
            </w:r>
          </w:p>
        </w:tc>
        <w:tc>
          <w:tcPr>
            <w:tcW w:w="2000" w:type="dxa"/>
            <w:shd w:val="clear" w:color="auto" w:fill="auto"/>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lang w:val="en-US" w:eastAsia="zh-CN"/>
              </w:rPr>
              <w:t>0</w:t>
            </w:r>
            <w:r>
              <w:rPr>
                <w:rFonts w:cs="Times New Roman" w:asciiTheme="minorEastAsia" w:hAnsiTheme="minorEastAsia"/>
                <w:kern w:val="0"/>
                <w:szCs w:val="21"/>
              </w:rPr>
              <w:t>　</w:t>
            </w:r>
          </w:p>
        </w:tc>
        <w:tc>
          <w:tcPr>
            <w:tcW w:w="2000" w:type="dxa"/>
            <w:shd w:val="clear" w:color="auto" w:fill="auto"/>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lang w:val="en-US" w:eastAsia="zh-CN"/>
              </w:rPr>
              <w:t>0</w:t>
            </w:r>
            <w:r>
              <w:rPr>
                <w:rFonts w:cs="Times New Roman" w:asciiTheme="minorEastAsia" w:hAnsiTheme="minorEastAsia"/>
                <w:kern w:val="0"/>
                <w:szCs w:val="21"/>
              </w:rPr>
              <w:t>　</w:t>
            </w:r>
          </w:p>
        </w:tc>
        <w:tc>
          <w:tcPr>
            <w:tcW w:w="2000" w:type="dxa"/>
            <w:shd w:val="clear" w:color="auto" w:fill="auto"/>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lang w:val="en-US" w:eastAsia="zh-CN"/>
              </w:rPr>
              <w:t>0</w:t>
            </w:r>
            <w:r>
              <w:rPr>
                <w:rFonts w:cs="Times New Roman" w:asciiTheme="minorEastAsia" w:hAnsiTheme="minorEastAsia"/>
                <w:kern w:val="0"/>
                <w:szCs w:val="21"/>
              </w:rPr>
              <w:t>　</w:t>
            </w:r>
          </w:p>
        </w:tc>
        <w:tc>
          <w:tcPr>
            <w:tcW w:w="2000" w:type="dxa"/>
            <w:shd w:val="clear" w:color="auto" w:fill="auto"/>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lang w:val="en-US" w:eastAsia="zh-CN"/>
              </w:rPr>
              <w:t>0</w:t>
            </w: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bl>
    <w:p>
      <w:pPr>
        <w:widowControl/>
        <w:jc w:val="left"/>
        <w:rPr>
          <w:rFonts w:cs="Times New Roman" w:asciiTheme="minorEastAsia" w:hAnsiTheme="minorEastAsia"/>
          <w:kern w:val="0"/>
          <w:szCs w:val="21"/>
        </w:rPr>
      </w:pPr>
      <w:r>
        <w:rPr>
          <w:rFonts w:cs="Times New Roman" w:asciiTheme="minorEastAsia" w:hAnsiTheme="minorEastAsia"/>
          <w:kern w:val="0"/>
          <w:szCs w:val="21"/>
        </w:rPr>
        <w:t>注：本表反映部门本年度政府性基金预算财政拨款收入、支出及结转和结余情况</w:t>
      </w:r>
    </w:p>
    <w:p>
      <w:pPr>
        <w:widowControl/>
        <w:jc w:val="left"/>
        <w:rPr>
          <w:rFonts w:asciiTheme="minorEastAsia" w:hAnsiTheme="minorEastAsia"/>
          <w:szCs w:val="21"/>
        </w:rPr>
      </w:pPr>
      <w:r>
        <w:rPr>
          <w:rFonts w:hint="eastAsia" w:asciiTheme="minorEastAsia" w:hAnsiTheme="minorEastAsia"/>
          <w:szCs w:val="21"/>
          <w:lang w:val="en-US" w:eastAsia="zh-CN"/>
        </w:rPr>
        <w:t>说明：本部门本年度无政府性基金预算财政拨款收支。</w:t>
      </w:r>
      <w:r>
        <w:rPr>
          <w:rFonts w:asciiTheme="minorEastAsia" w:hAnsiTheme="minorEastAsia"/>
          <w:szCs w:val="21"/>
        </w:rPr>
        <w:br w:type="page"/>
      </w:r>
    </w:p>
    <w:tbl>
      <w:tblPr>
        <w:tblStyle w:val="8"/>
        <w:tblW w:w="5000" w:type="pct"/>
        <w:tblInd w:w="0" w:type="dxa"/>
        <w:tblLayout w:type="autofit"/>
        <w:tblCellMar>
          <w:top w:w="0" w:type="dxa"/>
          <w:left w:w="108" w:type="dxa"/>
          <w:bottom w:w="0" w:type="dxa"/>
          <w:right w:w="108" w:type="dxa"/>
        </w:tblCellMar>
      </w:tblPr>
      <w:tblGrid>
        <w:gridCol w:w="6152"/>
        <w:gridCol w:w="468"/>
        <w:gridCol w:w="2480"/>
        <w:gridCol w:w="977"/>
        <w:gridCol w:w="490"/>
        <w:gridCol w:w="2480"/>
        <w:gridCol w:w="2567"/>
      </w:tblGrid>
      <w:tr>
        <w:tblPrEx>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000000" w:fill="FFFFFF"/>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970" w:type="pct"/>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50" w:type="pct"/>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794" w:type="pct"/>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313" w:type="pct"/>
            <w:tcBorders>
              <w:top w:val="nil"/>
              <w:left w:val="nil"/>
              <w:bottom w:val="nil"/>
              <w:right w:val="nil"/>
            </w:tcBorders>
            <w:shd w:val="clear" w:color="000000" w:fill="FFFFFF"/>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951" w:type="pct"/>
            <w:gridSpan w:val="2"/>
            <w:tcBorders>
              <w:top w:val="nil"/>
              <w:left w:val="nil"/>
              <w:bottom w:val="nil"/>
              <w:right w:val="nil"/>
            </w:tcBorders>
            <w:shd w:val="clear" w:color="000000" w:fill="FFFFFF"/>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821"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970" w:type="pct"/>
            <w:tcBorders>
              <w:top w:val="nil"/>
              <w:left w:val="nil"/>
              <w:bottom w:val="nil"/>
              <w:right w:val="nil"/>
            </w:tcBorders>
            <w:shd w:val="clear" w:color="000000" w:fill="FFFFFF"/>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部门：</w:t>
            </w:r>
            <w:r>
              <w:rPr>
                <w:rFonts w:hint="eastAsia" w:cs="Times New Roman" w:asciiTheme="minorEastAsia" w:hAnsiTheme="minorEastAsia"/>
                <w:color w:val="000000"/>
                <w:kern w:val="0"/>
                <w:szCs w:val="21"/>
              </w:rPr>
              <w:t>祁阳市农村经营服务站</w:t>
            </w:r>
          </w:p>
        </w:tc>
        <w:tc>
          <w:tcPr>
            <w:tcW w:w="150" w:type="pct"/>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794" w:type="pct"/>
            <w:tcBorders>
              <w:top w:val="nil"/>
              <w:left w:val="nil"/>
              <w:bottom w:val="nil"/>
              <w:right w:val="nil"/>
            </w:tcBorders>
            <w:shd w:val="clear" w:color="000000" w:fill="FFFFFF"/>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313" w:type="pct"/>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951" w:type="pct"/>
            <w:gridSpan w:val="2"/>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821"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2914" w:type="pct"/>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w:t>
            </w:r>
          </w:p>
        </w:tc>
        <w:tc>
          <w:tcPr>
            <w:tcW w:w="2086" w:type="pct"/>
            <w:gridSpan w:val="4"/>
            <w:tcBorders>
              <w:top w:val="single" w:color="auto" w:sz="8"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tblPrEx>
          <w:tblCellMar>
            <w:top w:w="0" w:type="dxa"/>
            <w:left w:w="108" w:type="dxa"/>
            <w:bottom w:w="0" w:type="dxa"/>
            <w:right w:w="108" w:type="dxa"/>
          </w:tblCellMar>
        </w:tblPrEx>
        <w:trPr>
          <w:trHeight w:val="402" w:hRule="atLeast"/>
        </w:trPr>
        <w:tc>
          <w:tcPr>
            <w:tcW w:w="2120" w:type="pct"/>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7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470" w:type="pct"/>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79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基本支出</w:t>
            </w:r>
          </w:p>
        </w:tc>
        <w:tc>
          <w:tcPr>
            <w:tcW w:w="82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tblPrEx>
          <w:tblCellMar>
            <w:top w:w="0" w:type="dxa"/>
            <w:left w:w="108" w:type="dxa"/>
            <w:bottom w:w="0" w:type="dxa"/>
            <w:right w:w="108" w:type="dxa"/>
          </w:tblCellMar>
        </w:tblPrEx>
        <w:trPr>
          <w:trHeight w:val="402" w:hRule="atLeast"/>
        </w:trPr>
        <w:tc>
          <w:tcPr>
            <w:tcW w:w="2120"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794"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470"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794"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82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02" w:hRule="atLeast"/>
        </w:trPr>
        <w:tc>
          <w:tcPr>
            <w:tcW w:w="2120"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794"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470"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794"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82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02" w:hRule="atLeast"/>
        </w:trPr>
        <w:tc>
          <w:tcPr>
            <w:tcW w:w="2914" w:type="pct"/>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470" w:type="pct"/>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794"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CellMar>
            <w:top w:w="0" w:type="dxa"/>
            <w:left w:w="108" w:type="dxa"/>
            <w:bottom w:w="0" w:type="dxa"/>
            <w:right w:w="108" w:type="dxa"/>
          </w:tblCellMar>
        </w:tblPrEx>
        <w:trPr>
          <w:trHeight w:val="402" w:hRule="atLeast"/>
        </w:trPr>
        <w:tc>
          <w:tcPr>
            <w:tcW w:w="2914" w:type="pct"/>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470" w:type="pct"/>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　</w:t>
            </w:r>
          </w:p>
        </w:tc>
        <w:tc>
          <w:tcPr>
            <w:tcW w:w="794" w:type="pct"/>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　</w:t>
            </w:r>
            <w:r>
              <w:rPr>
                <w:rFonts w:hint="eastAsia" w:cs="宋体" w:asciiTheme="minorEastAsia" w:hAnsiTheme="minorEastAsia"/>
                <w:kern w:val="0"/>
                <w:sz w:val="24"/>
                <w:szCs w:val="24"/>
                <w:lang w:val="en-US" w:eastAsia="zh-CN"/>
              </w:rPr>
              <w:t>0</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212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94"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470"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94"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2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212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94"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70"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94"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2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212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94"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470"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94"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2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212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94"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70"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94"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2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212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94"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70" w:type="pct"/>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94"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2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2120"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94"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70" w:type="pct"/>
            <w:gridSpan w:val="2"/>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94"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21"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720" w:hRule="atLeast"/>
        </w:trPr>
        <w:tc>
          <w:tcPr>
            <w:tcW w:w="5000" w:type="pct"/>
            <w:gridSpan w:val="7"/>
            <w:tcBorders>
              <w:top w:val="single" w:color="auto" w:sz="8" w:space="0"/>
              <w:left w:val="nil"/>
              <w:bottom w:val="nil"/>
              <w:right w:val="nil"/>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本单位无国有资本经营预算财政拨款支出，故本表无数据</w:t>
            </w:r>
          </w:p>
        </w:tc>
      </w:tr>
    </w:tbl>
    <w:p>
      <w:pPr>
        <w:pStyle w:val="13"/>
        <w:rPr>
          <w:rFonts w:asciiTheme="minorEastAsia" w:hAnsiTheme="minorEastAsia" w:eastAsiaTheme="minorEastAsia"/>
          <w:sz w:val="72"/>
          <w:szCs w:val="72"/>
        </w:rPr>
        <w:sectPr>
          <w:pgSz w:w="16838" w:h="11906" w:orient="landscape"/>
          <w:pgMar w:top="720" w:right="720" w:bottom="720" w:left="720" w:header="851" w:footer="992" w:gutter="0"/>
          <w:cols w:space="425" w:num="1"/>
          <w:docGrid w:type="lines" w:linePitch="312" w:charSpace="0"/>
        </w:sectPr>
      </w:pPr>
    </w:p>
    <w:p>
      <w:pPr>
        <w:pStyle w:val="13"/>
        <w:rPr>
          <w:rFonts w:asciiTheme="minorEastAsia" w:hAnsiTheme="minorEastAsia" w:eastAsiaTheme="minorEastAsia"/>
          <w:sz w:val="72"/>
          <w:szCs w:val="72"/>
        </w:rPr>
      </w:pPr>
    </w:p>
    <w:p>
      <w:pPr>
        <w:pStyle w:val="13"/>
        <w:rPr>
          <w:rFonts w:asciiTheme="minorEastAsia" w:hAnsiTheme="minorEastAsia" w:eastAsiaTheme="minorEastAsia"/>
          <w:sz w:val="72"/>
          <w:szCs w:val="72"/>
        </w:rPr>
      </w:pPr>
    </w:p>
    <w:p>
      <w:pPr>
        <w:pStyle w:val="13"/>
        <w:rPr>
          <w:rFonts w:asciiTheme="minorEastAsia" w:hAnsiTheme="minorEastAsia" w:eastAsiaTheme="minorEastAsia"/>
          <w:sz w:val="72"/>
          <w:szCs w:val="72"/>
        </w:rPr>
      </w:pPr>
    </w:p>
    <w:p>
      <w:pPr>
        <w:pStyle w:val="13"/>
        <w:rPr>
          <w:rFonts w:asciiTheme="minorEastAsia" w:hAnsiTheme="minorEastAsia" w:eastAsiaTheme="minorEastAsia"/>
          <w:sz w:val="72"/>
          <w:szCs w:val="72"/>
        </w:rPr>
      </w:pPr>
    </w:p>
    <w:p>
      <w:pPr>
        <w:pStyle w:val="13"/>
        <w:jc w:val="center"/>
        <w:rPr>
          <w:rFonts w:asciiTheme="minorEastAsia" w:hAnsiTheme="minorEastAsia" w:eastAsiaTheme="minorEastAsia"/>
          <w:sz w:val="72"/>
          <w:szCs w:val="72"/>
        </w:rPr>
      </w:pPr>
    </w:p>
    <w:p>
      <w:pPr>
        <w:pStyle w:val="13"/>
        <w:jc w:val="center"/>
        <w:rPr>
          <w:rFonts w:asciiTheme="minorEastAsia" w:hAnsiTheme="minorEastAsia" w:eastAsiaTheme="minorEastAsia"/>
          <w:sz w:val="72"/>
          <w:szCs w:val="72"/>
        </w:rPr>
      </w:pPr>
    </w:p>
    <w:p>
      <w:pPr>
        <w:pStyle w:val="13"/>
        <w:jc w:val="center"/>
        <w:rPr>
          <w:rFonts w:asciiTheme="minorEastAsia" w:hAnsiTheme="minorEastAsia" w:eastAsiaTheme="minorEastAsia"/>
          <w:sz w:val="72"/>
          <w:szCs w:val="72"/>
        </w:rPr>
      </w:pPr>
      <w:r>
        <w:rPr>
          <w:rFonts w:hint="eastAsia" w:asciiTheme="minorEastAsia" w:hAnsiTheme="minorEastAsia" w:eastAsiaTheme="minorEastAsia"/>
          <w:sz w:val="72"/>
          <w:szCs w:val="72"/>
        </w:rPr>
        <w:t>第三部分</w:t>
      </w:r>
    </w:p>
    <w:p>
      <w:pPr>
        <w:pStyle w:val="13"/>
        <w:jc w:val="center"/>
        <w:rPr>
          <w:rFonts w:asciiTheme="minorEastAsia" w:hAnsiTheme="minorEastAsia" w:eastAsiaTheme="minorEastAsia"/>
          <w:sz w:val="70"/>
          <w:szCs w:val="70"/>
        </w:rPr>
      </w:pPr>
    </w:p>
    <w:p>
      <w:pPr>
        <w:pStyle w:val="13"/>
        <w:jc w:val="center"/>
        <w:rPr>
          <w:rFonts w:asciiTheme="minorEastAsia" w:hAnsiTheme="minorEastAsia" w:eastAsiaTheme="minorEastAsia"/>
          <w:sz w:val="70"/>
          <w:szCs w:val="70"/>
        </w:rPr>
      </w:pPr>
      <w:r>
        <w:rPr>
          <w:rFonts w:asciiTheme="minorEastAsia" w:hAnsiTheme="minorEastAsia" w:eastAsiaTheme="minorEastAsia"/>
          <w:sz w:val="70"/>
          <w:szCs w:val="70"/>
        </w:rPr>
        <w:t>20</w:t>
      </w:r>
      <w:r>
        <w:rPr>
          <w:rFonts w:hint="eastAsia" w:asciiTheme="minorEastAsia" w:hAnsiTheme="minorEastAsia" w:eastAsiaTheme="minorEastAsia"/>
          <w:sz w:val="70"/>
          <w:szCs w:val="70"/>
        </w:rPr>
        <w:t>21年度部门决算情况说明</w:t>
      </w:r>
    </w:p>
    <w:p>
      <w:pPr>
        <w:widowControl/>
        <w:jc w:val="left"/>
        <w:rPr>
          <w:rFonts w:cs="黑体" w:asciiTheme="minorEastAsia" w:hAnsiTheme="minorEastAsia"/>
          <w:color w:val="000000"/>
          <w:kern w:val="0"/>
          <w:sz w:val="70"/>
          <w:szCs w:val="70"/>
        </w:rPr>
      </w:pPr>
      <w:r>
        <w:rPr>
          <w:rFonts w:asciiTheme="minorEastAsia" w:hAnsiTheme="minorEastAsia"/>
          <w:sz w:val="70"/>
          <w:szCs w:val="70"/>
        </w:rPr>
        <w:br w:type="page"/>
      </w:r>
    </w:p>
    <w:p>
      <w:pPr>
        <w:pStyle w:val="13"/>
        <w:rPr>
          <w:rFonts w:asciiTheme="minorEastAsia" w:hAnsiTheme="minorEastAsia" w:eastAsiaTheme="minorEastAsia"/>
          <w:sz w:val="32"/>
          <w:szCs w:val="32"/>
        </w:rPr>
      </w:pP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一、收入支出决算总体情况说明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2021年度收、支总计939.04万元。与上年相比，减少782.97万元，减少45.47%，主要是因为减少了蔬菜生产社会化服务及土地确权项目资金。</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二、收入决算情况说明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2021年度收入合计939.04万元，其中：财政拨款收入939.04万元，占100%；上级补助收入0万元，占0%；事业收入0万元，占0%；经营收入0万元，占0%；附属单位上缴收入0万元，占0%；其他收入0万元，占0%。</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2021年度支出合计939.04万元，其中：基本支出178.38万元，占19%；项目支出760.66万元，占81%；上缴上级支出0万元，占0%；经营支出0万元，占0%；对附属单位补助支出0万元，占0%。</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四、财政拨款收入支出决算总体情况说明</w:t>
      </w:r>
    </w:p>
    <w:p>
      <w:pPr>
        <w:pStyle w:val="13"/>
        <w:ind w:firstLine="63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2021年度财政拨款收、支总计939.04万元，与上年相比，减少782.97万元,减少45.47%，主要是因为减少了蔬菜生产社会化服务及土地确权项目资金。</w:t>
      </w:r>
    </w:p>
    <w:p>
      <w:pPr>
        <w:pStyle w:val="13"/>
        <w:ind w:firstLine="630"/>
        <w:rPr>
          <w:rFonts w:asciiTheme="minorEastAsia" w:hAnsiTheme="minorEastAsia" w:eastAsiaTheme="minorEastAsia"/>
          <w:b/>
          <w:sz w:val="32"/>
          <w:szCs w:val="32"/>
        </w:rPr>
      </w:pPr>
      <w:r>
        <w:rPr>
          <w:rFonts w:hint="eastAsia" w:asciiTheme="minorEastAsia" w:hAnsiTheme="minorEastAsia" w:eastAsiaTheme="minorEastAsia"/>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2021年度财政拨款支出939.04万元，占本年支出合计的100%，与上年相比，财政拨款支出减少782.97万元，减少45.47%，主要是因为减少了蔬菜生产社会化服务及土地确权项目资金。</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939.04万元，主要用于以下方面：一般公共服务支出3.25万元，占0.35%，社会保障和就业支出23.81万元，占2.54%，卫生健康支出6.81万，占0.72%，农林水支出894.84万元，占95.29%；住房保障支出10.33万元，占1.1%。</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2021年度财政拨款支出年初预算数为154.502万元，支出决算数为939.04万元，完成年初预算的607.79%，其中：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1、一般公共服务支出（类）其他一般公共服务支出（款）其他一般公共服务支出（项）。</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年初预算为3</w:t>
      </w:r>
      <w:r>
        <w:rPr>
          <w:rFonts w:hint="eastAsia" w:asciiTheme="minorEastAsia" w:hAnsiTheme="minorEastAsia" w:eastAsiaTheme="minorEastAsia"/>
          <w:sz w:val="32"/>
          <w:szCs w:val="32"/>
          <w:highlight w:val="none"/>
        </w:rPr>
        <w:t>.25万元，支出决算为3.25万元，完成年初预算的100%，与年初预算数持平</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主要是按照文件要求支出</w:t>
      </w:r>
      <w:r>
        <w:rPr>
          <w:rFonts w:hint="eastAsia" w:asciiTheme="minorEastAsia" w:hAnsiTheme="minorEastAsia" w:eastAsiaTheme="minorEastAsia"/>
          <w:sz w:val="32"/>
          <w:szCs w:val="32"/>
          <w:highlight w:val="none"/>
        </w:rPr>
        <w:t>。</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2、社会保障和就业支出（类）行政事业单位养老支出（款）机关事业单位基本养老保险缴费支出（项）</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年初预算机关事业单位基本养老保险缴费支出为14.31万元，支出决算数为14.31万元，完成年初预算的100%，与年初预算数持平</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主要是按照文件要求缴费</w:t>
      </w:r>
      <w:r>
        <w:rPr>
          <w:rFonts w:hint="eastAsia" w:asciiTheme="minorEastAsia" w:hAnsiTheme="minorEastAsia" w:eastAsiaTheme="minorEastAsia"/>
          <w:sz w:val="32"/>
          <w:szCs w:val="32"/>
          <w:highlight w:val="none"/>
        </w:rPr>
        <w:t>。</w:t>
      </w:r>
    </w:p>
    <w:p>
      <w:pPr>
        <w:pStyle w:val="13"/>
        <w:ind w:left="8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3、社会保障和就业支出（类）抚恤（款）死亡抚恤（项）</w:t>
      </w:r>
    </w:p>
    <w:p>
      <w:pPr>
        <w:widowControl/>
        <w:shd w:val="clear" w:color="auto" w:fill="FFFFFF"/>
        <w:spacing w:line="480" w:lineRule="auto"/>
        <w:ind w:firstLine="480"/>
        <w:jc w:val="left"/>
        <w:rPr>
          <w:rFonts w:ascii="微软雅黑" w:hAnsi="微软雅黑" w:eastAsia="微软雅黑" w:cs="宋体"/>
          <w:color w:val="666666"/>
          <w:kern w:val="0"/>
          <w:sz w:val="24"/>
          <w:szCs w:val="24"/>
          <w:highlight w:val="none"/>
        </w:rPr>
      </w:pPr>
      <w:r>
        <w:rPr>
          <w:rFonts w:hint="eastAsia" w:asciiTheme="minorEastAsia" w:hAnsiTheme="minorEastAsia"/>
          <w:sz w:val="32"/>
          <w:szCs w:val="32"/>
          <w:highlight w:val="none"/>
        </w:rPr>
        <w:t>年初预算死亡抚恤金支出为0万元，支出决算为6.6万元，由于预算数为0，无法计算百分比，决算数大于年初预算数的主要原因是：死亡抚恤金未纳入年初预算。</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4、社会保障和就业支出（类）其他社会保障和就业支出（款）其他社会保障和就业支出（项）</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年初预算为0万元，支出决算为2.9万元，由于预算数为0，无法计算百分比，决算数大于年初预算数的主要原因是：补交的原乡镇招工退休人员未缴足10年医保未纳入年初预算。</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5、卫生健康支出（类）行政事业单位医疗（款）行政单位医疗（项）</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年初预算为2万元，支出决算为2万元，完成年初预算的100%，与年初预算数持平</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主要是按照文件要求支出</w:t>
      </w:r>
      <w:r>
        <w:rPr>
          <w:rFonts w:hint="eastAsia" w:asciiTheme="minorEastAsia" w:hAnsiTheme="minorEastAsia" w:eastAsiaTheme="minorEastAsia"/>
          <w:sz w:val="32"/>
          <w:szCs w:val="32"/>
          <w:highlight w:val="none"/>
        </w:rPr>
        <w:t>。</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6、卫生健康支出（类）行政事业单位医疗（款）事业单位医疗（项）</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年初预算为4.81万元，支出决算为4.81万元，完成年初预算的100%，与年初预算数持平</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主要是按照文件要求支出</w:t>
      </w:r>
      <w:r>
        <w:rPr>
          <w:rFonts w:hint="eastAsia" w:asciiTheme="minorEastAsia" w:hAnsiTheme="minorEastAsia" w:eastAsiaTheme="minorEastAsia"/>
          <w:sz w:val="32"/>
          <w:szCs w:val="32"/>
          <w:highlight w:val="none"/>
        </w:rPr>
        <w:t>。</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7、农林水支出（类）农业农村（款）行政运行（项）</w:t>
      </w:r>
    </w:p>
    <w:p>
      <w:pPr>
        <w:pStyle w:val="13"/>
        <w:ind w:left="638" w:leftChars="304" w:firstLine="160" w:firstLineChars="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年初预算为106.38万元，支出决算为134.18万元，完成年初预算的</w:t>
      </w:r>
    </w:p>
    <w:p>
      <w:pPr>
        <w:pStyle w:val="13"/>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126.13%，决算数大于年初预算数的主要原因是：晋升调工资及年终绩效奖未纳入年初预算。</w:t>
      </w:r>
    </w:p>
    <w:p>
      <w:pPr>
        <w:pStyle w:val="13"/>
        <w:ind w:left="525" w:leftChars="250" w:firstLine="320" w:firstLineChars="1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8、农林水支出（类）农业农村（款）一般行政管理事务（项）</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年初预算为23.75万元，支出决算为50.66万元，完成年初预算的213.31%，决算数大于年初预算数的主要原因是：仲裁工作经费、合作社项目资金及补交原乡镇招工退休人员未缴足10年医保未纳入年初预算</w:t>
      </w:r>
    </w:p>
    <w:p>
      <w:pPr>
        <w:pStyle w:val="13"/>
        <w:ind w:left="525" w:leftChars="250" w:firstLine="320" w:firstLineChars="1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9、农林水支出（类）农业农村（款）农业生产发展（项）</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年初预算为0万元，支出决算为70万元，由于预算数为0，无法计算百分比，决算数大于年初预算数的主要原因是：省级示范家庭农场发展资金未纳入年初预算</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10、农林水支出（类）农业农村（款）农村合作经济（项）</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年初预算为0万元，支出决算为120万元，由于预算数为0，无法计算百分比，决算数大于年初预算数的主要原因是：省级示范合作社发展资金未纳入年初预算</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11、农林水支出（类）农村综合改革（款）对集体经济组织的补助（项）</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年初预算为0万元，支出决算为520万元，由于预算数为0，无法计算百分比，决算数大于年初预算数的主要原因是：扶持壮大村级集体经济项目资金未纳入年初预算</w:t>
      </w:r>
      <w:r>
        <w:rPr>
          <w:rFonts w:hint="eastAsia" w:asciiTheme="minorEastAsia" w:hAnsiTheme="minorEastAsia" w:eastAsiaTheme="minorEastAsia"/>
          <w:sz w:val="32"/>
          <w:szCs w:val="32"/>
          <w:highlight w:val="none"/>
          <w:lang w:eastAsia="zh-CN"/>
        </w:rPr>
        <w:t>。</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12、住房保障支出（类）住房改革支出（款）住房公积金（项）</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年初预算为0万元，支出决算为10.33万元，由于预算数为0，无法计算百分比，决算数大于年初预算数的主要原因是：住房公积金未纳入年初预算，由公共财政统一支付。</w:t>
      </w:r>
    </w:p>
    <w:p>
      <w:pPr>
        <w:pStyle w:val="13"/>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六、一般公共预算财政拨款基本支出决算情况说明</w:t>
      </w:r>
    </w:p>
    <w:p>
      <w:pPr>
        <w:pStyle w:val="13"/>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财政拨款基本支出178.38万元，其中：人员经费170.93万元，占基本支出的95.82%,主要包括基本工资、津贴补贴、奖金、基本养老保险、基本医疗保险、职业年金、住房公积金、其它工资福利支出及抚恤金等；公用经费7.45万元，占基本支出的4.18%，主要包括办公费、印刷费、咨询费、水电费、差旅费、维修费、公务接待费会议费、培训费、福利费、劳务费、及其它交通费等。</w:t>
      </w:r>
    </w:p>
    <w:p>
      <w:pPr>
        <w:pStyle w:val="13"/>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七、一般公共预算财政拨款“三公”经费支出决算情况说明</w:t>
      </w:r>
    </w:p>
    <w:p>
      <w:pPr>
        <w:pStyle w:val="13"/>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（一）“三公”经费财政拨款支出决算总体情况说明</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2021年度“三公”经费财政拨款支出预算为4.8万元，支出决算为2.23万元，完成预算的46.45%，其中：</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因公出国（境）费支出预算为0万元，支出决算为0万元，由于预算数为0，无法计算百分比</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决算与预算持平的原因是</w:t>
      </w:r>
      <w:r>
        <w:rPr>
          <w:rFonts w:hint="eastAsia" w:asciiTheme="minorEastAsia" w:hAnsiTheme="minorEastAsia" w:eastAsiaTheme="minorEastAsia"/>
          <w:sz w:val="32"/>
          <w:szCs w:val="32"/>
          <w:highlight w:val="none"/>
        </w:rPr>
        <w:t>无因公出国（境）费支出</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与上年相比持平的原因是</w:t>
      </w:r>
      <w:r>
        <w:rPr>
          <w:rFonts w:hint="eastAsia" w:asciiTheme="minorEastAsia" w:hAnsiTheme="minorEastAsia" w:eastAsiaTheme="minorEastAsia"/>
          <w:sz w:val="32"/>
          <w:szCs w:val="32"/>
          <w:highlight w:val="none"/>
        </w:rPr>
        <w:t>无因公出国（境）费支出。</w:t>
      </w:r>
    </w:p>
    <w:p>
      <w:pPr>
        <w:widowControl/>
        <w:shd w:val="clear" w:color="auto" w:fill="FFFFFF"/>
        <w:spacing w:line="480" w:lineRule="auto"/>
        <w:ind w:firstLine="480"/>
        <w:jc w:val="left"/>
        <w:rPr>
          <w:rFonts w:asciiTheme="minorEastAsia" w:hAnsiTheme="minorEastAsia"/>
          <w:sz w:val="32"/>
          <w:szCs w:val="32"/>
          <w:highlight w:val="none"/>
        </w:rPr>
      </w:pPr>
      <w:r>
        <w:rPr>
          <w:rFonts w:hint="eastAsia" w:asciiTheme="minorEastAsia" w:hAnsiTheme="minorEastAsia"/>
          <w:sz w:val="32"/>
          <w:szCs w:val="32"/>
          <w:highlight w:val="none"/>
        </w:rPr>
        <w:t>公务接待费支出预算为4.8万元，支出决算为2.23万元，完成预算的46.46%，决算数小于年初预算数的主要原因是我单位严格执行八项规定，杜绝同城公务接待费，按永州市事业单位公务接待的规定，做到有公函接待、按标准接待、控制作陪人数，规范接待流程和公务接待报销手续，与上年相比减少0万元，主要原因是在上年基础上更加严厉执行上级有关接待的规定，严格按标准按流程接待。</w:t>
      </w:r>
    </w:p>
    <w:p>
      <w:pPr>
        <w:pStyle w:val="13"/>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公务用车购置费支出预算为0万元，支出决算为0万元，由于预算数为0，无法计算百分比</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决算与预算持平的原因是</w:t>
      </w:r>
      <w:r>
        <w:rPr>
          <w:rFonts w:hint="eastAsia" w:asciiTheme="minorEastAsia" w:hAnsiTheme="minorEastAsia" w:eastAsiaTheme="minorEastAsia"/>
          <w:sz w:val="32"/>
          <w:szCs w:val="32"/>
          <w:highlight w:val="none"/>
        </w:rPr>
        <w:t>无公务用车购置费支出</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与上年相比持平的原因是</w:t>
      </w:r>
      <w:r>
        <w:rPr>
          <w:rFonts w:hint="eastAsia" w:asciiTheme="minorEastAsia" w:hAnsiTheme="minorEastAsia" w:eastAsiaTheme="minorEastAsia"/>
          <w:sz w:val="32"/>
          <w:szCs w:val="32"/>
          <w:highlight w:val="none"/>
        </w:rPr>
        <w:t>无公务用车购置费支出。</w:t>
      </w:r>
    </w:p>
    <w:p>
      <w:pPr>
        <w:pStyle w:val="13"/>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公务用车运行维护费支出预算为0万元，支出决算为0万元，由于预算数为0，无法计算百分比</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决算与预算持平的原因是</w:t>
      </w:r>
      <w:r>
        <w:rPr>
          <w:rFonts w:hint="eastAsia" w:asciiTheme="minorEastAsia" w:hAnsiTheme="minorEastAsia" w:eastAsiaTheme="minorEastAsia"/>
          <w:sz w:val="32"/>
          <w:szCs w:val="32"/>
          <w:highlight w:val="none"/>
        </w:rPr>
        <w:t>无公务用车运行维护费支出</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与上年相比持平的原因是</w:t>
      </w:r>
      <w:r>
        <w:rPr>
          <w:rFonts w:hint="eastAsia" w:asciiTheme="minorEastAsia" w:hAnsiTheme="minorEastAsia" w:eastAsiaTheme="minorEastAsia"/>
          <w:sz w:val="32"/>
          <w:szCs w:val="32"/>
          <w:highlight w:val="none"/>
        </w:rPr>
        <w:t>无公务用车运行维护费支出。</w:t>
      </w:r>
    </w:p>
    <w:p>
      <w:pPr>
        <w:pStyle w:val="13"/>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（二）“三公”经费财政拨款支出决算具体情况说明</w:t>
      </w:r>
    </w:p>
    <w:p>
      <w:pPr>
        <w:pStyle w:val="13"/>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2021年度“三公”经费财政拨款支出决算中，公务接待费支出决算2.23万元，占100%,因公出国（境）费支出决算0万元，占0%,公务用车购置费及运行维护费支出决算0万元，占0%。其中：</w:t>
      </w:r>
    </w:p>
    <w:p>
      <w:pPr>
        <w:pStyle w:val="13"/>
        <w:ind w:firstLine="640" w:firstLineChars="200"/>
        <w:rPr>
          <w:rFonts w:asciiTheme="minorEastAsia" w:hAnsiTheme="minorEastAsia" w:eastAsiaTheme="minorEastAsia"/>
          <w:b/>
          <w:sz w:val="32"/>
          <w:szCs w:val="32"/>
          <w:highlight w:val="none"/>
        </w:rPr>
      </w:pPr>
      <w:r>
        <w:rPr>
          <w:rFonts w:hint="eastAsia" w:asciiTheme="minorEastAsia" w:hAnsiTheme="minorEastAsia" w:eastAsiaTheme="minorEastAsia"/>
          <w:sz w:val="32"/>
          <w:szCs w:val="32"/>
          <w:highlight w:val="none"/>
        </w:rPr>
        <w:t>1、因公出国（境）费支出决算为0万元，全年安排因公出国（境）团组0个，累计0人次。</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2、公务接待费支出决算为2.23万元，全年共接待来访团组46个、来宾425人次，</w:t>
      </w:r>
      <w:r>
        <w:rPr>
          <w:rFonts w:hint="eastAsia" w:asciiTheme="minorEastAsia" w:hAnsiTheme="minorEastAsia" w:eastAsiaTheme="minorEastAsia"/>
          <w:color w:val="auto"/>
          <w:sz w:val="32"/>
          <w:szCs w:val="32"/>
          <w:highlight w:val="none"/>
        </w:rPr>
        <w:t>主</w:t>
      </w:r>
      <w:r>
        <w:rPr>
          <w:rFonts w:hint="eastAsia" w:asciiTheme="minorEastAsia" w:hAnsiTheme="minorEastAsia" w:eastAsiaTheme="minorEastAsia"/>
          <w:sz w:val="32"/>
          <w:szCs w:val="32"/>
          <w:highlight w:val="none"/>
        </w:rPr>
        <w:t>要是产权制度改革、清产核资、确权颁证、宅基地管理、家庭农场、农民专业合作社、集体经济发展、土地流转纠纷调解、村级财务管理等发生的接待支出。</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3、公务用车购置费及运行维护费支出决算为0万元，其中：公务用车购置费0万元</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更新公务用车0辆</w:t>
      </w:r>
      <w:r>
        <w:rPr>
          <w:rFonts w:hint="eastAsia" w:asciiTheme="minorEastAsia" w:hAnsiTheme="minorEastAsia" w:eastAsiaTheme="minorEastAsia"/>
          <w:sz w:val="32"/>
          <w:szCs w:val="32"/>
          <w:highlight w:val="none"/>
        </w:rPr>
        <w:t>。公务用车运行维护费0万元，截止2021年12月31日，我单位开支财政拨款的公务用车保有量为0辆。</w:t>
      </w:r>
    </w:p>
    <w:p>
      <w:pPr>
        <w:pStyle w:val="13"/>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八、政府性基金预算收入支出决算情况</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2021年度本单位无政府性基金收支</w:t>
      </w:r>
      <w:r>
        <w:rPr>
          <w:rFonts w:hint="eastAsia" w:asciiTheme="minorEastAsia" w:hAnsiTheme="minorEastAsia" w:eastAsiaTheme="minorEastAsia"/>
          <w:sz w:val="32"/>
          <w:szCs w:val="32"/>
          <w:highlight w:val="none"/>
          <w:lang w:eastAsia="zh-CN"/>
        </w:rPr>
        <w:t>。</w:t>
      </w:r>
    </w:p>
    <w:p>
      <w:pPr>
        <w:pStyle w:val="13"/>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九、机关运行经费支出说明</w:t>
      </w:r>
    </w:p>
    <w:p>
      <w:pPr>
        <w:widowControl/>
        <w:shd w:val="clear" w:color="auto" w:fill="FFFFFF"/>
        <w:spacing w:line="480" w:lineRule="auto"/>
        <w:ind w:firstLine="480"/>
        <w:jc w:val="left"/>
        <w:rPr>
          <w:rFonts w:asciiTheme="minorEastAsia" w:hAnsiTheme="minorEastAsia"/>
          <w:sz w:val="32"/>
          <w:szCs w:val="32"/>
          <w:highlight w:val="none"/>
        </w:rPr>
      </w:pPr>
      <w:r>
        <w:rPr>
          <w:rFonts w:hint="eastAsia" w:asciiTheme="minorEastAsia" w:hAnsiTheme="minorEastAsia"/>
          <w:sz w:val="32"/>
          <w:szCs w:val="32"/>
          <w:highlight w:val="none"/>
        </w:rPr>
        <w:t>本部门2021年度机关运行经费支出7.45万元，比年初预算数4.2万元，增加3.25万元，增长77.38%。主要原因是</w:t>
      </w:r>
      <w:r>
        <w:rPr>
          <w:rFonts w:hint="eastAsia" w:cs="黑体" w:asciiTheme="minorEastAsia" w:hAnsiTheme="minorEastAsia"/>
          <w:color w:val="000000"/>
          <w:kern w:val="0"/>
          <w:sz w:val="32"/>
          <w:szCs w:val="32"/>
          <w:highlight w:val="none"/>
        </w:rPr>
        <w:t>：</w:t>
      </w:r>
      <w:r>
        <w:rPr>
          <w:rFonts w:hint="eastAsia" w:asciiTheme="minorEastAsia" w:hAnsiTheme="minorEastAsia"/>
          <w:sz w:val="32"/>
          <w:szCs w:val="32"/>
          <w:highlight w:val="none"/>
        </w:rPr>
        <w:t>主要原因是：扶贫、创卫，创园等支出增加。</w:t>
      </w:r>
    </w:p>
    <w:p>
      <w:pPr>
        <w:rPr>
          <w:rFonts w:asciiTheme="minorEastAsia" w:hAnsiTheme="minorEastAsia"/>
          <w:b/>
          <w:sz w:val="32"/>
          <w:szCs w:val="32"/>
          <w:highlight w:val="none"/>
        </w:rPr>
      </w:pPr>
      <w:r>
        <w:rPr>
          <w:rFonts w:hint="eastAsia" w:asciiTheme="minorEastAsia" w:hAnsiTheme="minorEastAsia"/>
          <w:b/>
          <w:sz w:val="32"/>
          <w:szCs w:val="32"/>
          <w:highlight w:val="none"/>
        </w:rPr>
        <w:t>十、一般性支出情况说明</w:t>
      </w:r>
    </w:p>
    <w:p>
      <w:pPr>
        <w:widowControl/>
        <w:shd w:val="clear" w:color="auto" w:fill="FFFFFF"/>
        <w:spacing w:line="480" w:lineRule="auto"/>
        <w:ind w:firstLine="480"/>
        <w:jc w:val="left"/>
        <w:rPr>
          <w:rFonts w:asciiTheme="minorEastAsia" w:hAnsiTheme="minorEastAsia"/>
          <w:sz w:val="32"/>
          <w:szCs w:val="32"/>
          <w:highlight w:val="none"/>
        </w:rPr>
      </w:pPr>
      <w:r>
        <w:rPr>
          <w:rFonts w:hint="eastAsia" w:asciiTheme="minorEastAsia" w:hAnsiTheme="minorEastAsia"/>
          <w:sz w:val="32"/>
          <w:szCs w:val="32"/>
          <w:highlight w:val="none"/>
        </w:rPr>
        <w:t>2021年本部门开支会议费0万元；开支培训费0万元</w:t>
      </w:r>
      <w:r>
        <w:rPr>
          <w:rFonts w:hint="eastAsia" w:asciiTheme="minorEastAsia" w:hAnsiTheme="minorEastAsia"/>
          <w:sz w:val="32"/>
          <w:szCs w:val="32"/>
          <w:highlight w:val="none"/>
          <w:lang w:eastAsia="zh-CN"/>
        </w:rPr>
        <w:t>，举办</w:t>
      </w:r>
      <w:r>
        <w:rPr>
          <w:rFonts w:hint="eastAsia" w:asciiTheme="minorEastAsia" w:hAnsiTheme="minorEastAsia"/>
          <w:sz w:val="32"/>
          <w:szCs w:val="32"/>
          <w:highlight w:val="none"/>
          <w:lang w:val="en-US" w:eastAsia="zh-CN"/>
        </w:rPr>
        <w:t>0场</w:t>
      </w:r>
      <w:r>
        <w:rPr>
          <w:rFonts w:hint="eastAsia" w:asciiTheme="minorEastAsia" w:hAnsiTheme="minorEastAsia"/>
          <w:sz w:val="32"/>
          <w:szCs w:val="32"/>
          <w:highlight w:val="none"/>
          <w:lang w:eastAsia="zh-CN"/>
        </w:rPr>
        <w:t>节庆、晚会、论坛、赛事活动，开支</w:t>
      </w:r>
      <w:r>
        <w:rPr>
          <w:rFonts w:hint="eastAsia" w:asciiTheme="minorEastAsia" w:hAnsiTheme="minorEastAsia"/>
          <w:sz w:val="32"/>
          <w:szCs w:val="32"/>
          <w:highlight w:val="none"/>
          <w:lang w:val="en-US" w:eastAsia="zh-CN"/>
        </w:rPr>
        <w:t>0</w:t>
      </w:r>
      <w:r>
        <w:rPr>
          <w:rFonts w:hint="eastAsia" w:asciiTheme="minorEastAsia" w:hAnsiTheme="minorEastAsia"/>
          <w:sz w:val="32"/>
          <w:szCs w:val="32"/>
          <w:highlight w:val="none"/>
          <w:lang w:eastAsia="zh-CN"/>
        </w:rPr>
        <w:t>万元，主要是未举办相关活动</w:t>
      </w:r>
      <w:r>
        <w:rPr>
          <w:rFonts w:hint="eastAsia" w:asciiTheme="minorEastAsia" w:hAnsiTheme="minorEastAsia"/>
          <w:sz w:val="32"/>
          <w:szCs w:val="32"/>
          <w:highlight w:val="none"/>
        </w:rPr>
        <w:t>。</w:t>
      </w:r>
    </w:p>
    <w:p>
      <w:pPr>
        <w:pStyle w:val="13"/>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十一、政府采购支出说明</w:t>
      </w:r>
    </w:p>
    <w:p>
      <w:pPr>
        <w:pStyle w:val="13"/>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部门2021年度政府采购支出总额0万元，其中：政府采购货物支出0万元、政府采购工程支出0万元、政府采购服务支出0万元。授予中小企业合同金额0万元，由于政府采购支出为0，无法计算百分比，其中：授予小微企业合同金额0万元，由于授予中小企业合同金额为0，无法计算百分比；货物采购授予中小企业合同金额0万元，工程采购授予中小企业合同金额0万元，服务采购授予中小企业合同金额</w:t>
      </w:r>
      <w:r>
        <w:rPr>
          <w:rFonts w:hint="eastAsia" w:asciiTheme="minorEastAsia" w:hAnsiTheme="minorEastAsia" w:eastAsiaTheme="minorEastAsia"/>
          <w:sz w:val="32"/>
          <w:szCs w:val="32"/>
          <w:highlight w:val="none"/>
          <w:lang w:val="en-US" w:eastAsia="zh-CN"/>
        </w:rPr>
        <w:t>0万元</w:t>
      </w:r>
      <w:r>
        <w:rPr>
          <w:rFonts w:hint="eastAsia" w:asciiTheme="minorEastAsia" w:hAnsiTheme="minorEastAsia" w:eastAsiaTheme="minorEastAsia"/>
          <w:sz w:val="32"/>
          <w:szCs w:val="32"/>
          <w:highlight w:val="none"/>
        </w:rPr>
        <w:t>，由于货物支出、工程支出、服务支出为0，无法计算百分比。</w:t>
      </w:r>
    </w:p>
    <w:p>
      <w:pPr>
        <w:pStyle w:val="13"/>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十二、国有资产占用情况说明</w:t>
      </w:r>
    </w:p>
    <w:p>
      <w:pPr>
        <w:pStyle w:val="13"/>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截至2021年12月31日，部门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3"/>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十三、2021年度预算绩效情况说明</w:t>
      </w:r>
      <w:bookmarkStart w:id="3" w:name="_GoBack"/>
      <w:bookmarkEnd w:id="3"/>
    </w:p>
    <w:p>
      <w:pPr>
        <w:autoSpaceDE w:val="0"/>
        <w:autoSpaceDN w:val="0"/>
        <w:adjustRightInd w:val="0"/>
        <w:ind w:firstLine="640" w:firstLineChars="200"/>
        <w:jc w:val="left"/>
        <w:rPr>
          <w:rFonts w:hint="eastAsia" w:cs="黑体" w:asciiTheme="minorEastAsia" w:hAnsiTheme="minorEastAsia"/>
          <w:b/>
          <w:color w:val="000000"/>
          <w:kern w:val="0"/>
          <w:sz w:val="32"/>
          <w:szCs w:val="32"/>
          <w:highlight w:val="none"/>
        </w:rPr>
      </w:pPr>
      <w:r>
        <w:rPr>
          <w:rFonts w:hint="eastAsia" w:cs="黑体" w:asciiTheme="minorEastAsia" w:hAnsiTheme="minorEastAsia"/>
          <w:b/>
          <w:color w:val="000000"/>
          <w:kern w:val="0"/>
          <w:sz w:val="32"/>
          <w:szCs w:val="32"/>
          <w:highlight w:val="none"/>
        </w:rPr>
        <w:t>本部门2021年整体支出</w:t>
      </w:r>
      <w:r>
        <w:rPr>
          <w:rFonts w:hint="default" w:cs="黑体" w:asciiTheme="minorEastAsia" w:hAnsiTheme="minorEastAsia"/>
          <w:b/>
          <w:color w:val="000000"/>
          <w:kern w:val="0"/>
          <w:sz w:val="32"/>
          <w:szCs w:val="32"/>
          <w:highlight w:val="none"/>
        </w:rPr>
        <w:t>939.04</w:t>
      </w:r>
      <w:r>
        <w:rPr>
          <w:rFonts w:hint="eastAsia" w:cs="黑体" w:asciiTheme="minorEastAsia" w:hAnsiTheme="minorEastAsia"/>
          <w:b/>
          <w:color w:val="000000"/>
          <w:kern w:val="0"/>
          <w:sz w:val="32"/>
          <w:szCs w:val="32"/>
          <w:highlight w:val="none"/>
        </w:rPr>
        <w:t>万元，其中项目支出</w:t>
      </w:r>
      <w:r>
        <w:rPr>
          <w:rFonts w:hint="default" w:cs="黑体" w:asciiTheme="minorEastAsia" w:hAnsiTheme="minorEastAsia"/>
          <w:b/>
          <w:color w:val="000000"/>
          <w:kern w:val="0"/>
          <w:sz w:val="32"/>
          <w:szCs w:val="32"/>
          <w:highlight w:val="none"/>
        </w:rPr>
        <w:t>760.66</w:t>
      </w:r>
      <w:r>
        <w:rPr>
          <w:rFonts w:hint="eastAsia" w:cs="黑体" w:asciiTheme="minorEastAsia" w:hAnsiTheme="minorEastAsia"/>
          <w:b/>
          <w:color w:val="000000"/>
          <w:kern w:val="0"/>
          <w:sz w:val="32"/>
          <w:szCs w:val="32"/>
          <w:highlight w:val="none"/>
        </w:rPr>
        <w:t>万元，本年度</w:t>
      </w:r>
      <w:r>
        <w:rPr>
          <w:rFonts w:hint="eastAsia" w:cs="黑体" w:asciiTheme="minorEastAsia" w:hAnsiTheme="minorEastAsia"/>
          <w:b/>
          <w:color w:val="000000"/>
          <w:kern w:val="0"/>
          <w:sz w:val="32"/>
          <w:szCs w:val="32"/>
          <w:highlight w:val="none"/>
          <w:lang w:val="en-US" w:eastAsia="zh-CN"/>
        </w:rPr>
        <w:t>无</w:t>
      </w:r>
      <w:r>
        <w:rPr>
          <w:rFonts w:hint="eastAsia" w:cs="黑体" w:asciiTheme="minorEastAsia" w:hAnsiTheme="minorEastAsia"/>
          <w:b/>
          <w:color w:val="000000"/>
          <w:kern w:val="0"/>
          <w:sz w:val="32"/>
          <w:szCs w:val="32"/>
          <w:highlight w:val="none"/>
        </w:rPr>
        <w:t>重点项目支出。</w:t>
      </w:r>
    </w:p>
    <w:p>
      <w:pPr>
        <w:autoSpaceDE w:val="0"/>
        <w:autoSpaceDN w:val="0"/>
        <w:adjustRightInd w:val="0"/>
        <w:ind w:firstLine="640" w:firstLineChars="200"/>
        <w:jc w:val="left"/>
        <w:rPr>
          <w:rFonts w:cs="黑体" w:asciiTheme="minorEastAsia" w:hAnsiTheme="minorEastAsia"/>
          <w:color w:val="000000"/>
          <w:kern w:val="0"/>
          <w:sz w:val="32"/>
          <w:szCs w:val="32"/>
          <w:highlight w:val="none"/>
        </w:rPr>
      </w:pPr>
      <w:r>
        <w:rPr>
          <w:rFonts w:hint="eastAsia" w:cs="黑体" w:asciiTheme="minorEastAsia" w:hAnsiTheme="minorEastAsia"/>
          <w:b/>
          <w:color w:val="000000"/>
          <w:kern w:val="0"/>
          <w:sz w:val="32"/>
          <w:szCs w:val="32"/>
          <w:highlight w:val="none"/>
        </w:rPr>
        <w:t>（1）绩效管理评价工作开展情况</w:t>
      </w:r>
      <w:r>
        <w:rPr>
          <w:rFonts w:hint="eastAsia" w:cs="黑体" w:asciiTheme="minorEastAsia" w:hAnsiTheme="minorEastAsia"/>
          <w:color w:val="000000"/>
          <w:kern w:val="0"/>
          <w:sz w:val="32"/>
          <w:szCs w:val="32"/>
          <w:highlight w:val="none"/>
        </w:rPr>
        <w:t>。</w:t>
      </w:r>
    </w:p>
    <w:p>
      <w:pPr>
        <w:autoSpaceDE w:val="0"/>
        <w:autoSpaceDN w:val="0"/>
        <w:adjustRightInd w:val="0"/>
        <w:ind w:firstLine="640" w:firstLineChars="200"/>
        <w:jc w:val="left"/>
        <w:rPr>
          <w:rFonts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根据预算绩效管理要求，我部门组织对</w:t>
      </w:r>
      <w:r>
        <w:rPr>
          <w:rFonts w:cs="黑体" w:asciiTheme="minorEastAsia" w:hAnsiTheme="minorEastAsia"/>
          <w:color w:val="000000"/>
          <w:kern w:val="0"/>
          <w:sz w:val="32"/>
          <w:szCs w:val="32"/>
          <w:highlight w:val="none"/>
        </w:rPr>
        <w:t>2021</w:t>
      </w:r>
      <w:r>
        <w:rPr>
          <w:rFonts w:hint="eastAsia" w:cs="黑体" w:asciiTheme="minorEastAsia" w:hAnsiTheme="minorEastAsia"/>
          <w:color w:val="000000"/>
          <w:kern w:val="0"/>
          <w:sz w:val="32"/>
          <w:szCs w:val="32"/>
          <w:highlight w:val="none"/>
        </w:rPr>
        <w:t>年度一般公共预算项目支出全面开展绩效自评，其中，一级项目0个，二级项目4个，共涉及资金27万元，占一般公共预算项目支出总额的100</w:t>
      </w:r>
      <w:r>
        <w:rPr>
          <w:rFonts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rPr>
        <w:t>。</w:t>
      </w:r>
    </w:p>
    <w:p>
      <w:pPr>
        <w:autoSpaceDE w:val="0"/>
        <w:autoSpaceDN w:val="0"/>
        <w:adjustRightInd w:val="0"/>
        <w:ind w:firstLine="640" w:firstLineChars="200"/>
        <w:jc w:val="left"/>
        <w:rPr>
          <w:rFonts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组织对</w:t>
      </w:r>
      <w:r>
        <w:rPr>
          <w:rFonts w:cs="黑体" w:asciiTheme="minorEastAsia" w:hAnsiTheme="minorEastAsia"/>
          <w:color w:val="000000"/>
          <w:kern w:val="0"/>
          <w:sz w:val="32"/>
          <w:szCs w:val="32"/>
          <w:highlight w:val="none"/>
        </w:rPr>
        <w:t>2021</w:t>
      </w:r>
      <w:r>
        <w:rPr>
          <w:rFonts w:hint="eastAsia" w:cs="黑体" w:asciiTheme="minorEastAsia" w:hAnsiTheme="minorEastAsia"/>
          <w:color w:val="000000"/>
          <w:kern w:val="0"/>
          <w:sz w:val="32"/>
          <w:szCs w:val="32"/>
          <w:highlight w:val="none"/>
        </w:rPr>
        <w:t>年度减负管理、村级财务监督与审计、宅基地管理及农民纯收入网点监测等项目开展了部门评价，涉及一般公共预算支出27万元，政府性基金预算支出0万元，国有资本经营预算支出0万元。从评价情况来看，绩效目标完成较好，在预算配置、预算执行、预算管理等方面有效的支持了全市农经工作发展。</w:t>
      </w:r>
    </w:p>
    <w:p>
      <w:pPr>
        <w:autoSpaceDE w:val="0"/>
        <w:autoSpaceDN w:val="0"/>
        <w:adjustRightInd w:val="0"/>
        <w:ind w:firstLine="640" w:firstLineChars="200"/>
        <w:jc w:val="left"/>
        <w:rPr>
          <w:rFonts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组织对单位开展整体支出绩效评价，涉及一般公共预算支出939.04万元，政府性基金预算支出0万元。预算安排的基本支出保障了单位正常运转，预算安排的项目支出保障了各项业务工作的顺利开展。</w:t>
      </w:r>
    </w:p>
    <w:p>
      <w:pPr>
        <w:autoSpaceDE w:val="0"/>
        <w:autoSpaceDN w:val="0"/>
        <w:adjustRightInd w:val="0"/>
        <w:ind w:firstLine="640" w:firstLineChars="200"/>
        <w:jc w:val="left"/>
        <w:rPr>
          <w:rFonts w:cs="黑体" w:asciiTheme="minorEastAsia" w:hAnsiTheme="minorEastAsia"/>
          <w:b/>
          <w:color w:val="000000"/>
          <w:kern w:val="0"/>
          <w:sz w:val="32"/>
          <w:szCs w:val="32"/>
          <w:highlight w:val="none"/>
        </w:rPr>
      </w:pPr>
      <w:r>
        <w:rPr>
          <w:rFonts w:hint="eastAsia" w:cs="黑体" w:asciiTheme="minorEastAsia" w:hAnsiTheme="minorEastAsia"/>
          <w:b/>
          <w:color w:val="000000"/>
          <w:kern w:val="0"/>
          <w:sz w:val="32"/>
          <w:szCs w:val="32"/>
          <w:highlight w:val="none"/>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减负管理项目绩效自评综述：根据年初设定的绩效目标，项目绩效自评得分为98分。项目全年预算数为5万元，执行数为5万元，完成预算的100</w:t>
      </w:r>
      <w:r>
        <w:rPr>
          <w:rFonts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rPr>
        <w:t>。项目绩效目标完成情况：一是贯彻落实党的强农惠农政策，确保强农惠农资金及时发放到位，切实减轻农民负担，坚决遏止涉农乱收费乱摊派行为，全面落实农民维权监管制度落实，二是确保涉农案（事）件零发生，本年度涉负工作在省市考核中争取先进单位，保证合格单位，不被一票否决，不亮黄牌。</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highlight w:val="none"/>
        </w:rPr>
        <w:t>村级财务监督与审计项目绩效</w:t>
      </w:r>
      <w:r>
        <w:rPr>
          <w:rFonts w:hint="eastAsia" w:cs="黑体" w:asciiTheme="minorEastAsia" w:hAnsiTheme="minorEastAsia"/>
          <w:color w:val="000000"/>
          <w:kern w:val="0"/>
          <w:sz w:val="32"/>
          <w:szCs w:val="32"/>
        </w:rPr>
        <w:t>自评综述：根据年初设定的绩效目标，项目绩效自评得分为99分。项目全年预算数为9万元，执行数为9万元，完成预算的100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全县完成日常农村财务监管与审计工作；加强对新农村建设专项资金的审计监督；二是对2021年即将进行村民委员会换届的村进行离任审计，对已完成换届选举的村要开展年度经济责任审计。</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宅基地管理项目绩效自评综述：根据年初设定的绩效目标，项目绩效自评得分为99分。项目全年预算数为10万元，执行数为10万元，完成预算的100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有效控制农村违法占地建房，新增违法建房实现零增长，二是农村闲置宅基地和闲置农房得到合理利用，农村宅基地工作队伍素质全面提升，农村合理建房需求得到满足，农民诉求得到及时解决，三是执法队伍依法有效开展工作，农民对农村宅基地法律法规知识得到加强，适度集中建房试点进一步推进全县宅基地管理工作全面提升。</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预算安排的基本支出保障了单位正常运转，预算安排的项目支出保障了各项业务工作的顺利开展。项目资金支出严格执行财务管理制度，做到专款专用，较好地完成了年初预算要求的绩效任务。</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10</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autoSpaceDE w:val="0"/>
        <w:autoSpaceDN w:val="0"/>
        <w:adjustRightInd w:val="0"/>
        <w:ind w:firstLine="640" w:firstLineChars="200"/>
        <w:jc w:val="left"/>
        <w:rPr>
          <w:rFonts w:hint="eastAsia" w:cs="黑体" w:asciiTheme="minorEastAsia" w:hAnsiTheme="minorEastAsia"/>
          <w:b/>
          <w:bCs/>
          <w:color w:val="000000"/>
          <w:kern w:val="0"/>
          <w:sz w:val="32"/>
          <w:szCs w:val="32"/>
        </w:rPr>
      </w:pPr>
      <w:r>
        <w:rPr>
          <w:rFonts w:hint="eastAsia" w:cs="黑体" w:asciiTheme="minorEastAsia" w:hAnsiTheme="minorEastAsia"/>
          <w:b/>
          <w:bCs/>
          <w:color w:val="000000"/>
          <w:kern w:val="0"/>
          <w:sz w:val="32"/>
          <w:szCs w:val="32"/>
          <w:lang w:val="en-US" w:eastAsia="zh-CN"/>
        </w:rPr>
        <w:t>十四</w:t>
      </w:r>
      <w:r>
        <w:rPr>
          <w:rFonts w:hint="eastAsia" w:cs="黑体" w:asciiTheme="minorEastAsia" w:hAnsiTheme="minorEastAsia"/>
          <w:b/>
          <w:bCs/>
          <w:color w:val="000000"/>
          <w:kern w:val="0"/>
          <w:sz w:val="32"/>
          <w:szCs w:val="32"/>
        </w:rPr>
        <w:t>、国有资本经营预算财政拨款支出决算情况</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2021年度国有资本经营预算财政拨款支出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万元，其中基本支出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万元，项目支出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万元。本单位无国有资本经营预算支出</w:t>
      </w:r>
      <w:r>
        <w:rPr>
          <w:rFonts w:hint="eastAsia" w:cs="黑体" w:asciiTheme="minorEastAsia" w:hAnsiTheme="minorEastAsia"/>
          <w:color w:val="000000"/>
          <w:kern w:val="0"/>
          <w:sz w:val="32"/>
          <w:szCs w:val="32"/>
          <w:lang w:eastAsia="zh-CN"/>
        </w:rPr>
        <w:t>。</w:t>
      </w:r>
    </w:p>
    <w:p>
      <w:pPr>
        <w:pStyle w:val="13"/>
        <w:jc w:val="center"/>
        <w:rPr>
          <w:rFonts w:asciiTheme="minorEastAsia" w:hAnsiTheme="minorEastAsia" w:eastAsiaTheme="minorEastAsia"/>
          <w:sz w:val="72"/>
          <w:szCs w:val="72"/>
        </w:rPr>
      </w:pPr>
    </w:p>
    <w:p>
      <w:pPr>
        <w:pStyle w:val="13"/>
        <w:jc w:val="center"/>
        <w:rPr>
          <w:rFonts w:asciiTheme="minorEastAsia" w:hAnsiTheme="minorEastAsia" w:eastAsiaTheme="minorEastAsia"/>
          <w:sz w:val="72"/>
          <w:szCs w:val="72"/>
        </w:rPr>
      </w:pPr>
    </w:p>
    <w:p>
      <w:pPr>
        <w:pStyle w:val="13"/>
        <w:jc w:val="center"/>
        <w:rPr>
          <w:rFonts w:asciiTheme="minorEastAsia" w:hAnsiTheme="minorEastAsia" w:eastAsiaTheme="minorEastAsia"/>
          <w:sz w:val="72"/>
          <w:szCs w:val="72"/>
        </w:rPr>
      </w:pPr>
    </w:p>
    <w:p>
      <w:pPr>
        <w:pStyle w:val="13"/>
        <w:jc w:val="center"/>
        <w:rPr>
          <w:rFonts w:asciiTheme="minorEastAsia" w:hAnsiTheme="minorEastAsia" w:eastAsiaTheme="minorEastAsia"/>
          <w:sz w:val="72"/>
          <w:szCs w:val="72"/>
        </w:rPr>
      </w:pPr>
    </w:p>
    <w:p>
      <w:pPr>
        <w:pStyle w:val="13"/>
        <w:jc w:val="center"/>
        <w:rPr>
          <w:rFonts w:asciiTheme="minorEastAsia" w:hAnsiTheme="minorEastAsia" w:eastAsiaTheme="minorEastAsia"/>
          <w:sz w:val="72"/>
          <w:szCs w:val="72"/>
        </w:rPr>
      </w:pPr>
    </w:p>
    <w:p>
      <w:pPr>
        <w:pStyle w:val="13"/>
        <w:rPr>
          <w:rFonts w:asciiTheme="minorEastAsia" w:hAnsiTheme="minorEastAsia" w:eastAsiaTheme="minorEastAsia"/>
          <w:sz w:val="72"/>
          <w:szCs w:val="72"/>
        </w:rPr>
      </w:pPr>
    </w:p>
    <w:p>
      <w:pPr>
        <w:pStyle w:val="13"/>
        <w:jc w:val="center"/>
        <w:rPr>
          <w:rFonts w:asciiTheme="minorEastAsia" w:hAnsiTheme="minorEastAsia" w:eastAsiaTheme="minorEastAsia"/>
          <w:sz w:val="72"/>
          <w:szCs w:val="72"/>
        </w:rPr>
      </w:pPr>
    </w:p>
    <w:p>
      <w:pPr>
        <w:pStyle w:val="13"/>
        <w:jc w:val="center"/>
        <w:rPr>
          <w:rFonts w:asciiTheme="minorEastAsia" w:hAnsiTheme="minorEastAsia" w:eastAsiaTheme="minorEastAsia"/>
          <w:sz w:val="72"/>
          <w:szCs w:val="72"/>
        </w:rPr>
      </w:pPr>
      <w:r>
        <w:rPr>
          <w:rFonts w:hint="eastAsia" w:asciiTheme="minorEastAsia" w:hAnsiTheme="minorEastAsia" w:eastAsiaTheme="minorEastAsia"/>
          <w:sz w:val="72"/>
          <w:szCs w:val="72"/>
        </w:rPr>
        <w:t>第四部分</w:t>
      </w:r>
    </w:p>
    <w:p>
      <w:pPr>
        <w:jc w:val="center"/>
        <w:rPr>
          <w:rFonts w:cs="黑体" w:asciiTheme="minorEastAsia" w:hAnsiTheme="minorEastAsia"/>
          <w:color w:val="000000"/>
          <w:kern w:val="0"/>
          <w:sz w:val="70"/>
          <w:szCs w:val="70"/>
        </w:rPr>
      </w:pPr>
    </w:p>
    <w:p>
      <w:pPr>
        <w:jc w:val="center"/>
        <w:rPr>
          <w:rFonts w:cs="黑体" w:asciiTheme="minorEastAsia" w:hAnsiTheme="minorEastAsia"/>
          <w:color w:val="000000"/>
          <w:kern w:val="0"/>
          <w:sz w:val="70"/>
          <w:szCs w:val="70"/>
        </w:rPr>
      </w:pPr>
      <w:r>
        <w:rPr>
          <w:rFonts w:hint="eastAsia" w:cs="黑体" w:asciiTheme="minorEastAsia" w:hAnsiTheme="minorEastAsia"/>
          <w:color w:val="000000"/>
          <w:kern w:val="0"/>
          <w:sz w:val="70"/>
          <w:szCs w:val="70"/>
        </w:rPr>
        <w:t>名词解释</w:t>
      </w:r>
    </w:p>
    <w:p>
      <w:pPr>
        <w:widowControl/>
        <w:jc w:val="left"/>
        <w:rPr>
          <w:rFonts w:cs="黑体" w:asciiTheme="minorEastAsia" w:hAnsiTheme="minorEastAsia"/>
          <w:color w:val="000000"/>
          <w:kern w:val="0"/>
          <w:sz w:val="70"/>
          <w:szCs w:val="70"/>
        </w:rPr>
      </w:pPr>
    </w:p>
    <w:p>
      <w:pPr>
        <w:pStyle w:val="7"/>
        <w:shd w:val="clear" w:color="auto" w:fill="FFFFFF"/>
        <w:spacing w:before="0" w:beforeAutospacing="0" w:after="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b/>
          <w:bCs/>
          <w:color w:val="000000"/>
          <w:sz w:val="32"/>
          <w:szCs w:val="32"/>
        </w:rPr>
        <w:t>一、收入科目</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1、财政拨款收入：指财政当年拨付的资金。</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2、事业收入：指事业单位开展专业业务活动及辅助活动取得的收入。</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3、经营收入：指事业单位在专业业务活动及其辅助活动之外开展非独立核算经营活动取得的收入。</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4、其他收入：指除上述“财政拨款收入”、“事业收入”、“经营收入”等以外的收入。</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6、上年结转：指以前年尚未完成、结转到本年按有关规定继续使用的资金。</w:t>
      </w:r>
    </w:p>
    <w:p>
      <w:pPr>
        <w:pStyle w:val="7"/>
        <w:shd w:val="clear" w:color="auto" w:fill="FFFFFF"/>
        <w:spacing w:before="0" w:beforeAutospacing="0" w:after="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b/>
          <w:bCs/>
          <w:color w:val="000000"/>
          <w:sz w:val="32"/>
          <w:szCs w:val="32"/>
        </w:rPr>
        <w:t>二、支出科目</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1、基本支出：是为保障其机构正常运转、完成日常工作任务而发生人员支出和公用支出。</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2、项目支出：是指在基本支出之外完成特定行政任务和事业发展目标所发生的支出。</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3、工资福利支出：反映单位开支的在职职工和编制外长期聘用人员的各类劳动报酬，以及为上述人员缴纳的各项社会保险费等。</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4、商品和服务支出：反映单位购买商品和服务的支出。</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5、对个人和家庭的补助：反映单位用于对个人和家庭的补助支出。</w:t>
      </w:r>
    </w:p>
    <w:p>
      <w:pPr>
        <w:pStyle w:val="7"/>
        <w:shd w:val="clear" w:color="auto" w:fill="FFFFFF"/>
        <w:spacing w:before="0" w:beforeAutospacing="0" w:after="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b/>
          <w:bCs/>
          <w:color w:val="000000"/>
          <w:sz w:val="32"/>
          <w:szCs w:val="32"/>
        </w:rPr>
        <w:t>三、“三公”经费科目</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1、因公出国（境）费用：反映单位公务出国（境）的国际旅费、国内城县间交通费、住宿费、伙食费、培训费、公杂费等支出。</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2、公务接待费：反映单位按规定开支的各类公务接待（含外宾接待）费用。</w:t>
      </w:r>
    </w:p>
    <w:p>
      <w:pPr>
        <w:pStyle w:val="7"/>
        <w:shd w:val="clear" w:color="auto" w:fill="FFFFFF"/>
        <w:spacing w:before="0" w:beforeAutospacing="0" w:after="120" w:afterAutospacing="0" w:line="480" w:lineRule="auto"/>
        <w:ind w:firstLine="48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3、公务用车运行维护费：反映单位公务用车租用费、燃料费、维修费、过路过桥费、保险费、安全奖励费用等支出</w:t>
      </w:r>
    </w:p>
    <w:p>
      <w:pPr>
        <w:pStyle w:val="13"/>
        <w:jc w:val="center"/>
        <w:rPr>
          <w:rFonts w:asciiTheme="minorEastAsia" w:hAnsiTheme="minorEastAsia" w:eastAsiaTheme="minorEastAsia"/>
          <w:sz w:val="72"/>
          <w:szCs w:val="72"/>
        </w:rPr>
      </w:pPr>
    </w:p>
    <w:p>
      <w:pPr>
        <w:jc w:val="center"/>
        <w:rPr>
          <w:rFonts w:cs="黑体" w:asciiTheme="minorEastAsia" w:hAnsiTheme="minorEastAsia"/>
          <w:color w:val="000000"/>
          <w:kern w:val="0"/>
          <w:sz w:val="70"/>
          <w:szCs w:val="70"/>
        </w:rPr>
      </w:pPr>
      <w:r>
        <w:rPr>
          <w:rFonts w:hint="eastAsia" w:asciiTheme="minorEastAsia" w:hAnsiTheme="minorEastAsia" w:eastAsiaTheme="minorEastAsia"/>
          <w:sz w:val="72"/>
          <w:szCs w:val="72"/>
        </w:rPr>
        <w:t>第五部分</w:t>
      </w:r>
      <w:r>
        <w:rPr>
          <w:rFonts w:hint="eastAsia" w:cs="黑体" w:asciiTheme="minorEastAsia" w:hAnsiTheme="minorEastAsia"/>
          <w:color w:val="000000"/>
          <w:kern w:val="0"/>
          <w:sz w:val="70"/>
          <w:szCs w:val="70"/>
        </w:rPr>
        <w:t>附件</w:t>
      </w:r>
    </w:p>
    <w:p>
      <w:pPr>
        <w:widowControl/>
        <w:jc w:val="left"/>
        <w:rPr>
          <w:rFonts w:cs="黑体" w:asciiTheme="minorEastAsia" w:hAnsiTheme="minorEastAsia"/>
          <w:color w:val="000000"/>
          <w:kern w:val="0"/>
          <w:sz w:val="70"/>
          <w:szCs w:val="70"/>
        </w:rPr>
      </w:pPr>
      <w:r>
        <w:rPr>
          <w:rFonts w:cs="黑体" w:asciiTheme="minorEastAsia" w:hAnsiTheme="minorEastAsia"/>
          <w:color w:val="000000"/>
          <w:kern w:val="0"/>
          <w:sz w:val="70"/>
          <w:szCs w:val="70"/>
        </w:rPr>
        <w:br w:type="page"/>
      </w:r>
    </w:p>
    <w:p>
      <w:pPr>
        <w:jc w:val="center"/>
        <w:rPr>
          <w:rFonts w:cs="黑体" w:asciiTheme="minorEastAsia" w:hAnsiTheme="minorEastAsia"/>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pStyle w:val="7"/>
        <w:shd w:val="clear" w:color="auto" w:fill="FFFFFF"/>
        <w:spacing w:before="0" w:beforeAutospacing="0" w:after="12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为进一步规范财政资金管理，牢固树立预算绩效理念，强化支出责任，提高财政资金使用效益，根据《祁阳市财政局关于做好2021年度全市部门决算工作的通知》要求，结合我站的具体情况，现将我站2021年度部门整体支出绩效评价情况报告如下：</w:t>
      </w:r>
    </w:p>
    <w:p>
      <w:pPr>
        <w:pStyle w:val="7"/>
        <w:shd w:val="clear" w:color="auto" w:fill="FFFFFF"/>
        <w:spacing w:before="0" w:beforeAutospacing="0" w:after="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一、基本情况</w:t>
      </w:r>
    </w:p>
    <w:p>
      <w:pPr>
        <w:pStyle w:val="7"/>
        <w:shd w:val="clear" w:color="auto" w:fill="FFFFFF"/>
        <w:spacing w:before="0" w:beforeAutospacing="0" w:after="120" w:afterAutospacing="0" w:line="480" w:lineRule="auto"/>
        <w:ind w:firstLine="480"/>
        <w:rPr>
          <w:rFonts w:ascii="微软雅黑" w:hAnsi="微软雅黑" w:eastAsia="微软雅黑"/>
          <w:color w:val="666666"/>
          <w:sz w:val="30"/>
          <w:szCs w:val="30"/>
        </w:rPr>
      </w:pPr>
      <w:r>
        <w:rPr>
          <w:rFonts w:hint="eastAsia" w:asciiTheme="minorEastAsia" w:hAnsiTheme="minorEastAsia"/>
          <w:bCs/>
          <w:sz w:val="32"/>
          <w:szCs w:val="32"/>
        </w:rPr>
        <w:t>2021年农经站（含二级事业单位）实有在职干部职工16人，根据相关职责，农经站内设6个职能股室：综合股、农村土地承包管理股、农村经济发展指导股、农村集体资产（财务）管理股、农村宅基地管理股、农民负担监督管理股、，农村土地承包仲裁委员会办公室</w:t>
      </w:r>
      <w:r>
        <w:rPr>
          <w:rFonts w:hint="eastAsia" w:ascii="微软雅黑" w:hAnsi="微软雅黑" w:eastAsia="微软雅黑"/>
          <w:color w:val="666666"/>
          <w:sz w:val="30"/>
          <w:szCs w:val="30"/>
        </w:rPr>
        <w:t>。</w:t>
      </w:r>
    </w:p>
    <w:p>
      <w:pPr>
        <w:pStyle w:val="7"/>
        <w:shd w:val="clear" w:color="auto" w:fill="FFFFFF"/>
        <w:spacing w:before="0" w:beforeAutospacing="0" w:after="12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（一）部门整体支出概况</w:t>
      </w:r>
    </w:p>
    <w:p>
      <w:pPr>
        <w:pStyle w:val="7"/>
        <w:shd w:val="clear" w:color="auto" w:fill="FFFFFF"/>
        <w:spacing w:before="0" w:beforeAutospacing="0" w:after="120" w:afterAutospacing="0" w:line="480" w:lineRule="auto"/>
        <w:ind w:firstLine="480"/>
        <w:rPr>
          <w:rFonts w:ascii="微软雅黑" w:hAnsi="微软雅黑" w:eastAsia="微软雅黑"/>
          <w:color w:val="666666"/>
          <w:sz w:val="30"/>
          <w:szCs w:val="30"/>
        </w:rPr>
      </w:pPr>
      <w:r>
        <w:rPr>
          <w:rFonts w:hint="eastAsia" w:asciiTheme="minorEastAsia" w:hAnsiTheme="minorEastAsia"/>
          <w:bCs/>
          <w:sz w:val="32"/>
          <w:szCs w:val="32"/>
        </w:rPr>
        <w:t>2021年部门决算收支完成情况</w:t>
      </w:r>
      <w:r>
        <w:rPr>
          <w:rFonts w:hint="eastAsia" w:ascii="微软雅黑" w:hAnsi="微软雅黑" w:eastAsia="微软雅黑"/>
          <w:color w:val="666666"/>
          <w:sz w:val="30"/>
          <w:szCs w:val="30"/>
        </w:rPr>
        <w:t>：</w:t>
      </w:r>
    </w:p>
    <w:p>
      <w:pPr>
        <w:pStyle w:val="7"/>
        <w:shd w:val="clear" w:color="auto" w:fill="FFFFFF"/>
        <w:spacing w:before="0" w:beforeAutospacing="0" w:after="12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1、2021年财政拨款收入总额：939.04万元，其中一般公共预算财政拨款939.04万元，政府性基金预算财政拨款0万元。</w:t>
      </w:r>
    </w:p>
    <w:p>
      <w:pPr>
        <w:pStyle w:val="7"/>
        <w:shd w:val="clear" w:color="auto" w:fill="FFFFFF"/>
        <w:spacing w:before="0" w:beforeAutospacing="0" w:after="12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2、2021年支出总额：939.04万元，其中基本支出：178.38万元，项目支出：760.66万元。</w:t>
      </w:r>
    </w:p>
    <w:p>
      <w:pPr>
        <w:pStyle w:val="7"/>
        <w:shd w:val="clear" w:color="auto" w:fill="FFFFFF"/>
        <w:spacing w:before="0" w:beforeAutospacing="0" w:after="12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（二）整体支出绩效目标</w:t>
      </w:r>
    </w:p>
    <w:p>
      <w:pPr>
        <w:pStyle w:val="7"/>
        <w:shd w:val="clear" w:color="auto" w:fill="FFFFFF"/>
        <w:spacing w:before="0" w:beforeAutospacing="0" w:after="12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1、预决算公开：根据市财政局的统一要求，对2020年部门决算和2021年的预算在市政府政务公开网站进行公开，其他各项应向社会公开的信息也及时、完整、真实的公开。</w:t>
      </w:r>
    </w:p>
    <w:p>
      <w:pPr>
        <w:pStyle w:val="7"/>
        <w:shd w:val="clear" w:color="auto" w:fill="FFFFFF"/>
        <w:spacing w:before="0" w:beforeAutospacing="0" w:after="12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2、资产管理：认真贯彻落实《行政事业性国有资产管理条例》规范资产配置、使用和处置各环节要求，确保国有资产安全。</w:t>
      </w:r>
    </w:p>
    <w:p>
      <w:pPr>
        <w:pStyle w:val="7"/>
        <w:shd w:val="clear" w:color="auto" w:fill="FFFFFF"/>
        <w:spacing w:before="0" w:beforeAutospacing="0" w:after="12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3、“三公经费”控制：为贯彻落实上级有关精神，严格控制“三公经费“支出，我部门公务接待做到有函接待、按标准接待、控制作陪人数、规范接待流程和公务接待报销手续。贯彻执行中央八项规定，坚决杜绝浪费，有效控制公务接待费用。</w:t>
      </w:r>
    </w:p>
    <w:p>
      <w:pPr>
        <w:pStyle w:val="7"/>
        <w:shd w:val="clear" w:color="auto" w:fill="FFFFFF"/>
        <w:spacing w:before="0" w:beforeAutospacing="0" w:after="12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（三）部门整体支出管理及使用情况</w:t>
      </w:r>
    </w:p>
    <w:p>
      <w:pPr>
        <w:pStyle w:val="7"/>
        <w:shd w:val="clear" w:color="auto" w:fill="FFFFFF"/>
        <w:spacing w:before="0" w:beforeAutospacing="0" w:after="12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1、基本支出</w:t>
      </w:r>
    </w:p>
    <w:p>
      <w:pPr>
        <w:pStyle w:val="7"/>
        <w:shd w:val="clear" w:color="auto" w:fill="FFFFFF"/>
        <w:spacing w:before="0" w:beforeAutospacing="0" w:after="12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基本支出178.38万元，其中工资福利支出156.44万元，占基本支出的87.7%,主要包括基本工资、津贴补贴、奖金、伙食补助费、社会保障费用等；对个人和家庭补助支出14.48万元，占基本支出的8.1%；公用经费7.45万元，占基本支出的4.2%，主要包括办公费、印刷费、水费、差旅费、咨询费、手续费、培训费、其他交通费等，</w:t>
      </w:r>
    </w:p>
    <w:p>
      <w:pPr>
        <w:pStyle w:val="7"/>
        <w:shd w:val="clear" w:color="auto" w:fill="FFFFFF"/>
        <w:spacing w:before="0" w:beforeAutospacing="0" w:after="12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2、项目支出</w:t>
      </w:r>
    </w:p>
    <w:p>
      <w:pPr>
        <w:pStyle w:val="7"/>
        <w:shd w:val="clear" w:color="auto" w:fill="FFFFFF"/>
        <w:spacing w:before="0" w:beforeAutospacing="0" w:after="12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项目支出760.66万元，其中一般行政管理事务50.66万元；农业生产发展70万元；农村合作经济120万元；对村集体经济组织的补助520万元。</w:t>
      </w:r>
    </w:p>
    <w:p>
      <w:pPr>
        <w:pStyle w:val="7"/>
        <w:shd w:val="clear" w:color="auto" w:fill="FFFFFF"/>
        <w:spacing w:before="0" w:beforeAutospacing="0" w:after="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二、主要绩效及评价结论</w:t>
      </w:r>
    </w:p>
    <w:p>
      <w:pPr>
        <w:pStyle w:val="7"/>
        <w:shd w:val="clear" w:color="auto" w:fill="FFFFFF"/>
        <w:spacing w:before="0" w:beforeAutospacing="0" w:after="0" w:afterAutospacing="0" w:line="480" w:lineRule="auto"/>
        <w:ind w:firstLine="480"/>
        <w:rPr>
          <w:rFonts w:asciiTheme="minorEastAsia" w:hAnsiTheme="minorEastAsia"/>
          <w:bCs/>
          <w:sz w:val="32"/>
          <w:szCs w:val="32"/>
        </w:rPr>
      </w:pPr>
      <w:r>
        <w:rPr>
          <w:rFonts w:hint="eastAsia" w:asciiTheme="minorEastAsia" w:hAnsiTheme="minorEastAsia"/>
          <w:bCs/>
          <w:sz w:val="32"/>
          <w:szCs w:val="32"/>
        </w:rPr>
        <w:t>2021年在市委、市政府的正确领导下，市农业农村局的指导下，我站紧紧围绕乡村振兴战略，扎实抓好农经管理工作，取得明显成效</w:t>
      </w:r>
    </w:p>
    <w:p>
      <w:pPr>
        <w:pStyle w:val="14"/>
        <w:spacing w:line="640" w:lineRule="exact"/>
        <w:ind w:firstLine="640"/>
        <w:rPr>
          <w:rFonts w:eastAsia="宋体" w:cs="宋体" w:asciiTheme="minorEastAsia" w:hAnsiTheme="minorEastAsia"/>
          <w:bCs/>
          <w:kern w:val="0"/>
          <w:sz w:val="32"/>
          <w:szCs w:val="32"/>
        </w:rPr>
      </w:pPr>
      <w:r>
        <w:rPr>
          <w:rFonts w:hint="eastAsia" w:eastAsia="宋体" w:cs="宋体" w:asciiTheme="minorEastAsia" w:hAnsiTheme="minorEastAsia"/>
          <w:bCs/>
          <w:kern w:val="0"/>
          <w:sz w:val="32"/>
          <w:szCs w:val="32"/>
        </w:rPr>
        <w:t>（一）圆满完成农村土地确权颁证。2019年，我市获评全省农村承包地确权登记颁证工作先进单位。目前，全市已建成土地确权信息应用平台，常态化开展人口信息和田块信息更新今年共办理320人次、土地承包纠纷调处15件，确权颁证“回头看”工作一刻没有放松。</w:t>
      </w:r>
    </w:p>
    <w:p>
      <w:pPr>
        <w:spacing w:line="640" w:lineRule="exact"/>
        <w:ind w:firstLine="480" w:firstLineChars="150"/>
        <w:rPr>
          <w:rFonts w:eastAsia="宋体" w:cs="宋体" w:asciiTheme="minorEastAsia" w:hAnsiTheme="minorEastAsia"/>
          <w:bCs/>
          <w:kern w:val="0"/>
          <w:sz w:val="32"/>
          <w:szCs w:val="32"/>
        </w:rPr>
      </w:pPr>
      <w:r>
        <w:rPr>
          <w:rFonts w:hint="eastAsia" w:eastAsia="宋体" w:cs="宋体" w:asciiTheme="minorEastAsia" w:hAnsiTheme="minorEastAsia"/>
          <w:bCs/>
          <w:kern w:val="0"/>
          <w:sz w:val="32"/>
          <w:szCs w:val="32"/>
        </w:rPr>
        <w:t>（二）稳步推进农村集体产权制度改革。全面完成农村集体资产清产核资、集体经济组织成员身份确认、农村集体经济组织登记赋码、集体资产股权量化管理等工作，全市各村资产总计411687.22万元，较去年新增了17446.5万元，其中经营性资产43694.59万元，较去年新增了9755.97万元。</w:t>
      </w:r>
    </w:p>
    <w:p>
      <w:pPr>
        <w:spacing w:line="640" w:lineRule="exact"/>
        <w:ind w:firstLine="480" w:firstLineChars="150"/>
        <w:rPr>
          <w:rFonts w:eastAsia="宋体" w:cs="宋体" w:asciiTheme="minorEastAsia" w:hAnsiTheme="minorEastAsia"/>
          <w:bCs/>
          <w:kern w:val="0"/>
          <w:sz w:val="32"/>
          <w:szCs w:val="32"/>
        </w:rPr>
      </w:pPr>
      <w:r>
        <w:rPr>
          <w:rFonts w:hint="eastAsia" w:eastAsia="宋体" w:cs="宋体" w:asciiTheme="minorEastAsia" w:hAnsiTheme="minorEastAsia"/>
          <w:bCs/>
          <w:kern w:val="0"/>
          <w:sz w:val="32"/>
          <w:szCs w:val="32"/>
        </w:rPr>
        <w:t>我市组织开展了农村集体产权制度改革“回头看”自查工作，已全面完成。目前，正推进农村集体产权制度改革资料收集归档入馆工作。</w:t>
      </w:r>
    </w:p>
    <w:p>
      <w:pPr>
        <w:spacing w:line="640" w:lineRule="exact"/>
        <w:ind w:firstLine="320" w:firstLineChars="100"/>
        <w:rPr>
          <w:rFonts w:eastAsia="宋体" w:cs="宋体" w:asciiTheme="minorEastAsia" w:hAnsiTheme="minorEastAsia"/>
          <w:bCs/>
          <w:kern w:val="0"/>
          <w:sz w:val="32"/>
          <w:szCs w:val="32"/>
        </w:rPr>
      </w:pPr>
      <w:r>
        <w:rPr>
          <w:rFonts w:hint="eastAsia" w:eastAsia="宋体" w:cs="宋体" w:asciiTheme="minorEastAsia" w:hAnsiTheme="minorEastAsia"/>
          <w:bCs/>
          <w:kern w:val="0"/>
          <w:sz w:val="32"/>
          <w:szCs w:val="32"/>
        </w:rPr>
        <w:t>　(三)完善农村土地“三权分置”改革。全市流转耕地面积41.95万亩，新增耕地流转面积2.45万亩，新增率为5.8%。建立了县级土地流转交易服务大厅及22个镇办土地流转服务中心，为农户土地流转提供了便利，发挥了市场重要作用。</w:t>
      </w:r>
    </w:p>
    <w:p>
      <w:pPr>
        <w:spacing w:line="640" w:lineRule="exact"/>
        <w:ind w:firstLine="320" w:firstLineChars="100"/>
        <w:rPr>
          <w:rFonts w:eastAsia="宋体" w:cs="宋体" w:asciiTheme="minorEastAsia" w:hAnsiTheme="minorEastAsia"/>
          <w:bCs/>
          <w:kern w:val="0"/>
          <w:sz w:val="32"/>
          <w:szCs w:val="32"/>
        </w:rPr>
      </w:pPr>
      <w:r>
        <w:rPr>
          <w:rFonts w:hint="eastAsia" w:eastAsia="宋体" w:cs="宋体" w:asciiTheme="minorEastAsia" w:hAnsiTheme="minorEastAsia"/>
          <w:bCs/>
          <w:kern w:val="0"/>
          <w:sz w:val="32"/>
          <w:szCs w:val="32"/>
        </w:rPr>
        <w:t>　（四)农村土地承包经营纠纷调解仲裁工作。健全土地仲裁体系，今年受理土地纠纷信访案件24起，调解案件24起，做到了无一起群体性到省市上访案件。</w:t>
      </w:r>
    </w:p>
    <w:p>
      <w:pPr>
        <w:pStyle w:val="14"/>
        <w:spacing w:line="640" w:lineRule="exact"/>
        <w:ind w:firstLine="640"/>
        <w:rPr>
          <w:rFonts w:eastAsia="宋体" w:cs="宋体" w:asciiTheme="minorEastAsia" w:hAnsiTheme="minorEastAsia"/>
          <w:bCs/>
          <w:kern w:val="0"/>
          <w:sz w:val="32"/>
          <w:szCs w:val="32"/>
        </w:rPr>
      </w:pPr>
      <w:r>
        <w:rPr>
          <w:rFonts w:hint="eastAsia" w:eastAsia="宋体" w:cs="宋体" w:asciiTheme="minorEastAsia" w:hAnsiTheme="minorEastAsia"/>
          <w:bCs/>
          <w:kern w:val="0"/>
          <w:sz w:val="32"/>
          <w:szCs w:val="32"/>
        </w:rPr>
        <w:t>（五）新型经营主体蓬勃发展。2018年我市被评为“湖南省家庭农场示范县”；2020年我市被认为农民合作社质量提升整县推进试点县。为发展现代农业和促进农民增收，全市涌现出了一大批“亮点突出、特色鲜明、经营规模适度、产品质量优、诚实守信、自律自强、自我管理规范”的农民合作社和家庭农场。农民合作社1255个、新增50个，家庭农场6123家、新增73家，其中国家级示范社8个，省级17个、省百佳示范社2个、永州市级37个、县级86个；省级示范家庭农场19家、省百佳家庭农场2家、永州市级44家、县级227家。</w:t>
      </w:r>
    </w:p>
    <w:p>
      <w:pPr>
        <w:spacing w:line="640" w:lineRule="exact"/>
        <w:ind w:firstLine="640" w:firstLineChars="200"/>
        <w:jc w:val="left"/>
        <w:textAlignment w:val="baseline"/>
        <w:rPr>
          <w:rFonts w:eastAsia="宋体" w:cs="宋体" w:asciiTheme="minorEastAsia" w:hAnsiTheme="minorEastAsia"/>
          <w:bCs/>
          <w:kern w:val="0"/>
          <w:sz w:val="32"/>
          <w:szCs w:val="32"/>
        </w:rPr>
      </w:pPr>
      <w:r>
        <w:rPr>
          <w:rFonts w:hint="eastAsia" w:eastAsia="宋体" w:cs="宋体" w:asciiTheme="minorEastAsia" w:hAnsiTheme="minorEastAsia"/>
          <w:bCs/>
          <w:kern w:val="0"/>
          <w:sz w:val="32"/>
          <w:szCs w:val="32"/>
        </w:rPr>
        <w:t>（六）进一步规范村级财务管理。对全市560个村全面开展财务清查和村组织成员任期经济责任审计工作，发现村（社区）财务清查审计违纪违规案件数28件，处理违纪违规人数52人，退赔资金99.89万元，涉及违纪违规资金166.54万元，现在案件均按法定程序进行了处理，已全部处理到位。</w:t>
      </w:r>
    </w:p>
    <w:p>
      <w:pPr>
        <w:spacing w:line="640" w:lineRule="exact"/>
        <w:ind w:firstLine="640" w:firstLineChars="200"/>
        <w:rPr>
          <w:rFonts w:eastAsia="宋体" w:cs="宋体" w:asciiTheme="minorEastAsia" w:hAnsiTheme="minorEastAsia"/>
          <w:bCs/>
          <w:kern w:val="0"/>
          <w:sz w:val="32"/>
          <w:szCs w:val="32"/>
        </w:rPr>
      </w:pPr>
      <w:r>
        <w:rPr>
          <w:rFonts w:hint="eastAsia" w:eastAsia="宋体" w:cs="宋体" w:asciiTheme="minorEastAsia" w:hAnsiTheme="minorEastAsia"/>
          <w:bCs/>
          <w:kern w:val="0"/>
          <w:sz w:val="32"/>
          <w:szCs w:val="32"/>
        </w:rPr>
        <w:t>（七）农村集体经济发展工作。坚持把发展壮大村级集体经济作为加强农村基层组织建设的基础性工程，以拓宽村集体增收渠道为重点，以无经营性收入村和集体收入薄弱村为突破口，着力优化政策环境、增强项目支撑、加大资金投入、提供人才保障，形成齐抓共管有序推进的良好态势，2021年全市13个村得到中央财政扶持资金520万元。</w:t>
      </w:r>
    </w:p>
    <w:p>
      <w:pPr>
        <w:pStyle w:val="3"/>
        <w:spacing w:line="640" w:lineRule="exact"/>
        <w:ind w:firstLine="644"/>
        <w:rPr>
          <w:rFonts w:cs="宋体" w:asciiTheme="minorEastAsia" w:hAnsiTheme="minorEastAsia"/>
          <w:bCs/>
          <w:kern w:val="0"/>
          <w:sz w:val="32"/>
          <w:szCs w:val="32"/>
        </w:rPr>
      </w:pPr>
      <w:r>
        <w:rPr>
          <w:rFonts w:hint="eastAsia" w:cs="宋体" w:asciiTheme="minorEastAsia" w:hAnsiTheme="minorEastAsia"/>
          <w:bCs/>
          <w:kern w:val="0"/>
          <w:sz w:val="32"/>
          <w:szCs w:val="32"/>
        </w:rPr>
        <w:t>（八）农民权益维护和农民负担监管。狠抓涉农乱收费、乱摊派专项整治，重点抓好农村义务教育、农民建房、农网改造等领域向农民乱收费，以及村级组织新型农业经营主体乱收费、乱摊派行为，治理滞留、截留、挪用、套取惠农补贴行为，治理侵害农民土地承包经营权等行为。</w:t>
      </w:r>
    </w:p>
    <w:p>
      <w:pPr>
        <w:ind w:firstLine="640" w:firstLineChars="200"/>
        <w:jc w:val="left"/>
        <w:rPr>
          <w:rFonts w:eastAsia="宋体" w:cs="宋体" w:asciiTheme="minorEastAsia" w:hAnsiTheme="minorEastAsia"/>
          <w:bCs/>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5YWYxMGQwY2YyNDNhMTFmZWM0MjJlZWQxOTk1NGUifQ=="/>
  </w:docVars>
  <w:rsids>
    <w:rsidRoot w:val="004506F9"/>
    <w:rsid w:val="000072F9"/>
    <w:rsid w:val="00020B09"/>
    <w:rsid w:val="0002229B"/>
    <w:rsid w:val="00026478"/>
    <w:rsid w:val="000273BD"/>
    <w:rsid w:val="000336B6"/>
    <w:rsid w:val="000415B7"/>
    <w:rsid w:val="00041E3F"/>
    <w:rsid w:val="00042EFF"/>
    <w:rsid w:val="00045FAB"/>
    <w:rsid w:val="00055DAA"/>
    <w:rsid w:val="00061F7B"/>
    <w:rsid w:val="000658A3"/>
    <w:rsid w:val="0006686E"/>
    <w:rsid w:val="0007326F"/>
    <w:rsid w:val="0007351C"/>
    <w:rsid w:val="00074155"/>
    <w:rsid w:val="00074914"/>
    <w:rsid w:val="000873EF"/>
    <w:rsid w:val="000952B9"/>
    <w:rsid w:val="00095EDA"/>
    <w:rsid w:val="000A3F69"/>
    <w:rsid w:val="000A704B"/>
    <w:rsid w:val="000D5BAD"/>
    <w:rsid w:val="000D6787"/>
    <w:rsid w:val="000D6828"/>
    <w:rsid w:val="000F2B1F"/>
    <w:rsid w:val="00103957"/>
    <w:rsid w:val="00106ADB"/>
    <w:rsid w:val="001145EB"/>
    <w:rsid w:val="00121EE5"/>
    <w:rsid w:val="001230C1"/>
    <w:rsid w:val="00124A1F"/>
    <w:rsid w:val="00130963"/>
    <w:rsid w:val="00152C6D"/>
    <w:rsid w:val="00153C57"/>
    <w:rsid w:val="00162D39"/>
    <w:rsid w:val="0016421F"/>
    <w:rsid w:val="00164EA5"/>
    <w:rsid w:val="001678BD"/>
    <w:rsid w:val="001711B1"/>
    <w:rsid w:val="00182373"/>
    <w:rsid w:val="001850D8"/>
    <w:rsid w:val="001A67DB"/>
    <w:rsid w:val="001A7F7D"/>
    <w:rsid w:val="001B1B89"/>
    <w:rsid w:val="001C3C29"/>
    <w:rsid w:val="001C6FE2"/>
    <w:rsid w:val="001C7A47"/>
    <w:rsid w:val="001D51E5"/>
    <w:rsid w:val="001E080D"/>
    <w:rsid w:val="001E2B32"/>
    <w:rsid w:val="001E36A5"/>
    <w:rsid w:val="001E53D0"/>
    <w:rsid w:val="001F0C3B"/>
    <w:rsid w:val="001F22DF"/>
    <w:rsid w:val="001F5145"/>
    <w:rsid w:val="00202C14"/>
    <w:rsid w:val="00202C82"/>
    <w:rsid w:val="00211B14"/>
    <w:rsid w:val="00214427"/>
    <w:rsid w:val="00226CB7"/>
    <w:rsid w:val="002358DE"/>
    <w:rsid w:val="00240D30"/>
    <w:rsid w:val="00264552"/>
    <w:rsid w:val="00264EF9"/>
    <w:rsid w:val="00265724"/>
    <w:rsid w:val="00271700"/>
    <w:rsid w:val="00272E39"/>
    <w:rsid w:val="0027426B"/>
    <w:rsid w:val="00293802"/>
    <w:rsid w:val="002A68BE"/>
    <w:rsid w:val="002B33E5"/>
    <w:rsid w:val="002C3EC7"/>
    <w:rsid w:val="002C4A65"/>
    <w:rsid w:val="002D6582"/>
    <w:rsid w:val="002D7686"/>
    <w:rsid w:val="002E0A30"/>
    <w:rsid w:val="002F0346"/>
    <w:rsid w:val="003130C4"/>
    <w:rsid w:val="0031577A"/>
    <w:rsid w:val="00316C4B"/>
    <w:rsid w:val="0032192B"/>
    <w:rsid w:val="00323B90"/>
    <w:rsid w:val="00327F88"/>
    <w:rsid w:val="00336660"/>
    <w:rsid w:val="00341733"/>
    <w:rsid w:val="00344460"/>
    <w:rsid w:val="003460B1"/>
    <w:rsid w:val="003479BD"/>
    <w:rsid w:val="0036037F"/>
    <w:rsid w:val="00360A74"/>
    <w:rsid w:val="00366B76"/>
    <w:rsid w:val="0037197D"/>
    <w:rsid w:val="003768D5"/>
    <w:rsid w:val="00376E76"/>
    <w:rsid w:val="00382AC4"/>
    <w:rsid w:val="003923EA"/>
    <w:rsid w:val="003B5ACD"/>
    <w:rsid w:val="003B6625"/>
    <w:rsid w:val="003C4197"/>
    <w:rsid w:val="003C47E6"/>
    <w:rsid w:val="003C4FC2"/>
    <w:rsid w:val="003E082A"/>
    <w:rsid w:val="003E2331"/>
    <w:rsid w:val="003E5F40"/>
    <w:rsid w:val="003E7435"/>
    <w:rsid w:val="00416E61"/>
    <w:rsid w:val="00422200"/>
    <w:rsid w:val="0042790C"/>
    <w:rsid w:val="00440BE5"/>
    <w:rsid w:val="004506F9"/>
    <w:rsid w:val="00454444"/>
    <w:rsid w:val="004717A2"/>
    <w:rsid w:val="00473DF3"/>
    <w:rsid w:val="00483031"/>
    <w:rsid w:val="00487911"/>
    <w:rsid w:val="00491741"/>
    <w:rsid w:val="00495D89"/>
    <w:rsid w:val="0049634F"/>
    <w:rsid w:val="004B0CEE"/>
    <w:rsid w:val="004C2F33"/>
    <w:rsid w:val="004C5965"/>
    <w:rsid w:val="004D0853"/>
    <w:rsid w:val="004F5742"/>
    <w:rsid w:val="004F5FE8"/>
    <w:rsid w:val="00500E5F"/>
    <w:rsid w:val="00500FEF"/>
    <w:rsid w:val="00503F44"/>
    <w:rsid w:val="005043D5"/>
    <w:rsid w:val="005122EF"/>
    <w:rsid w:val="0051441A"/>
    <w:rsid w:val="00517C33"/>
    <w:rsid w:val="00517D5F"/>
    <w:rsid w:val="00521AF2"/>
    <w:rsid w:val="00523644"/>
    <w:rsid w:val="0054069E"/>
    <w:rsid w:val="00541E95"/>
    <w:rsid w:val="00544866"/>
    <w:rsid w:val="005648A8"/>
    <w:rsid w:val="005767CC"/>
    <w:rsid w:val="00587408"/>
    <w:rsid w:val="00590D9F"/>
    <w:rsid w:val="00595D26"/>
    <w:rsid w:val="005A74E6"/>
    <w:rsid w:val="005B1101"/>
    <w:rsid w:val="005B1CDD"/>
    <w:rsid w:val="005B3190"/>
    <w:rsid w:val="005B404E"/>
    <w:rsid w:val="005C3109"/>
    <w:rsid w:val="005C76B8"/>
    <w:rsid w:val="005D4444"/>
    <w:rsid w:val="005D4CDA"/>
    <w:rsid w:val="005D4D55"/>
    <w:rsid w:val="005E2CFB"/>
    <w:rsid w:val="005E6886"/>
    <w:rsid w:val="005F2103"/>
    <w:rsid w:val="005F3D1C"/>
    <w:rsid w:val="00603AA0"/>
    <w:rsid w:val="0061152A"/>
    <w:rsid w:val="00620CAB"/>
    <w:rsid w:val="00621CA1"/>
    <w:rsid w:val="0062371E"/>
    <w:rsid w:val="0062378F"/>
    <w:rsid w:val="00641842"/>
    <w:rsid w:val="00642EE7"/>
    <w:rsid w:val="00645DCE"/>
    <w:rsid w:val="00651EEC"/>
    <w:rsid w:val="00686673"/>
    <w:rsid w:val="00691E8C"/>
    <w:rsid w:val="00693EA4"/>
    <w:rsid w:val="006A22C4"/>
    <w:rsid w:val="006A348B"/>
    <w:rsid w:val="006A351B"/>
    <w:rsid w:val="006B0422"/>
    <w:rsid w:val="006C1B53"/>
    <w:rsid w:val="006D2898"/>
    <w:rsid w:val="006D7730"/>
    <w:rsid w:val="006E5284"/>
    <w:rsid w:val="006F1C50"/>
    <w:rsid w:val="006F3EB5"/>
    <w:rsid w:val="00702E34"/>
    <w:rsid w:val="00704395"/>
    <w:rsid w:val="00710FE7"/>
    <w:rsid w:val="00717621"/>
    <w:rsid w:val="00720FF1"/>
    <w:rsid w:val="00727A53"/>
    <w:rsid w:val="00727F86"/>
    <w:rsid w:val="0073010B"/>
    <w:rsid w:val="00756520"/>
    <w:rsid w:val="00787B42"/>
    <w:rsid w:val="00796830"/>
    <w:rsid w:val="007B6539"/>
    <w:rsid w:val="007C4539"/>
    <w:rsid w:val="007C4EDA"/>
    <w:rsid w:val="007C6480"/>
    <w:rsid w:val="007E14C6"/>
    <w:rsid w:val="007E5C36"/>
    <w:rsid w:val="007F3657"/>
    <w:rsid w:val="007F43FC"/>
    <w:rsid w:val="007F6F12"/>
    <w:rsid w:val="008050B1"/>
    <w:rsid w:val="00812ED5"/>
    <w:rsid w:val="00822EAF"/>
    <w:rsid w:val="008277D9"/>
    <w:rsid w:val="00835EA6"/>
    <w:rsid w:val="008404B1"/>
    <w:rsid w:val="0084478C"/>
    <w:rsid w:val="00855555"/>
    <w:rsid w:val="00856489"/>
    <w:rsid w:val="008572AB"/>
    <w:rsid w:val="0086638C"/>
    <w:rsid w:val="008700C4"/>
    <w:rsid w:val="0087484E"/>
    <w:rsid w:val="008963E9"/>
    <w:rsid w:val="008A3E8D"/>
    <w:rsid w:val="008B0238"/>
    <w:rsid w:val="008B0F78"/>
    <w:rsid w:val="008D40AF"/>
    <w:rsid w:val="008F2516"/>
    <w:rsid w:val="009237C4"/>
    <w:rsid w:val="0093749F"/>
    <w:rsid w:val="00944C48"/>
    <w:rsid w:val="00950252"/>
    <w:rsid w:val="00967F5D"/>
    <w:rsid w:val="00977E77"/>
    <w:rsid w:val="00981E28"/>
    <w:rsid w:val="009866D5"/>
    <w:rsid w:val="009A0F95"/>
    <w:rsid w:val="009B137C"/>
    <w:rsid w:val="009B3ADF"/>
    <w:rsid w:val="009C3B52"/>
    <w:rsid w:val="009C5590"/>
    <w:rsid w:val="009E04B6"/>
    <w:rsid w:val="009E2260"/>
    <w:rsid w:val="009E6817"/>
    <w:rsid w:val="009E6C34"/>
    <w:rsid w:val="009E6E9A"/>
    <w:rsid w:val="009F2A71"/>
    <w:rsid w:val="009F6584"/>
    <w:rsid w:val="00A01D2B"/>
    <w:rsid w:val="00A11697"/>
    <w:rsid w:val="00A40CA5"/>
    <w:rsid w:val="00A42218"/>
    <w:rsid w:val="00A45646"/>
    <w:rsid w:val="00A562A9"/>
    <w:rsid w:val="00A62331"/>
    <w:rsid w:val="00A65B34"/>
    <w:rsid w:val="00A70249"/>
    <w:rsid w:val="00A70B02"/>
    <w:rsid w:val="00A71D9F"/>
    <w:rsid w:val="00A75A56"/>
    <w:rsid w:val="00A760F8"/>
    <w:rsid w:val="00A811DC"/>
    <w:rsid w:val="00A839CB"/>
    <w:rsid w:val="00A92E9F"/>
    <w:rsid w:val="00AC17B9"/>
    <w:rsid w:val="00AC2DDD"/>
    <w:rsid w:val="00AD0066"/>
    <w:rsid w:val="00AD3CBD"/>
    <w:rsid w:val="00AF4A9E"/>
    <w:rsid w:val="00B018FD"/>
    <w:rsid w:val="00B04922"/>
    <w:rsid w:val="00B154ED"/>
    <w:rsid w:val="00B33BEA"/>
    <w:rsid w:val="00B451A8"/>
    <w:rsid w:val="00B51E0E"/>
    <w:rsid w:val="00B57C9F"/>
    <w:rsid w:val="00B63572"/>
    <w:rsid w:val="00B82AED"/>
    <w:rsid w:val="00B845B3"/>
    <w:rsid w:val="00B84A24"/>
    <w:rsid w:val="00B85D8B"/>
    <w:rsid w:val="00B93D32"/>
    <w:rsid w:val="00BA1985"/>
    <w:rsid w:val="00BA6C80"/>
    <w:rsid w:val="00BB4A40"/>
    <w:rsid w:val="00BB684E"/>
    <w:rsid w:val="00BC6373"/>
    <w:rsid w:val="00BD6C3E"/>
    <w:rsid w:val="00BD787E"/>
    <w:rsid w:val="00BE077D"/>
    <w:rsid w:val="00BE3674"/>
    <w:rsid w:val="00BF3096"/>
    <w:rsid w:val="00BF332D"/>
    <w:rsid w:val="00C10681"/>
    <w:rsid w:val="00C14CD2"/>
    <w:rsid w:val="00C16A32"/>
    <w:rsid w:val="00C3049A"/>
    <w:rsid w:val="00C31B1E"/>
    <w:rsid w:val="00C45E12"/>
    <w:rsid w:val="00C51E3B"/>
    <w:rsid w:val="00C54B92"/>
    <w:rsid w:val="00C5642B"/>
    <w:rsid w:val="00C71791"/>
    <w:rsid w:val="00C7430F"/>
    <w:rsid w:val="00C77645"/>
    <w:rsid w:val="00C8307C"/>
    <w:rsid w:val="00C8537D"/>
    <w:rsid w:val="00C85DF5"/>
    <w:rsid w:val="00CE04C3"/>
    <w:rsid w:val="00CE19AA"/>
    <w:rsid w:val="00CE76A0"/>
    <w:rsid w:val="00CF6496"/>
    <w:rsid w:val="00D00E33"/>
    <w:rsid w:val="00D03FC7"/>
    <w:rsid w:val="00D05FF9"/>
    <w:rsid w:val="00D148C6"/>
    <w:rsid w:val="00D17A8A"/>
    <w:rsid w:val="00D2067D"/>
    <w:rsid w:val="00D209E7"/>
    <w:rsid w:val="00D23F88"/>
    <w:rsid w:val="00D415BA"/>
    <w:rsid w:val="00D4756C"/>
    <w:rsid w:val="00D50E50"/>
    <w:rsid w:val="00D61362"/>
    <w:rsid w:val="00D63780"/>
    <w:rsid w:val="00D644EE"/>
    <w:rsid w:val="00D6659F"/>
    <w:rsid w:val="00D70070"/>
    <w:rsid w:val="00D75489"/>
    <w:rsid w:val="00D80C56"/>
    <w:rsid w:val="00D9487A"/>
    <w:rsid w:val="00DA393A"/>
    <w:rsid w:val="00DB1B17"/>
    <w:rsid w:val="00DB54D6"/>
    <w:rsid w:val="00DC4232"/>
    <w:rsid w:val="00DD06FF"/>
    <w:rsid w:val="00DD44F1"/>
    <w:rsid w:val="00DD5FE9"/>
    <w:rsid w:val="00DD7913"/>
    <w:rsid w:val="00DE0192"/>
    <w:rsid w:val="00E00C7A"/>
    <w:rsid w:val="00E209CF"/>
    <w:rsid w:val="00E37D6C"/>
    <w:rsid w:val="00E50529"/>
    <w:rsid w:val="00E5299C"/>
    <w:rsid w:val="00E548DE"/>
    <w:rsid w:val="00E55B68"/>
    <w:rsid w:val="00E67BE6"/>
    <w:rsid w:val="00E867D2"/>
    <w:rsid w:val="00E8683C"/>
    <w:rsid w:val="00E87525"/>
    <w:rsid w:val="00E87636"/>
    <w:rsid w:val="00E935DD"/>
    <w:rsid w:val="00E94D87"/>
    <w:rsid w:val="00EA2B72"/>
    <w:rsid w:val="00EB64FB"/>
    <w:rsid w:val="00EB69F5"/>
    <w:rsid w:val="00EC0113"/>
    <w:rsid w:val="00EC2CA4"/>
    <w:rsid w:val="00ED5859"/>
    <w:rsid w:val="00EE0112"/>
    <w:rsid w:val="00EE640A"/>
    <w:rsid w:val="00EF78B5"/>
    <w:rsid w:val="00F32C19"/>
    <w:rsid w:val="00F74360"/>
    <w:rsid w:val="00F813D9"/>
    <w:rsid w:val="00F819C9"/>
    <w:rsid w:val="00FA3C0D"/>
    <w:rsid w:val="00FA536B"/>
    <w:rsid w:val="00FB04EC"/>
    <w:rsid w:val="00FB27A8"/>
    <w:rsid w:val="00FB462F"/>
    <w:rsid w:val="00FD0584"/>
    <w:rsid w:val="00FE16FA"/>
    <w:rsid w:val="00FE328A"/>
    <w:rsid w:val="00FE5903"/>
    <w:rsid w:val="00FE5F92"/>
    <w:rsid w:val="00FE6269"/>
    <w:rsid w:val="00FF5CD6"/>
    <w:rsid w:val="0284729D"/>
    <w:rsid w:val="190674ED"/>
    <w:rsid w:val="22D76843"/>
    <w:rsid w:val="415E0AB2"/>
    <w:rsid w:val="46641E67"/>
    <w:rsid w:val="49F32812"/>
    <w:rsid w:val="4AD322C8"/>
    <w:rsid w:val="531D1B08"/>
    <w:rsid w:val="5663258A"/>
    <w:rsid w:val="57753DBA"/>
    <w:rsid w:val="6D5826A0"/>
    <w:rsid w:val="6DF542BD"/>
    <w:rsid w:val="702267A2"/>
    <w:rsid w:val="7DA3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7"/>
    <w:unhideWhenUsed/>
    <w:qFormat/>
    <w:uiPriority w:val="0"/>
    <w:pPr>
      <w:spacing w:after="120"/>
    </w:pPr>
    <w:rPr>
      <w:rFonts w:ascii="Times New Roman" w:hAnsi="Times New Roman" w:eastAsia="宋体" w:cs="Times New Roman"/>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正文文本 Char"/>
    <w:basedOn w:val="9"/>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12079</Words>
  <Characters>14207</Characters>
  <Lines>125</Lines>
  <Paragraphs>35</Paragraphs>
  <TotalTime>5</TotalTime>
  <ScaleCrop>false</ScaleCrop>
  <LinksUpToDate>false</LinksUpToDate>
  <CharactersWithSpaces>15762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YA</cp:lastModifiedBy>
  <cp:lastPrinted>2022-07-27T12:55:00Z</cp:lastPrinted>
  <dcterms:modified xsi:type="dcterms:W3CDTF">2023-09-25T13:21:14Z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6134F87D42E444D39DA2F52D4F6D23C6_12</vt:lpwstr>
  </property>
</Properties>
</file>