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rFonts w:asciiTheme="minorEastAsia" w:hAnsiTheme="minorEastAsia" w:eastAsiaTheme="minorEastAsia"/>
          <w:sz w:val="56"/>
          <w:szCs w:val="56"/>
          <w:highlight w:val="none"/>
        </w:rPr>
      </w:pPr>
    </w:p>
    <w:p>
      <w:pPr>
        <w:pStyle w:val="14"/>
        <w:jc w:val="center"/>
        <w:rPr>
          <w:rFonts w:asciiTheme="minorEastAsia" w:hAnsiTheme="minorEastAsia" w:eastAsiaTheme="minorEastAsia"/>
          <w:sz w:val="56"/>
          <w:szCs w:val="56"/>
          <w:highlight w:val="none"/>
        </w:rPr>
      </w:pPr>
    </w:p>
    <w:p>
      <w:pPr>
        <w:pStyle w:val="14"/>
        <w:jc w:val="center"/>
        <w:rPr>
          <w:rFonts w:asciiTheme="minorEastAsia" w:hAnsiTheme="minorEastAsia" w:eastAsiaTheme="minorEastAsia"/>
          <w:sz w:val="84"/>
          <w:szCs w:val="84"/>
          <w:highlight w:val="none"/>
        </w:rPr>
      </w:pPr>
    </w:p>
    <w:p>
      <w:pPr>
        <w:pStyle w:val="14"/>
        <w:jc w:val="center"/>
        <w:rPr>
          <w:rFonts w:asciiTheme="minorEastAsia" w:hAnsiTheme="minorEastAsia" w:eastAsiaTheme="minorEastAsia"/>
          <w:sz w:val="84"/>
          <w:szCs w:val="84"/>
          <w:highlight w:val="none"/>
        </w:rPr>
      </w:pPr>
    </w:p>
    <w:p>
      <w:pPr>
        <w:pStyle w:val="14"/>
        <w:jc w:val="center"/>
        <w:rPr>
          <w:rFonts w:asciiTheme="minorEastAsia" w:hAnsiTheme="minorEastAsia" w:eastAsiaTheme="minorEastAsia"/>
          <w:sz w:val="84"/>
          <w:szCs w:val="84"/>
          <w:highlight w:val="none"/>
        </w:rPr>
      </w:pPr>
    </w:p>
    <w:p>
      <w:pPr>
        <w:pStyle w:val="14"/>
        <w:jc w:val="center"/>
        <w:rPr>
          <w:rFonts w:asciiTheme="minorEastAsia" w:hAnsiTheme="minorEastAsia" w:eastAsiaTheme="minorEastAsia"/>
          <w:b w:val="0"/>
          <w:bCs w:val="0"/>
          <w:sz w:val="84"/>
          <w:szCs w:val="84"/>
          <w:highlight w:val="none"/>
        </w:rPr>
      </w:pPr>
      <w:r>
        <w:rPr>
          <w:rFonts w:hint="eastAsia" w:asciiTheme="minorEastAsia" w:hAnsiTheme="minorEastAsia" w:eastAsiaTheme="minorEastAsia"/>
          <w:b w:val="0"/>
          <w:bCs w:val="0"/>
          <w:sz w:val="84"/>
          <w:szCs w:val="84"/>
          <w:highlight w:val="none"/>
        </w:rPr>
        <w:t>2021年度</w:t>
      </w:r>
    </w:p>
    <w:p>
      <w:pPr>
        <w:pStyle w:val="14"/>
        <w:jc w:val="center"/>
        <w:rPr>
          <w:rFonts w:hint="eastAsia" w:asciiTheme="minorEastAsia" w:hAnsiTheme="minorEastAsia" w:eastAsiaTheme="minorEastAsia"/>
          <w:b w:val="0"/>
          <w:bCs w:val="0"/>
          <w:sz w:val="84"/>
          <w:szCs w:val="84"/>
          <w:highlight w:val="none"/>
          <w:lang w:eastAsia="zh-CN"/>
        </w:rPr>
      </w:pPr>
      <w:r>
        <w:rPr>
          <w:rFonts w:hint="eastAsia" w:asciiTheme="minorEastAsia" w:hAnsiTheme="minorEastAsia" w:eastAsiaTheme="minorEastAsia"/>
          <w:b w:val="0"/>
          <w:bCs w:val="0"/>
          <w:sz w:val="84"/>
          <w:szCs w:val="84"/>
          <w:highlight w:val="none"/>
          <w:lang w:eastAsia="zh-CN"/>
        </w:rPr>
        <w:t>中共祁阳市委</w:t>
      </w:r>
    </w:p>
    <w:p>
      <w:pPr>
        <w:pStyle w:val="14"/>
        <w:jc w:val="center"/>
        <w:rPr>
          <w:rFonts w:asciiTheme="minorEastAsia" w:hAnsiTheme="minorEastAsia" w:eastAsiaTheme="minorEastAsia"/>
          <w:b w:val="0"/>
          <w:bCs w:val="0"/>
          <w:sz w:val="84"/>
          <w:szCs w:val="84"/>
          <w:highlight w:val="none"/>
        </w:rPr>
      </w:pPr>
      <w:r>
        <w:rPr>
          <w:rFonts w:hint="eastAsia" w:asciiTheme="minorEastAsia" w:hAnsiTheme="minorEastAsia" w:eastAsiaTheme="minorEastAsia"/>
          <w:b w:val="0"/>
          <w:bCs w:val="0"/>
          <w:sz w:val="84"/>
          <w:szCs w:val="84"/>
          <w:highlight w:val="none"/>
          <w:lang w:eastAsia="zh-CN"/>
        </w:rPr>
        <w:t>政法委员会</w:t>
      </w:r>
      <w:r>
        <w:rPr>
          <w:rFonts w:hint="eastAsia" w:asciiTheme="minorEastAsia" w:hAnsiTheme="minorEastAsia" w:eastAsiaTheme="minorEastAsia"/>
          <w:b w:val="0"/>
          <w:bCs w:val="0"/>
          <w:sz w:val="84"/>
          <w:szCs w:val="84"/>
          <w:highlight w:val="none"/>
        </w:rPr>
        <w:t>部门决算</w:t>
      </w:r>
    </w:p>
    <w:p>
      <w:pPr>
        <w:pStyle w:val="14"/>
        <w:jc w:val="center"/>
        <w:rPr>
          <w:rFonts w:asciiTheme="minorEastAsia" w:hAnsiTheme="minorEastAsia" w:eastAsiaTheme="minorEastAsia"/>
          <w:sz w:val="56"/>
          <w:szCs w:val="56"/>
          <w:highlight w:val="none"/>
        </w:rPr>
      </w:pPr>
    </w:p>
    <w:p>
      <w:pPr>
        <w:pStyle w:val="14"/>
        <w:jc w:val="center"/>
        <w:rPr>
          <w:rFonts w:asciiTheme="minorEastAsia" w:hAnsiTheme="minorEastAsia" w:eastAsiaTheme="minorEastAsia"/>
          <w:sz w:val="56"/>
          <w:szCs w:val="56"/>
          <w:highlight w:val="none"/>
        </w:rPr>
      </w:pPr>
    </w:p>
    <w:p>
      <w:pPr>
        <w:pStyle w:val="14"/>
        <w:jc w:val="center"/>
        <w:rPr>
          <w:rFonts w:asciiTheme="minorEastAsia" w:hAnsiTheme="minorEastAsia" w:eastAsiaTheme="minorEastAsia"/>
          <w:sz w:val="56"/>
          <w:szCs w:val="56"/>
          <w:highlight w:val="none"/>
        </w:rPr>
      </w:pPr>
    </w:p>
    <w:p>
      <w:pPr>
        <w:pStyle w:val="14"/>
        <w:jc w:val="center"/>
        <w:rPr>
          <w:rFonts w:asciiTheme="minorEastAsia" w:hAnsiTheme="minorEastAsia" w:eastAsiaTheme="minorEastAsia"/>
          <w:sz w:val="56"/>
          <w:szCs w:val="56"/>
          <w:highlight w:val="none"/>
        </w:rPr>
      </w:pPr>
    </w:p>
    <w:p>
      <w:pPr>
        <w:pStyle w:val="14"/>
        <w:jc w:val="center"/>
        <w:rPr>
          <w:rFonts w:asciiTheme="minorEastAsia" w:hAnsiTheme="minorEastAsia" w:eastAsiaTheme="minorEastAsia"/>
          <w:sz w:val="32"/>
          <w:szCs w:val="32"/>
          <w:highlight w:val="none"/>
        </w:rPr>
      </w:pPr>
    </w:p>
    <w:p>
      <w:pPr>
        <w:pStyle w:val="14"/>
        <w:jc w:val="center"/>
        <w:rPr>
          <w:rFonts w:asciiTheme="minorEastAsia" w:hAnsiTheme="minorEastAsia" w:eastAsiaTheme="minorEastAsia"/>
          <w:sz w:val="32"/>
          <w:szCs w:val="32"/>
          <w:highlight w:val="none"/>
        </w:rPr>
      </w:pPr>
    </w:p>
    <w:p>
      <w:pPr>
        <w:pStyle w:val="14"/>
        <w:jc w:val="center"/>
        <w:rPr>
          <w:rFonts w:asciiTheme="minorEastAsia" w:hAnsiTheme="minorEastAsia" w:eastAsiaTheme="minorEastAsia"/>
          <w:sz w:val="32"/>
          <w:szCs w:val="32"/>
          <w:highlight w:val="none"/>
        </w:rPr>
      </w:pPr>
    </w:p>
    <w:p>
      <w:pPr>
        <w:pStyle w:val="14"/>
        <w:spacing w:line="500" w:lineRule="exact"/>
        <w:jc w:val="center"/>
        <w:rPr>
          <w:rFonts w:asciiTheme="minorEastAsia" w:hAnsiTheme="minorEastAsia" w:eastAsiaTheme="minorEastAsia"/>
          <w:b/>
          <w:sz w:val="36"/>
          <w:szCs w:val="28"/>
          <w:highlight w:val="none"/>
        </w:rPr>
      </w:pPr>
      <w:r>
        <w:rPr>
          <w:rFonts w:hint="eastAsia" w:asciiTheme="minorEastAsia" w:hAnsiTheme="minorEastAsia" w:eastAsiaTheme="minorEastAsia"/>
          <w:b/>
          <w:sz w:val="36"/>
          <w:szCs w:val="28"/>
          <w:highlight w:val="none"/>
        </w:rPr>
        <w:t>目录</w:t>
      </w:r>
    </w:p>
    <w:p>
      <w:pPr>
        <w:pStyle w:val="14"/>
        <w:keepNext w:val="0"/>
        <w:keepLines w:val="0"/>
        <w:pageBreakBefore w:val="0"/>
        <w:widowControl w:val="0"/>
        <w:kinsoku/>
        <w:wordWrap/>
        <w:overflowPunct/>
        <w:topLinePunct w:val="0"/>
        <w:bidi w:val="0"/>
        <w:snapToGrid/>
        <w:spacing w:line="490" w:lineRule="exact"/>
        <w:textAlignment w:val="auto"/>
        <w:rPr>
          <w:rFonts w:cs="仿宋_GB2312"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第一部分</w:t>
      </w:r>
      <w:r>
        <w:rPr>
          <w:rFonts w:hint="eastAsia" w:asciiTheme="minorEastAsia" w:hAnsiTheme="minorEastAsia" w:eastAsiaTheme="minorEastAsia"/>
          <w:b/>
          <w:sz w:val="28"/>
          <w:szCs w:val="28"/>
          <w:highlight w:val="none"/>
          <w:lang w:val="en-US" w:eastAsia="zh-CN"/>
        </w:rPr>
        <w:t xml:space="preserve"> 中共祁阳市委政法委员会</w:t>
      </w:r>
      <w:r>
        <w:rPr>
          <w:rFonts w:hint="eastAsia" w:asciiTheme="minorEastAsia" w:hAnsiTheme="minorEastAsia" w:eastAsiaTheme="minorEastAsia"/>
          <w:b/>
          <w:sz w:val="28"/>
          <w:szCs w:val="28"/>
          <w:highlight w:val="none"/>
        </w:rPr>
        <w:t>单位概况</w:t>
      </w:r>
    </w:p>
    <w:p>
      <w:pPr>
        <w:pStyle w:val="14"/>
        <w:keepNext w:val="0"/>
        <w:keepLines w:val="0"/>
        <w:pageBreakBefore w:val="0"/>
        <w:widowControl w:val="0"/>
        <w:kinsoku/>
        <w:wordWrap/>
        <w:overflowPunct/>
        <w:topLinePunct w:val="0"/>
        <w:bidi w:val="0"/>
        <w:snapToGrid/>
        <w:spacing w:line="490" w:lineRule="exact"/>
        <w:ind w:firstLine="700" w:firstLineChars="250"/>
        <w:textAlignment w:val="auto"/>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一、部门职责</w:t>
      </w:r>
    </w:p>
    <w:p>
      <w:pPr>
        <w:pStyle w:val="14"/>
        <w:keepNext w:val="0"/>
        <w:keepLines w:val="0"/>
        <w:pageBreakBefore w:val="0"/>
        <w:widowControl w:val="0"/>
        <w:kinsoku/>
        <w:wordWrap/>
        <w:overflowPunct/>
        <w:topLinePunct w:val="0"/>
        <w:bidi w:val="0"/>
        <w:snapToGrid/>
        <w:spacing w:line="490" w:lineRule="exact"/>
        <w:ind w:firstLine="700" w:firstLineChars="250"/>
        <w:textAlignment w:val="auto"/>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二、</w:t>
      </w:r>
      <w:r>
        <w:rPr>
          <w:rFonts w:hint="eastAsia" w:cs="仿宋_GB2312" w:asciiTheme="minorEastAsia" w:hAnsiTheme="minorEastAsia" w:eastAsiaTheme="minorEastAsia"/>
          <w:sz w:val="28"/>
          <w:szCs w:val="28"/>
          <w:highlight w:val="none"/>
        </w:rPr>
        <w:t>机构设置及决算单位构成</w:t>
      </w:r>
    </w:p>
    <w:p>
      <w:pPr>
        <w:pStyle w:val="14"/>
        <w:keepNext w:val="0"/>
        <w:keepLines w:val="0"/>
        <w:pageBreakBefore w:val="0"/>
        <w:widowControl w:val="0"/>
        <w:kinsoku/>
        <w:wordWrap/>
        <w:overflowPunct/>
        <w:topLinePunct w:val="0"/>
        <w:bidi w:val="0"/>
        <w:snapToGrid/>
        <w:spacing w:line="490" w:lineRule="exact"/>
        <w:textAlignment w:val="auto"/>
        <w:rPr>
          <w:rFonts w:cs="仿宋_GB2312"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第二部分</w:t>
      </w:r>
      <w:r>
        <w:rPr>
          <w:rFonts w:hint="eastAsia" w:asciiTheme="minorEastAsia" w:hAnsiTheme="minorEastAsia" w:eastAsiaTheme="minorEastAsia"/>
          <w:b/>
          <w:sz w:val="28"/>
          <w:szCs w:val="28"/>
          <w:highlight w:val="none"/>
          <w:lang w:val="en-US" w:eastAsia="zh-CN"/>
        </w:rPr>
        <w:t xml:space="preserve"> </w:t>
      </w:r>
      <w:r>
        <w:rPr>
          <w:rFonts w:asciiTheme="minorEastAsia" w:hAnsiTheme="minorEastAsia" w:eastAsiaTheme="minorEastAsia"/>
          <w:b/>
          <w:sz w:val="28"/>
          <w:szCs w:val="28"/>
          <w:highlight w:val="none"/>
        </w:rPr>
        <w:t>20</w:t>
      </w:r>
      <w:r>
        <w:rPr>
          <w:rFonts w:hint="eastAsia" w:asciiTheme="minorEastAsia" w:hAnsiTheme="minorEastAsia" w:eastAsiaTheme="minorEastAsia"/>
          <w:b/>
          <w:sz w:val="28"/>
          <w:szCs w:val="28"/>
          <w:highlight w:val="none"/>
        </w:rPr>
        <w:t>21年度部门决算表</w:t>
      </w:r>
    </w:p>
    <w:p>
      <w:pPr>
        <w:pStyle w:val="14"/>
        <w:keepNext w:val="0"/>
        <w:keepLines w:val="0"/>
        <w:pageBreakBefore w:val="0"/>
        <w:widowControl w:val="0"/>
        <w:kinsoku/>
        <w:wordWrap/>
        <w:overflowPunct/>
        <w:topLinePunct w:val="0"/>
        <w:bidi w:val="0"/>
        <w:snapToGrid/>
        <w:spacing w:line="490" w:lineRule="exact"/>
        <w:ind w:firstLine="700" w:firstLineChars="250"/>
        <w:textAlignment w:val="auto"/>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一、收入支出决算总表</w:t>
      </w:r>
    </w:p>
    <w:p>
      <w:pPr>
        <w:pStyle w:val="14"/>
        <w:keepNext w:val="0"/>
        <w:keepLines w:val="0"/>
        <w:pageBreakBefore w:val="0"/>
        <w:widowControl w:val="0"/>
        <w:kinsoku/>
        <w:wordWrap/>
        <w:overflowPunct/>
        <w:topLinePunct w:val="0"/>
        <w:bidi w:val="0"/>
        <w:snapToGrid/>
        <w:spacing w:line="490" w:lineRule="exact"/>
        <w:ind w:firstLine="700" w:firstLineChars="250"/>
        <w:textAlignment w:val="auto"/>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二、收入决算表</w:t>
      </w:r>
    </w:p>
    <w:p>
      <w:pPr>
        <w:pStyle w:val="14"/>
        <w:keepNext w:val="0"/>
        <w:keepLines w:val="0"/>
        <w:pageBreakBefore w:val="0"/>
        <w:widowControl w:val="0"/>
        <w:kinsoku/>
        <w:wordWrap/>
        <w:overflowPunct/>
        <w:topLinePunct w:val="0"/>
        <w:bidi w:val="0"/>
        <w:snapToGrid/>
        <w:spacing w:line="490" w:lineRule="exact"/>
        <w:ind w:firstLine="700" w:firstLineChars="250"/>
        <w:textAlignment w:val="auto"/>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三、支出决算表</w:t>
      </w:r>
    </w:p>
    <w:p>
      <w:pPr>
        <w:pStyle w:val="14"/>
        <w:keepNext w:val="0"/>
        <w:keepLines w:val="0"/>
        <w:pageBreakBefore w:val="0"/>
        <w:widowControl w:val="0"/>
        <w:kinsoku/>
        <w:wordWrap/>
        <w:overflowPunct/>
        <w:topLinePunct w:val="0"/>
        <w:bidi w:val="0"/>
        <w:snapToGrid/>
        <w:spacing w:line="490" w:lineRule="exact"/>
        <w:ind w:firstLine="700" w:firstLineChars="250"/>
        <w:textAlignment w:val="auto"/>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四、财政拨款收入支出决算总表</w:t>
      </w:r>
    </w:p>
    <w:p>
      <w:pPr>
        <w:pStyle w:val="14"/>
        <w:keepNext w:val="0"/>
        <w:keepLines w:val="0"/>
        <w:pageBreakBefore w:val="0"/>
        <w:widowControl w:val="0"/>
        <w:kinsoku/>
        <w:wordWrap/>
        <w:overflowPunct/>
        <w:topLinePunct w:val="0"/>
        <w:bidi w:val="0"/>
        <w:snapToGrid/>
        <w:spacing w:line="490" w:lineRule="exact"/>
        <w:ind w:firstLine="700" w:firstLineChars="250"/>
        <w:textAlignment w:val="auto"/>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五、一般公共预算财政拨款支出决算表</w:t>
      </w:r>
    </w:p>
    <w:p>
      <w:pPr>
        <w:pStyle w:val="14"/>
        <w:keepNext w:val="0"/>
        <w:keepLines w:val="0"/>
        <w:pageBreakBefore w:val="0"/>
        <w:widowControl w:val="0"/>
        <w:kinsoku/>
        <w:wordWrap/>
        <w:overflowPunct/>
        <w:topLinePunct w:val="0"/>
        <w:bidi w:val="0"/>
        <w:snapToGrid/>
        <w:spacing w:line="490" w:lineRule="exact"/>
        <w:ind w:firstLine="700" w:firstLineChars="250"/>
        <w:textAlignment w:val="auto"/>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六、一般公共预算财政拨款基本支出决算</w:t>
      </w:r>
      <w:r>
        <w:rPr>
          <w:rFonts w:hint="eastAsia" w:cs="仿宋_GB2312" w:asciiTheme="minorEastAsia" w:hAnsiTheme="minorEastAsia" w:eastAsiaTheme="minorEastAsia"/>
          <w:sz w:val="28"/>
          <w:szCs w:val="28"/>
          <w:highlight w:val="none"/>
        </w:rPr>
        <w:t>明细</w:t>
      </w:r>
      <w:r>
        <w:rPr>
          <w:rFonts w:cs="仿宋_GB2312" w:asciiTheme="minorEastAsia" w:hAnsiTheme="minorEastAsia" w:eastAsiaTheme="minorEastAsia"/>
          <w:sz w:val="28"/>
          <w:szCs w:val="28"/>
          <w:highlight w:val="none"/>
        </w:rPr>
        <w:t>表</w:t>
      </w:r>
    </w:p>
    <w:p>
      <w:pPr>
        <w:pStyle w:val="14"/>
        <w:keepNext w:val="0"/>
        <w:keepLines w:val="0"/>
        <w:pageBreakBefore w:val="0"/>
        <w:widowControl w:val="0"/>
        <w:kinsoku/>
        <w:wordWrap/>
        <w:overflowPunct/>
        <w:topLinePunct w:val="0"/>
        <w:bidi w:val="0"/>
        <w:snapToGrid/>
        <w:spacing w:line="490" w:lineRule="exact"/>
        <w:ind w:firstLine="700" w:firstLineChars="250"/>
        <w:textAlignment w:val="auto"/>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七、一般公共预算财政拨款“三公”经费支出决算表</w:t>
      </w:r>
    </w:p>
    <w:p>
      <w:pPr>
        <w:pStyle w:val="14"/>
        <w:keepNext w:val="0"/>
        <w:keepLines w:val="0"/>
        <w:pageBreakBefore w:val="0"/>
        <w:widowControl w:val="0"/>
        <w:kinsoku/>
        <w:wordWrap/>
        <w:overflowPunct/>
        <w:topLinePunct w:val="0"/>
        <w:bidi w:val="0"/>
        <w:snapToGrid/>
        <w:spacing w:line="490" w:lineRule="exact"/>
        <w:ind w:firstLine="700" w:firstLineChars="250"/>
        <w:textAlignment w:val="auto"/>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八、政府性基金预算财政拨款收入支出决算表</w:t>
      </w:r>
    </w:p>
    <w:p>
      <w:pPr>
        <w:pStyle w:val="14"/>
        <w:keepNext w:val="0"/>
        <w:keepLines w:val="0"/>
        <w:pageBreakBefore w:val="0"/>
        <w:widowControl w:val="0"/>
        <w:kinsoku/>
        <w:wordWrap/>
        <w:overflowPunct/>
        <w:topLinePunct w:val="0"/>
        <w:bidi w:val="0"/>
        <w:snapToGrid/>
        <w:spacing w:line="490" w:lineRule="exact"/>
        <w:ind w:firstLine="700" w:firstLineChars="250"/>
        <w:textAlignment w:val="auto"/>
        <w:rPr>
          <w:rFonts w:cs="仿宋_GB2312" w:asciiTheme="minorEastAsia" w:hAnsiTheme="minorEastAsia" w:eastAsiaTheme="minorEastAsia"/>
          <w:sz w:val="28"/>
          <w:szCs w:val="28"/>
          <w:highlight w:val="none"/>
        </w:rPr>
      </w:pPr>
      <w:r>
        <w:rPr>
          <w:rFonts w:hint="eastAsia" w:cs="仿宋_GB2312" w:asciiTheme="minorEastAsia" w:hAnsiTheme="minorEastAsia" w:eastAsiaTheme="minorEastAsia"/>
          <w:sz w:val="28"/>
          <w:szCs w:val="28"/>
          <w:highlight w:val="none"/>
        </w:rPr>
        <w:t>九、国有资本经营预算财政拨款支出决算表</w:t>
      </w:r>
    </w:p>
    <w:p>
      <w:pPr>
        <w:pStyle w:val="14"/>
        <w:keepNext w:val="0"/>
        <w:keepLines w:val="0"/>
        <w:pageBreakBefore w:val="0"/>
        <w:widowControl w:val="0"/>
        <w:kinsoku/>
        <w:wordWrap/>
        <w:overflowPunct/>
        <w:topLinePunct w:val="0"/>
        <w:bidi w:val="0"/>
        <w:snapToGrid/>
        <w:spacing w:line="490" w:lineRule="exact"/>
        <w:textAlignment w:val="auto"/>
        <w:rPr>
          <w:rFonts w:cs="仿宋_GB2312"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第三部分</w:t>
      </w:r>
      <w:r>
        <w:rPr>
          <w:rFonts w:hint="eastAsia" w:asciiTheme="minorEastAsia" w:hAnsiTheme="minorEastAsia" w:eastAsiaTheme="minorEastAsia"/>
          <w:b/>
          <w:sz w:val="28"/>
          <w:szCs w:val="28"/>
          <w:highlight w:val="none"/>
          <w:lang w:val="en-US" w:eastAsia="zh-CN"/>
        </w:rPr>
        <w:t xml:space="preserve"> </w:t>
      </w:r>
      <w:r>
        <w:rPr>
          <w:rFonts w:asciiTheme="minorEastAsia" w:hAnsiTheme="minorEastAsia" w:eastAsiaTheme="minorEastAsia"/>
          <w:b/>
          <w:sz w:val="28"/>
          <w:szCs w:val="28"/>
          <w:highlight w:val="none"/>
        </w:rPr>
        <w:t>20</w:t>
      </w:r>
      <w:r>
        <w:rPr>
          <w:rFonts w:hint="eastAsia" w:asciiTheme="minorEastAsia" w:hAnsiTheme="minorEastAsia" w:eastAsiaTheme="minorEastAsia"/>
          <w:b/>
          <w:sz w:val="28"/>
          <w:szCs w:val="28"/>
          <w:highlight w:val="none"/>
        </w:rPr>
        <w:t>21年度部门决算情况说明</w:t>
      </w:r>
    </w:p>
    <w:p>
      <w:pPr>
        <w:pStyle w:val="14"/>
        <w:keepNext w:val="0"/>
        <w:keepLines w:val="0"/>
        <w:pageBreakBefore w:val="0"/>
        <w:widowControl w:val="0"/>
        <w:kinsoku/>
        <w:wordWrap/>
        <w:overflowPunct/>
        <w:topLinePunct w:val="0"/>
        <w:bidi w:val="0"/>
        <w:snapToGrid/>
        <w:spacing w:line="490" w:lineRule="exact"/>
        <w:ind w:firstLine="700" w:firstLineChars="250"/>
        <w:textAlignment w:val="auto"/>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一、收入支出决算总体情况说明</w:t>
      </w:r>
    </w:p>
    <w:p>
      <w:pPr>
        <w:keepNext w:val="0"/>
        <w:keepLines w:val="0"/>
        <w:pageBreakBefore w:val="0"/>
        <w:widowControl w:val="0"/>
        <w:kinsoku/>
        <w:wordWrap/>
        <w:overflowPunct/>
        <w:topLinePunct w:val="0"/>
        <w:bidi w:val="0"/>
        <w:snapToGrid/>
        <w:spacing w:line="490" w:lineRule="exact"/>
        <w:ind w:firstLine="700" w:firstLineChars="250"/>
        <w:jc w:val="left"/>
        <w:textAlignment w:val="auto"/>
        <w:rPr>
          <w:rFonts w:cs="仿宋_GB2312" w:asciiTheme="minorEastAsia" w:hAnsiTheme="minorEastAsia"/>
          <w:sz w:val="28"/>
          <w:szCs w:val="28"/>
          <w:highlight w:val="none"/>
        </w:rPr>
      </w:pPr>
      <w:r>
        <w:rPr>
          <w:rFonts w:cs="仿宋_GB2312" w:asciiTheme="minorEastAsia" w:hAnsiTheme="minorEastAsia"/>
          <w:sz w:val="28"/>
          <w:szCs w:val="28"/>
          <w:highlight w:val="none"/>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490" w:lineRule="exact"/>
        <w:ind w:firstLine="700" w:firstLineChars="250"/>
        <w:jc w:val="left"/>
        <w:textAlignment w:val="auto"/>
        <w:rPr>
          <w:rFonts w:cs="仿宋_GB2312" w:asciiTheme="minorEastAsia" w:hAnsiTheme="minorEastAsia"/>
          <w:color w:val="000000"/>
          <w:kern w:val="0"/>
          <w:sz w:val="28"/>
          <w:szCs w:val="28"/>
          <w:highlight w:val="none"/>
        </w:rPr>
      </w:pPr>
      <w:r>
        <w:rPr>
          <w:rFonts w:cs="仿宋_GB2312" w:asciiTheme="minorEastAsia" w:hAnsiTheme="minorEastAsia"/>
          <w:color w:val="000000"/>
          <w:kern w:val="0"/>
          <w:sz w:val="28"/>
          <w:szCs w:val="28"/>
          <w:highlight w:val="none"/>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490" w:lineRule="exact"/>
        <w:ind w:firstLine="700" w:firstLineChars="250"/>
        <w:jc w:val="left"/>
        <w:textAlignment w:val="auto"/>
        <w:rPr>
          <w:rFonts w:cs="仿宋_GB2312" w:asciiTheme="minorEastAsia" w:hAnsiTheme="minorEastAsia"/>
          <w:color w:val="000000"/>
          <w:kern w:val="0"/>
          <w:sz w:val="28"/>
          <w:szCs w:val="28"/>
          <w:highlight w:val="none"/>
        </w:rPr>
      </w:pPr>
      <w:r>
        <w:rPr>
          <w:rFonts w:cs="仿宋_GB2312" w:asciiTheme="minorEastAsia" w:hAnsiTheme="minorEastAsia"/>
          <w:color w:val="000000"/>
          <w:kern w:val="0"/>
          <w:sz w:val="28"/>
          <w:szCs w:val="28"/>
          <w:highlight w:val="none"/>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490" w:lineRule="exact"/>
        <w:ind w:firstLine="700" w:firstLineChars="250"/>
        <w:jc w:val="left"/>
        <w:textAlignment w:val="auto"/>
        <w:rPr>
          <w:rFonts w:cs="仿宋_GB2312" w:asciiTheme="minorEastAsia" w:hAnsiTheme="minorEastAsia"/>
          <w:color w:val="000000"/>
          <w:kern w:val="0"/>
          <w:sz w:val="28"/>
          <w:szCs w:val="28"/>
          <w:highlight w:val="none"/>
        </w:rPr>
      </w:pPr>
      <w:r>
        <w:rPr>
          <w:rFonts w:cs="仿宋_GB2312" w:asciiTheme="minorEastAsia" w:hAnsiTheme="minorEastAsia"/>
          <w:color w:val="000000"/>
          <w:kern w:val="0"/>
          <w:sz w:val="28"/>
          <w:szCs w:val="28"/>
          <w:highlight w:val="none"/>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490" w:lineRule="exact"/>
        <w:ind w:firstLine="700" w:firstLineChars="250"/>
        <w:jc w:val="left"/>
        <w:textAlignment w:val="auto"/>
        <w:rPr>
          <w:rFonts w:cs="仿宋_GB2312" w:asciiTheme="minorEastAsia" w:hAnsiTheme="minorEastAsia"/>
          <w:color w:val="000000"/>
          <w:kern w:val="0"/>
          <w:sz w:val="28"/>
          <w:szCs w:val="28"/>
          <w:highlight w:val="none"/>
        </w:rPr>
      </w:pPr>
      <w:r>
        <w:rPr>
          <w:rFonts w:cs="仿宋_GB2312" w:asciiTheme="minorEastAsia" w:hAnsiTheme="minorEastAsia"/>
          <w:color w:val="000000"/>
          <w:kern w:val="0"/>
          <w:sz w:val="28"/>
          <w:szCs w:val="28"/>
          <w:highlight w:val="none"/>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90" w:lineRule="exact"/>
        <w:ind w:firstLine="700" w:firstLineChars="250"/>
        <w:jc w:val="left"/>
        <w:textAlignment w:val="auto"/>
        <w:rPr>
          <w:rFonts w:cs="仿宋_GB2312" w:asciiTheme="minorEastAsia" w:hAnsiTheme="minorEastAsia"/>
          <w:color w:val="000000"/>
          <w:kern w:val="0"/>
          <w:sz w:val="28"/>
          <w:szCs w:val="28"/>
          <w:highlight w:val="none"/>
        </w:rPr>
      </w:pPr>
      <w:r>
        <w:rPr>
          <w:rFonts w:cs="仿宋_GB2312" w:asciiTheme="minorEastAsia" w:hAnsiTheme="minorEastAsia"/>
          <w:color w:val="000000"/>
          <w:kern w:val="0"/>
          <w:sz w:val="28"/>
          <w:szCs w:val="28"/>
          <w:highlight w:val="none"/>
        </w:rPr>
        <w:t>七、一般公共预算财政拨款</w:t>
      </w:r>
      <w:r>
        <w:rPr>
          <w:rFonts w:hint="eastAsia" w:cs="仿宋_GB2312" w:asciiTheme="minorEastAsia" w:hAnsiTheme="minorEastAsia"/>
          <w:color w:val="000000"/>
          <w:kern w:val="0"/>
          <w:sz w:val="28"/>
          <w:szCs w:val="28"/>
          <w:highlight w:val="none"/>
        </w:rPr>
        <w:t>“</w:t>
      </w:r>
      <w:r>
        <w:rPr>
          <w:rFonts w:cs="仿宋_GB2312" w:asciiTheme="minorEastAsia" w:hAnsiTheme="minorEastAsia"/>
          <w:color w:val="000000"/>
          <w:kern w:val="0"/>
          <w:sz w:val="28"/>
          <w:szCs w:val="28"/>
          <w:highlight w:val="none"/>
        </w:rPr>
        <w:t>三公</w:t>
      </w:r>
      <w:r>
        <w:rPr>
          <w:rFonts w:hint="eastAsia" w:cs="仿宋_GB2312" w:asciiTheme="minorEastAsia" w:hAnsiTheme="minorEastAsia"/>
          <w:color w:val="000000"/>
          <w:kern w:val="0"/>
          <w:sz w:val="28"/>
          <w:szCs w:val="28"/>
          <w:highlight w:val="none"/>
        </w:rPr>
        <w:t>”</w:t>
      </w:r>
      <w:r>
        <w:rPr>
          <w:rFonts w:cs="仿宋_GB2312" w:asciiTheme="minorEastAsia" w:hAnsiTheme="minorEastAsia"/>
          <w:color w:val="000000"/>
          <w:kern w:val="0"/>
          <w:sz w:val="28"/>
          <w:szCs w:val="28"/>
          <w:highlight w:val="none"/>
        </w:rPr>
        <w:t>经费支出决算情况说明</w:t>
      </w:r>
    </w:p>
    <w:p>
      <w:pPr>
        <w:keepNext w:val="0"/>
        <w:keepLines w:val="0"/>
        <w:pageBreakBefore w:val="0"/>
        <w:widowControl w:val="0"/>
        <w:kinsoku/>
        <w:wordWrap/>
        <w:overflowPunct/>
        <w:topLinePunct w:val="0"/>
        <w:autoSpaceDE w:val="0"/>
        <w:autoSpaceDN w:val="0"/>
        <w:bidi w:val="0"/>
        <w:adjustRightInd w:val="0"/>
        <w:snapToGrid/>
        <w:spacing w:line="490" w:lineRule="exact"/>
        <w:ind w:firstLine="700" w:firstLineChars="250"/>
        <w:jc w:val="left"/>
        <w:textAlignment w:val="auto"/>
        <w:rPr>
          <w:rFonts w:cs="仿宋_GB2312" w:asciiTheme="minorEastAsia" w:hAnsiTheme="minorEastAsia"/>
          <w:color w:val="000000"/>
          <w:kern w:val="0"/>
          <w:sz w:val="28"/>
          <w:szCs w:val="28"/>
          <w:highlight w:val="none"/>
        </w:rPr>
      </w:pPr>
      <w:r>
        <w:rPr>
          <w:rFonts w:hint="eastAsia" w:cs="仿宋_GB2312" w:asciiTheme="minorEastAsia" w:hAnsiTheme="minorEastAsia"/>
          <w:color w:val="000000"/>
          <w:kern w:val="0"/>
          <w:sz w:val="28"/>
          <w:szCs w:val="28"/>
          <w:highlight w:val="none"/>
        </w:rPr>
        <w:t>八</w:t>
      </w:r>
      <w:r>
        <w:rPr>
          <w:rFonts w:cs="仿宋_GB2312" w:asciiTheme="minorEastAsia" w:hAnsiTheme="minorEastAsia"/>
          <w:color w:val="000000"/>
          <w:kern w:val="0"/>
          <w:sz w:val="28"/>
          <w:szCs w:val="28"/>
          <w:highlight w:val="none"/>
        </w:rPr>
        <w:t>、</w:t>
      </w:r>
      <w:r>
        <w:rPr>
          <w:rFonts w:hint="eastAsia" w:cs="仿宋_GB2312" w:asciiTheme="minorEastAsia" w:hAnsiTheme="minorEastAsia"/>
          <w:color w:val="000000"/>
          <w:kern w:val="0"/>
          <w:sz w:val="28"/>
          <w:szCs w:val="28"/>
          <w:highlight w:val="none"/>
        </w:rPr>
        <w:t>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90" w:lineRule="exact"/>
        <w:ind w:firstLine="700" w:firstLineChars="250"/>
        <w:jc w:val="left"/>
        <w:textAlignment w:val="auto"/>
        <w:rPr>
          <w:rFonts w:cs="仿宋_GB2312" w:asciiTheme="minorEastAsia" w:hAnsiTheme="minorEastAsia"/>
          <w:color w:val="000000"/>
          <w:kern w:val="0"/>
          <w:sz w:val="28"/>
          <w:szCs w:val="28"/>
          <w:highlight w:val="none"/>
        </w:rPr>
      </w:pPr>
      <w:r>
        <w:rPr>
          <w:rFonts w:hint="eastAsia" w:cs="仿宋_GB2312" w:asciiTheme="minorEastAsia" w:hAnsiTheme="minorEastAsia"/>
          <w:color w:val="000000"/>
          <w:kern w:val="0"/>
          <w:sz w:val="28"/>
          <w:szCs w:val="28"/>
          <w:highlight w:val="none"/>
        </w:rPr>
        <w:t>九</w:t>
      </w:r>
      <w:r>
        <w:rPr>
          <w:rFonts w:cs="仿宋_GB2312" w:asciiTheme="minorEastAsia" w:hAnsiTheme="minorEastAsia"/>
          <w:color w:val="000000"/>
          <w:kern w:val="0"/>
          <w:sz w:val="28"/>
          <w:szCs w:val="28"/>
          <w:highlight w:val="none"/>
        </w:rPr>
        <w:t>、</w:t>
      </w:r>
      <w:r>
        <w:rPr>
          <w:rFonts w:hint="eastAsia" w:cs="仿宋_GB2312" w:asciiTheme="minorEastAsia" w:hAnsiTheme="minorEastAsia"/>
          <w:color w:val="000000"/>
          <w:kern w:val="0"/>
          <w:sz w:val="28"/>
          <w:szCs w:val="28"/>
          <w:highlight w:val="none"/>
        </w:rPr>
        <w:t>机关运行经费支出说明</w:t>
      </w:r>
    </w:p>
    <w:p>
      <w:pPr>
        <w:keepNext w:val="0"/>
        <w:keepLines w:val="0"/>
        <w:pageBreakBefore w:val="0"/>
        <w:widowControl w:val="0"/>
        <w:kinsoku/>
        <w:wordWrap/>
        <w:overflowPunct/>
        <w:topLinePunct w:val="0"/>
        <w:autoSpaceDE w:val="0"/>
        <w:autoSpaceDN w:val="0"/>
        <w:bidi w:val="0"/>
        <w:adjustRightInd w:val="0"/>
        <w:snapToGrid/>
        <w:spacing w:line="490" w:lineRule="exact"/>
        <w:ind w:firstLine="700" w:firstLineChars="250"/>
        <w:jc w:val="left"/>
        <w:textAlignment w:val="auto"/>
        <w:rPr>
          <w:rFonts w:cs="仿宋_GB2312" w:asciiTheme="minorEastAsia" w:hAnsiTheme="minorEastAsia"/>
          <w:color w:val="000000"/>
          <w:kern w:val="0"/>
          <w:sz w:val="28"/>
          <w:szCs w:val="28"/>
          <w:highlight w:val="none"/>
        </w:rPr>
      </w:pPr>
      <w:r>
        <w:rPr>
          <w:rFonts w:hint="eastAsia" w:cs="仿宋_GB2312" w:asciiTheme="minorEastAsia" w:hAnsiTheme="minorEastAsia"/>
          <w:color w:val="000000"/>
          <w:kern w:val="0"/>
          <w:sz w:val="28"/>
          <w:szCs w:val="28"/>
          <w:highlight w:val="none"/>
        </w:rPr>
        <w:t>十、一般性支出情况说明</w:t>
      </w:r>
    </w:p>
    <w:p>
      <w:pPr>
        <w:keepNext w:val="0"/>
        <w:keepLines w:val="0"/>
        <w:pageBreakBefore w:val="0"/>
        <w:widowControl w:val="0"/>
        <w:kinsoku/>
        <w:wordWrap/>
        <w:overflowPunct/>
        <w:topLinePunct w:val="0"/>
        <w:autoSpaceDE w:val="0"/>
        <w:autoSpaceDN w:val="0"/>
        <w:bidi w:val="0"/>
        <w:adjustRightInd w:val="0"/>
        <w:snapToGrid/>
        <w:spacing w:line="490" w:lineRule="exact"/>
        <w:ind w:firstLine="700" w:firstLineChars="250"/>
        <w:jc w:val="left"/>
        <w:textAlignment w:val="auto"/>
        <w:rPr>
          <w:rFonts w:cs="仿宋_GB2312" w:asciiTheme="minorEastAsia" w:hAnsiTheme="minorEastAsia"/>
          <w:color w:val="000000"/>
          <w:kern w:val="0"/>
          <w:sz w:val="28"/>
          <w:szCs w:val="28"/>
          <w:highlight w:val="none"/>
        </w:rPr>
      </w:pPr>
      <w:r>
        <w:rPr>
          <w:rFonts w:hint="eastAsia" w:cs="仿宋_GB2312" w:asciiTheme="minorEastAsia" w:hAnsiTheme="minorEastAsia"/>
          <w:color w:val="000000"/>
          <w:kern w:val="0"/>
          <w:sz w:val="28"/>
          <w:szCs w:val="28"/>
          <w:highlight w:val="none"/>
        </w:rPr>
        <w:t>十一、政府采购支出说明</w:t>
      </w:r>
    </w:p>
    <w:p>
      <w:pPr>
        <w:pStyle w:val="14"/>
        <w:keepNext w:val="0"/>
        <w:keepLines w:val="0"/>
        <w:pageBreakBefore w:val="0"/>
        <w:widowControl w:val="0"/>
        <w:kinsoku/>
        <w:wordWrap/>
        <w:overflowPunct/>
        <w:topLinePunct w:val="0"/>
        <w:bidi w:val="0"/>
        <w:snapToGrid/>
        <w:spacing w:line="490" w:lineRule="exact"/>
        <w:ind w:firstLine="700" w:firstLineChars="250"/>
        <w:textAlignment w:val="auto"/>
        <w:rPr>
          <w:rFonts w:cs="仿宋_GB2312" w:asciiTheme="minorEastAsia" w:hAnsiTheme="minorEastAsia" w:eastAsiaTheme="minorEastAsia"/>
          <w:sz w:val="28"/>
          <w:szCs w:val="28"/>
          <w:highlight w:val="none"/>
        </w:rPr>
      </w:pPr>
      <w:r>
        <w:rPr>
          <w:rFonts w:hint="eastAsia" w:cs="仿宋_GB2312" w:asciiTheme="minorEastAsia" w:hAnsiTheme="minorEastAsia" w:eastAsiaTheme="minorEastAsia"/>
          <w:sz w:val="28"/>
          <w:szCs w:val="28"/>
          <w:highlight w:val="none"/>
        </w:rPr>
        <w:t>十二、国有资产占用情况说明</w:t>
      </w:r>
    </w:p>
    <w:p>
      <w:pPr>
        <w:pStyle w:val="14"/>
        <w:keepNext w:val="0"/>
        <w:keepLines w:val="0"/>
        <w:pageBreakBefore w:val="0"/>
        <w:widowControl w:val="0"/>
        <w:kinsoku/>
        <w:wordWrap/>
        <w:overflowPunct/>
        <w:topLinePunct w:val="0"/>
        <w:bidi w:val="0"/>
        <w:snapToGrid/>
        <w:spacing w:line="490" w:lineRule="exact"/>
        <w:ind w:firstLine="700" w:firstLineChars="250"/>
        <w:textAlignment w:val="auto"/>
        <w:rPr>
          <w:rFonts w:hint="eastAsia" w:cs="仿宋_GB2312" w:asciiTheme="minorEastAsia" w:hAnsiTheme="minorEastAsia" w:eastAsiaTheme="minorEastAsia"/>
          <w:sz w:val="28"/>
          <w:szCs w:val="28"/>
          <w:highlight w:val="none"/>
        </w:rPr>
      </w:pPr>
      <w:r>
        <w:rPr>
          <w:rFonts w:hint="eastAsia" w:cs="仿宋_GB2312" w:asciiTheme="minorEastAsia" w:hAnsiTheme="minorEastAsia" w:eastAsiaTheme="minorEastAsia"/>
          <w:sz w:val="28"/>
          <w:szCs w:val="28"/>
          <w:highlight w:val="none"/>
        </w:rPr>
        <w:t>十三、2021年度预算绩效情况说明</w:t>
      </w:r>
    </w:p>
    <w:p>
      <w:pPr>
        <w:pStyle w:val="14"/>
        <w:keepNext w:val="0"/>
        <w:keepLines w:val="0"/>
        <w:pageBreakBefore w:val="0"/>
        <w:widowControl w:val="0"/>
        <w:kinsoku/>
        <w:wordWrap/>
        <w:overflowPunct/>
        <w:topLinePunct w:val="0"/>
        <w:bidi w:val="0"/>
        <w:snapToGrid/>
        <w:spacing w:line="490" w:lineRule="exact"/>
        <w:ind w:firstLine="700" w:firstLineChars="250"/>
        <w:textAlignment w:val="auto"/>
        <w:rPr>
          <w:rFonts w:hint="eastAsia" w:cs="仿宋_GB2312" w:asciiTheme="minorEastAsia" w:hAnsiTheme="minorEastAsia" w:eastAsiaTheme="minorEastAsia"/>
          <w:sz w:val="28"/>
          <w:szCs w:val="28"/>
          <w:highlight w:val="none"/>
        </w:rPr>
      </w:pPr>
      <w:r>
        <w:rPr>
          <w:rFonts w:hint="eastAsia" w:cs="仿宋_GB2312" w:asciiTheme="minorEastAsia" w:hAnsiTheme="minorEastAsia" w:eastAsiaTheme="minorEastAsia"/>
          <w:sz w:val="28"/>
          <w:szCs w:val="28"/>
          <w:highlight w:val="none"/>
        </w:rPr>
        <w:t>十四、国有资本经营预算财政拨款支出决算情况</w:t>
      </w:r>
    </w:p>
    <w:p>
      <w:pPr>
        <w:keepNext w:val="0"/>
        <w:keepLines w:val="0"/>
        <w:pageBreakBefore w:val="0"/>
        <w:widowControl w:val="0"/>
        <w:kinsoku/>
        <w:wordWrap/>
        <w:overflowPunct/>
        <w:topLinePunct w:val="0"/>
        <w:autoSpaceDE w:val="0"/>
        <w:autoSpaceDN w:val="0"/>
        <w:bidi w:val="0"/>
        <w:adjustRightInd w:val="0"/>
        <w:snapToGrid/>
        <w:spacing w:line="490" w:lineRule="exact"/>
        <w:jc w:val="left"/>
        <w:textAlignment w:val="auto"/>
        <w:rPr>
          <w:rFonts w:cs="黑体" w:asciiTheme="minorEastAsia" w:hAnsiTheme="minorEastAsia"/>
          <w:b/>
          <w:color w:val="000000"/>
          <w:kern w:val="0"/>
          <w:sz w:val="28"/>
          <w:szCs w:val="28"/>
          <w:highlight w:val="none"/>
        </w:rPr>
      </w:pPr>
      <w:r>
        <w:rPr>
          <w:rFonts w:cs="黑体" w:asciiTheme="minorEastAsia" w:hAnsiTheme="minorEastAsia"/>
          <w:b/>
          <w:color w:val="000000"/>
          <w:kern w:val="0"/>
          <w:sz w:val="28"/>
          <w:szCs w:val="28"/>
          <w:highlight w:val="none"/>
        </w:rPr>
        <w:t>第四部分名词解释</w:t>
      </w:r>
    </w:p>
    <w:p>
      <w:pPr>
        <w:keepNext w:val="0"/>
        <w:keepLines w:val="0"/>
        <w:pageBreakBefore w:val="0"/>
        <w:widowControl w:val="0"/>
        <w:kinsoku/>
        <w:wordWrap/>
        <w:overflowPunct/>
        <w:topLinePunct w:val="0"/>
        <w:autoSpaceDE w:val="0"/>
        <w:autoSpaceDN w:val="0"/>
        <w:bidi w:val="0"/>
        <w:adjustRightInd w:val="0"/>
        <w:snapToGrid/>
        <w:spacing w:line="490" w:lineRule="exact"/>
        <w:jc w:val="left"/>
        <w:textAlignment w:val="auto"/>
        <w:rPr>
          <w:rFonts w:cs="仿宋_GB2312" w:asciiTheme="minorEastAsia" w:hAnsiTheme="minorEastAsia"/>
          <w:b/>
          <w:color w:val="000000"/>
          <w:kern w:val="0"/>
          <w:sz w:val="28"/>
          <w:szCs w:val="28"/>
          <w:highlight w:val="none"/>
        </w:rPr>
      </w:pPr>
      <w:r>
        <w:rPr>
          <w:rFonts w:hint="eastAsia" w:cs="黑体" w:asciiTheme="minorEastAsia" w:hAnsiTheme="minorEastAsia"/>
          <w:b/>
          <w:color w:val="000000"/>
          <w:kern w:val="0"/>
          <w:sz w:val="28"/>
          <w:szCs w:val="28"/>
          <w:highlight w:val="none"/>
        </w:rPr>
        <w:t>第五部分附件</w:t>
      </w:r>
    </w:p>
    <w:p>
      <w:pPr>
        <w:jc w:val="center"/>
        <w:rPr>
          <w:rFonts w:asciiTheme="minorEastAsia" w:hAnsiTheme="minorEastAsia"/>
          <w:sz w:val="72"/>
          <w:szCs w:val="72"/>
          <w:highlight w:val="none"/>
        </w:rPr>
      </w:pPr>
    </w:p>
    <w:p>
      <w:pPr>
        <w:jc w:val="center"/>
        <w:rPr>
          <w:rFonts w:asciiTheme="minorEastAsia" w:hAnsiTheme="minorEastAsia"/>
          <w:sz w:val="72"/>
          <w:szCs w:val="72"/>
          <w:highlight w:val="none"/>
        </w:rPr>
      </w:pPr>
    </w:p>
    <w:p>
      <w:pPr>
        <w:jc w:val="center"/>
        <w:rPr>
          <w:rFonts w:asciiTheme="minorEastAsia" w:hAnsiTheme="minorEastAsia"/>
          <w:sz w:val="72"/>
          <w:szCs w:val="72"/>
          <w:highlight w:val="none"/>
        </w:rPr>
      </w:pPr>
    </w:p>
    <w:p>
      <w:pPr>
        <w:jc w:val="center"/>
        <w:rPr>
          <w:rFonts w:asciiTheme="minorEastAsia" w:hAnsiTheme="minorEastAsia"/>
          <w:sz w:val="72"/>
          <w:szCs w:val="72"/>
          <w:highlight w:val="none"/>
        </w:rPr>
      </w:pPr>
    </w:p>
    <w:p>
      <w:pPr>
        <w:jc w:val="center"/>
        <w:rPr>
          <w:rFonts w:asciiTheme="minorEastAsia" w:hAnsiTheme="minorEastAsia"/>
          <w:sz w:val="72"/>
          <w:szCs w:val="72"/>
          <w:highlight w:val="none"/>
        </w:rPr>
      </w:pPr>
    </w:p>
    <w:p>
      <w:pPr>
        <w:pStyle w:val="2"/>
        <w:rPr>
          <w:highlight w:val="none"/>
        </w:rPr>
      </w:pPr>
    </w:p>
    <w:p>
      <w:pPr>
        <w:pStyle w:val="14"/>
        <w:jc w:val="center"/>
        <w:rPr>
          <w:rFonts w:hint="eastAsia" w:asciiTheme="minorEastAsia" w:hAnsiTheme="minorEastAsia" w:eastAsiaTheme="minorEastAsia"/>
          <w:sz w:val="72"/>
          <w:szCs w:val="72"/>
          <w:highlight w:val="none"/>
        </w:rPr>
      </w:pPr>
      <w:r>
        <w:rPr>
          <w:rFonts w:hint="eastAsia" w:asciiTheme="minorEastAsia" w:hAnsiTheme="minorEastAsia" w:eastAsiaTheme="minorEastAsia"/>
          <w:sz w:val="72"/>
          <w:szCs w:val="72"/>
          <w:highlight w:val="none"/>
        </w:rPr>
        <w:t>第一部分</w:t>
      </w:r>
    </w:p>
    <w:p>
      <w:pPr>
        <w:pStyle w:val="14"/>
        <w:jc w:val="center"/>
        <w:rPr>
          <w:rFonts w:hint="eastAsia" w:asciiTheme="minorEastAsia" w:hAnsiTheme="minorEastAsia" w:eastAsiaTheme="minorEastAsia"/>
          <w:sz w:val="72"/>
          <w:szCs w:val="72"/>
          <w:highlight w:val="none"/>
          <w:lang w:eastAsia="zh-CN"/>
        </w:rPr>
      </w:pPr>
      <w:r>
        <w:rPr>
          <w:rFonts w:hint="eastAsia" w:asciiTheme="minorEastAsia" w:hAnsiTheme="minorEastAsia" w:eastAsiaTheme="minorEastAsia"/>
          <w:sz w:val="72"/>
          <w:szCs w:val="72"/>
          <w:highlight w:val="none"/>
          <w:lang w:eastAsia="zh-CN"/>
        </w:rPr>
        <w:t>中共祁阳市委政法委员会</w:t>
      </w:r>
    </w:p>
    <w:p>
      <w:pPr>
        <w:pStyle w:val="14"/>
        <w:jc w:val="center"/>
        <w:rPr>
          <w:rFonts w:asciiTheme="minorEastAsia" w:hAnsiTheme="minorEastAsia" w:eastAsiaTheme="minorEastAsia"/>
          <w:sz w:val="72"/>
          <w:szCs w:val="72"/>
          <w:highlight w:val="none"/>
        </w:rPr>
      </w:pPr>
      <w:r>
        <w:rPr>
          <w:rFonts w:hint="eastAsia" w:asciiTheme="minorEastAsia" w:hAnsiTheme="minorEastAsia" w:eastAsiaTheme="minorEastAsia"/>
          <w:sz w:val="72"/>
          <w:szCs w:val="72"/>
          <w:highlight w:val="none"/>
        </w:rPr>
        <w:t>单位概况</w:t>
      </w:r>
    </w:p>
    <w:p>
      <w:pPr>
        <w:jc w:val="center"/>
        <w:rPr>
          <w:rFonts w:asciiTheme="minorEastAsia" w:hAnsiTheme="minorEastAsia"/>
          <w:sz w:val="72"/>
          <w:szCs w:val="72"/>
          <w:highlight w:val="none"/>
        </w:rPr>
      </w:pPr>
    </w:p>
    <w:p>
      <w:pPr>
        <w:jc w:val="center"/>
        <w:rPr>
          <w:rFonts w:asciiTheme="minorEastAsia" w:hAnsiTheme="minorEastAsia"/>
          <w:sz w:val="72"/>
          <w:szCs w:val="72"/>
          <w:highlight w:val="none"/>
        </w:rPr>
      </w:pPr>
    </w:p>
    <w:p>
      <w:pPr>
        <w:jc w:val="center"/>
        <w:rPr>
          <w:rFonts w:asciiTheme="minorEastAsia" w:hAnsiTheme="minorEastAsia"/>
          <w:sz w:val="72"/>
          <w:szCs w:val="72"/>
          <w:highlight w:val="none"/>
        </w:rPr>
      </w:pPr>
    </w:p>
    <w:p>
      <w:pPr>
        <w:jc w:val="center"/>
        <w:rPr>
          <w:rFonts w:asciiTheme="minorEastAsia" w:hAnsiTheme="minorEastAsia"/>
          <w:sz w:val="72"/>
          <w:szCs w:val="72"/>
          <w:highlight w:val="none"/>
        </w:rPr>
      </w:pPr>
    </w:p>
    <w:p>
      <w:pPr>
        <w:jc w:val="center"/>
        <w:rPr>
          <w:rFonts w:asciiTheme="minorEastAsia" w:hAnsiTheme="minorEastAsia"/>
          <w:sz w:val="72"/>
          <w:szCs w:val="72"/>
          <w:highlight w:val="none"/>
        </w:rPr>
      </w:pPr>
    </w:p>
    <w:p>
      <w:pPr>
        <w:pStyle w:val="15"/>
        <w:ind w:left="720" w:firstLine="0" w:firstLineChars="0"/>
        <w:jc w:val="left"/>
        <w:rPr>
          <w:rFonts w:asciiTheme="minorEastAsia" w:hAnsiTheme="minorEastAsia"/>
          <w:sz w:val="32"/>
          <w:szCs w:val="32"/>
          <w:highlight w:val="none"/>
        </w:rPr>
      </w:pPr>
    </w:p>
    <w:p>
      <w:pPr>
        <w:rPr>
          <w:rFonts w:hint="eastAsia" w:cs="黑体" w:asciiTheme="minorEastAsia" w:hAnsiTheme="minorEastAsia"/>
          <w:color w:val="000000"/>
          <w:kern w:val="0"/>
          <w:sz w:val="32"/>
          <w:szCs w:val="32"/>
          <w:highlight w:val="none"/>
          <w:lang w:eastAsia="zh-CN"/>
        </w:rPr>
      </w:pPr>
      <w:r>
        <w:rPr>
          <w:rFonts w:hint="eastAsia" w:cs="黑体" w:asciiTheme="minorEastAsia" w:hAnsiTheme="minorEastAsia"/>
          <w:color w:val="000000"/>
          <w:kern w:val="0"/>
          <w:sz w:val="32"/>
          <w:szCs w:val="32"/>
          <w:highlight w:val="none"/>
          <w:lang w:eastAsia="zh-CN"/>
        </w:rPr>
        <w:br w:type="page"/>
      </w:r>
    </w:p>
    <w:p>
      <w:pPr>
        <w:autoSpaceDE w:val="0"/>
        <w:autoSpaceDN w:val="0"/>
        <w:adjustRightInd w:val="0"/>
        <w:ind w:firstLine="640" w:firstLineChars="200"/>
        <w:jc w:val="left"/>
        <w:rPr>
          <w:rFonts w:hint="eastAsia"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lang w:eastAsia="zh-CN"/>
        </w:rPr>
        <w:t>一、</w:t>
      </w:r>
      <w:r>
        <w:rPr>
          <w:rFonts w:hint="eastAsia" w:cs="黑体" w:asciiTheme="minorEastAsia" w:hAnsiTheme="minorEastAsia"/>
          <w:color w:val="000000"/>
          <w:kern w:val="0"/>
          <w:sz w:val="32"/>
          <w:szCs w:val="32"/>
          <w:highlight w:val="none"/>
        </w:rPr>
        <w:t>部门职责</w:t>
      </w:r>
    </w:p>
    <w:p>
      <w:pPr>
        <w:autoSpaceDE w:val="0"/>
        <w:autoSpaceDN w:val="0"/>
        <w:adjustRightInd w:val="0"/>
        <w:ind w:firstLine="640" w:firstLineChars="200"/>
        <w:jc w:val="left"/>
        <w:rPr>
          <w:rFonts w:hint="eastAsia" w:cs="黑体" w:asciiTheme="minorEastAsia" w:hAnsiTheme="minorEastAsia"/>
          <w:color w:val="000000"/>
          <w:kern w:val="0"/>
          <w:sz w:val="32"/>
          <w:szCs w:val="32"/>
          <w:highlight w:val="none"/>
          <w:lang w:val="en-US" w:eastAsia="zh-CN"/>
        </w:rPr>
      </w:pPr>
      <w:r>
        <w:rPr>
          <w:rFonts w:hint="eastAsia" w:cs="黑体" w:asciiTheme="minorEastAsia" w:hAnsiTheme="minorEastAsia"/>
          <w:color w:val="000000"/>
          <w:kern w:val="0"/>
          <w:sz w:val="32"/>
          <w:szCs w:val="32"/>
          <w:highlight w:val="none"/>
          <w:lang w:val="en-US" w:eastAsia="zh-CN"/>
        </w:rPr>
        <w:t>1．根据党的路线、方针、政策和市委政法委、市委的部署，统一政法各部门的思想和行动，对一定时期内全市的政法工作作出作局性部署，并督促贯彻落实。</w:t>
      </w:r>
    </w:p>
    <w:p>
      <w:pPr>
        <w:autoSpaceDE w:val="0"/>
        <w:autoSpaceDN w:val="0"/>
        <w:adjustRightInd w:val="0"/>
        <w:ind w:firstLine="640" w:firstLineChars="200"/>
        <w:jc w:val="left"/>
        <w:rPr>
          <w:rFonts w:hint="eastAsia" w:cs="黑体" w:asciiTheme="minorEastAsia" w:hAnsiTheme="minorEastAsia"/>
          <w:color w:val="000000"/>
          <w:kern w:val="0"/>
          <w:sz w:val="32"/>
          <w:szCs w:val="32"/>
          <w:highlight w:val="none"/>
          <w:lang w:val="en-US" w:eastAsia="zh-CN"/>
        </w:rPr>
      </w:pPr>
      <w:r>
        <w:rPr>
          <w:rFonts w:hint="eastAsia" w:cs="黑体" w:asciiTheme="minorEastAsia" w:hAnsiTheme="minorEastAsia"/>
          <w:color w:val="000000"/>
          <w:kern w:val="0"/>
          <w:sz w:val="32"/>
          <w:szCs w:val="32"/>
          <w:highlight w:val="none"/>
          <w:lang w:val="en-US" w:eastAsia="zh-CN"/>
        </w:rPr>
        <w:t>2．组织、协调、指导维护社会稳定的工作，必须时直接参与影响稳定的重大群体性事件的处置。</w:t>
      </w:r>
    </w:p>
    <w:p>
      <w:pPr>
        <w:autoSpaceDE w:val="0"/>
        <w:autoSpaceDN w:val="0"/>
        <w:adjustRightInd w:val="0"/>
        <w:ind w:firstLine="640" w:firstLineChars="200"/>
        <w:jc w:val="left"/>
        <w:rPr>
          <w:rFonts w:hint="eastAsia" w:cs="黑体" w:asciiTheme="minorEastAsia" w:hAnsiTheme="minorEastAsia"/>
          <w:color w:val="000000"/>
          <w:kern w:val="0"/>
          <w:sz w:val="32"/>
          <w:szCs w:val="32"/>
          <w:highlight w:val="none"/>
          <w:lang w:val="en-US" w:eastAsia="zh-CN"/>
        </w:rPr>
      </w:pPr>
      <w:r>
        <w:rPr>
          <w:rFonts w:hint="eastAsia" w:cs="黑体" w:asciiTheme="minorEastAsia" w:hAnsiTheme="minorEastAsia"/>
          <w:color w:val="000000"/>
          <w:kern w:val="0"/>
          <w:sz w:val="32"/>
          <w:szCs w:val="32"/>
          <w:highlight w:val="none"/>
          <w:lang w:val="en-US" w:eastAsia="zh-CN"/>
        </w:rPr>
        <w:t>3．检查政法部门执行法律法规和党的方针、政策的情况，结合实际研究制定严肃执法，落实党的方针、政策的具体措施。</w:t>
      </w:r>
    </w:p>
    <w:p>
      <w:pPr>
        <w:autoSpaceDE w:val="0"/>
        <w:autoSpaceDN w:val="0"/>
        <w:adjustRightInd w:val="0"/>
        <w:ind w:firstLine="640" w:firstLineChars="200"/>
        <w:jc w:val="left"/>
        <w:rPr>
          <w:rFonts w:hint="eastAsia" w:cs="黑体" w:asciiTheme="minorEastAsia" w:hAnsiTheme="minorEastAsia"/>
          <w:color w:val="000000"/>
          <w:kern w:val="0"/>
          <w:sz w:val="32"/>
          <w:szCs w:val="32"/>
          <w:highlight w:val="none"/>
          <w:lang w:val="en-US" w:eastAsia="zh-CN"/>
        </w:rPr>
      </w:pPr>
      <w:r>
        <w:rPr>
          <w:rFonts w:hint="eastAsia" w:cs="黑体" w:asciiTheme="minorEastAsia" w:hAnsiTheme="minorEastAsia"/>
          <w:color w:val="000000"/>
          <w:kern w:val="0"/>
          <w:sz w:val="32"/>
          <w:szCs w:val="32"/>
          <w:highlight w:val="none"/>
          <w:lang w:val="en-US" w:eastAsia="zh-CN"/>
        </w:rPr>
        <w:t>4．大力支持和严格监督政法各部门依法行使职权，指导和协调政法各部门在依法相互制约的同时密切配合，督促和推动大案、要案的查处工作，研究、协调有争议的重大、疑难案件。</w:t>
      </w:r>
    </w:p>
    <w:p>
      <w:pPr>
        <w:autoSpaceDE w:val="0"/>
        <w:autoSpaceDN w:val="0"/>
        <w:adjustRightInd w:val="0"/>
        <w:ind w:firstLine="640" w:firstLineChars="200"/>
        <w:jc w:val="left"/>
        <w:rPr>
          <w:rFonts w:hint="eastAsia" w:cs="黑体" w:asciiTheme="minorEastAsia" w:hAnsiTheme="minorEastAsia"/>
          <w:color w:val="000000"/>
          <w:kern w:val="0"/>
          <w:sz w:val="32"/>
          <w:szCs w:val="32"/>
          <w:highlight w:val="none"/>
          <w:lang w:val="en-US" w:eastAsia="zh-CN"/>
        </w:rPr>
      </w:pPr>
      <w:r>
        <w:rPr>
          <w:rFonts w:hint="eastAsia" w:cs="黑体" w:asciiTheme="minorEastAsia" w:hAnsiTheme="minorEastAsia"/>
          <w:color w:val="000000"/>
          <w:kern w:val="0"/>
          <w:sz w:val="32"/>
          <w:szCs w:val="32"/>
          <w:highlight w:val="none"/>
          <w:lang w:val="en-US" w:eastAsia="zh-CN"/>
        </w:rPr>
        <w:t>5．组织、协调社会管理综合治理工作，推动社会管理综合治理各项措施的落实。</w:t>
      </w:r>
    </w:p>
    <w:p>
      <w:pPr>
        <w:autoSpaceDE w:val="0"/>
        <w:autoSpaceDN w:val="0"/>
        <w:adjustRightInd w:val="0"/>
        <w:ind w:firstLine="640" w:firstLineChars="200"/>
        <w:jc w:val="left"/>
        <w:rPr>
          <w:rFonts w:hint="eastAsia" w:cs="黑体" w:asciiTheme="minorEastAsia" w:hAnsiTheme="minorEastAsia"/>
          <w:color w:val="000000"/>
          <w:kern w:val="0"/>
          <w:sz w:val="32"/>
          <w:szCs w:val="32"/>
          <w:highlight w:val="none"/>
          <w:lang w:val="en-US" w:eastAsia="zh-CN"/>
        </w:rPr>
      </w:pPr>
      <w:r>
        <w:rPr>
          <w:rFonts w:hint="eastAsia" w:cs="黑体" w:asciiTheme="minorEastAsia" w:hAnsiTheme="minorEastAsia"/>
          <w:color w:val="000000"/>
          <w:kern w:val="0"/>
          <w:sz w:val="32"/>
          <w:szCs w:val="32"/>
          <w:highlight w:val="none"/>
          <w:lang w:val="en-US" w:eastAsia="zh-CN"/>
        </w:rPr>
        <w:t>6．组织推动政法战线的调查研究工作，总结新经验、解决新问题，改革和加强政法工作。</w:t>
      </w:r>
    </w:p>
    <w:p>
      <w:pPr>
        <w:autoSpaceDE w:val="0"/>
        <w:autoSpaceDN w:val="0"/>
        <w:adjustRightInd w:val="0"/>
        <w:ind w:firstLine="640" w:firstLineChars="200"/>
        <w:jc w:val="left"/>
        <w:rPr>
          <w:rFonts w:hint="eastAsia" w:cs="黑体" w:asciiTheme="minorEastAsia" w:hAnsiTheme="minorEastAsia"/>
          <w:color w:val="000000"/>
          <w:kern w:val="0"/>
          <w:sz w:val="32"/>
          <w:szCs w:val="32"/>
          <w:highlight w:val="none"/>
          <w:lang w:val="en-US" w:eastAsia="zh-CN"/>
        </w:rPr>
      </w:pPr>
      <w:r>
        <w:rPr>
          <w:rFonts w:hint="eastAsia" w:cs="黑体" w:asciiTheme="minorEastAsia" w:hAnsiTheme="minorEastAsia"/>
          <w:color w:val="000000"/>
          <w:kern w:val="0"/>
          <w:sz w:val="32"/>
          <w:szCs w:val="32"/>
          <w:highlight w:val="none"/>
          <w:lang w:val="en-US" w:eastAsia="zh-CN"/>
        </w:rPr>
        <w:t>7．协助党委及其他组织部门管理好政法部门的领导班子和干部队伍。组织查处政法系统干部、干警中有重大影响的违法违纪案件。</w:t>
      </w:r>
    </w:p>
    <w:p>
      <w:pPr>
        <w:autoSpaceDE w:val="0"/>
        <w:autoSpaceDN w:val="0"/>
        <w:adjustRightInd w:val="0"/>
        <w:ind w:firstLine="640" w:firstLineChars="200"/>
        <w:jc w:val="left"/>
        <w:rPr>
          <w:rFonts w:hint="eastAsia" w:cs="黑体" w:asciiTheme="minorEastAsia" w:hAnsiTheme="minorEastAsia"/>
          <w:color w:val="000000"/>
          <w:kern w:val="0"/>
          <w:sz w:val="32"/>
          <w:szCs w:val="32"/>
          <w:highlight w:val="none"/>
          <w:lang w:val="en-US" w:eastAsia="zh-CN"/>
        </w:rPr>
      </w:pPr>
      <w:r>
        <w:rPr>
          <w:rFonts w:hint="eastAsia" w:cs="黑体" w:asciiTheme="minorEastAsia" w:hAnsiTheme="minorEastAsia"/>
          <w:color w:val="000000"/>
          <w:kern w:val="0"/>
          <w:sz w:val="32"/>
          <w:szCs w:val="32"/>
          <w:highlight w:val="none"/>
          <w:lang w:val="en-US" w:eastAsia="zh-CN"/>
        </w:rPr>
        <w:t>8．承办市委、市人民政府和上级政法委员交办的其他事项。</w:t>
      </w:r>
    </w:p>
    <w:p>
      <w:pPr>
        <w:autoSpaceDE w:val="0"/>
        <w:autoSpaceDN w:val="0"/>
        <w:adjustRightInd w:val="0"/>
        <w:ind w:firstLine="640" w:firstLineChars="200"/>
        <w:jc w:val="left"/>
        <w:rPr>
          <w:rFonts w:hint="eastAsia" w:cs="黑体" w:asciiTheme="minorEastAsia" w:hAnsiTheme="minorEastAsia"/>
          <w:color w:val="000000"/>
          <w:kern w:val="0"/>
          <w:sz w:val="32"/>
          <w:szCs w:val="32"/>
          <w:highlight w:val="none"/>
          <w:lang w:val="en-US" w:eastAsia="zh-CN"/>
        </w:rPr>
      </w:pPr>
      <w:r>
        <w:rPr>
          <w:rFonts w:hint="eastAsia" w:cs="黑体" w:asciiTheme="minorEastAsia" w:hAnsiTheme="minorEastAsia"/>
          <w:color w:val="000000"/>
          <w:kern w:val="0"/>
          <w:sz w:val="32"/>
          <w:szCs w:val="32"/>
          <w:highlight w:val="none"/>
          <w:lang w:val="en-US" w:eastAsia="zh-CN"/>
        </w:rPr>
        <w:t>二、机构设置及决算单位构成</w:t>
      </w:r>
    </w:p>
    <w:p>
      <w:pPr>
        <w:autoSpaceDE w:val="0"/>
        <w:autoSpaceDN w:val="0"/>
        <w:adjustRightInd w:val="0"/>
        <w:ind w:firstLine="640" w:firstLineChars="200"/>
        <w:jc w:val="left"/>
        <w:rPr>
          <w:rFonts w:hint="eastAsia" w:cs="黑体" w:asciiTheme="minorEastAsia" w:hAnsiTheme="minorEastAsia"/>
          <w:color w:val="000000"/>
          <w:kern w:val="0"/>
          <w:sz w:val="32"/>
          <w:szCs w:val="32"/>
          <w:highlight w:val="none"/>
          <w:lang w:val="en-US" w:eastAsia="zh-CN"/>
        </w:rPr>
      </w:pPr>
      <w:r>
        <w:rPr>
          <w:rFonts w:hint="eastAsia" w:cs="黑体" w:asciiTheme="minorEastAsia" w:hAnsiTheme="minorEastAsia"/>
          <w:color w:val="000000"/>
          <w:kern w:val="0"/>
          <w:sz w:val="32"/>
          <w:szCs w:val="32"/>
          <w:highlight w:val="none"/>
          <w:lang w:val="en-US" w:eastAsia="zh-CN"/>
        </w:rPr>
        <w:t>(一）内设机构设置。</w:t>
      </w:r>
    </w:p>
    <w:p>
      <w:pPr>
        <w:autoSpaceDE w:val="0"/>
        <w:autoSpaceDN w:val="0"/>
        <w:adjustRightInd w:val="0"/>
        <w:ind w:firstLine="640" w:firstLineChars="200"/>
        <w:jc w:val="left"/>
        <w:rPr>
          <w:rFonts w:hint="eastAsia" w:cs="黑体" w:asciiTheme="minorEastAsia" w:hAnsiTheme="minorEastAsia"/>
          <w:color w:val="000000"/>
          <w:kern w:val="0"/>
          <w:sz w:val="32"/>
          <w:szCs w:val="32"/>
          <w:highlight w:val="none"/>
          <w:lang w:val="en-US" w:eastAsia="zh-CN"/>
        </w:rPr>
      </w:pPr>
      <w:r>
        <w:rPr>
          <w:rFonts w:hint="eastAsia" w:cs="黑体" w:asciiTheme="minorEastAsia" w:hAnsiTheme="minorEastAsia"/>
          <w:color w:val="000000"/>
          <w:kern w:val="0"/>
          <w:sz w:val="32"/>
          <w:szCs w:val="32"/>
          <w:highlight w:val="none"/>
          <w:lang w:val="en-US" w:eastAsia="zh-CN"/>
        </w:rPr>
        <w:t>中共祁阳市委政法委员会下设办公室、政研宣传室、政工室、维稳反邪室、综治督导室、执法监督室、法学会，下辖综治中心（网格事务中心）1个副科级事业单位和法学会1个股级事业单位。行政编制13个，事业编制13个，工勤人员编制2人；在职人数24人，离退休人数15人。</w:t>
      </w:r>
    </w:p>
    <w:p>
      <w:pPr>
        <w:autoSpaceDE w:val="0"/>
        <w:autoSpaceDN w:val="0"/>
        <w:adjustRightInd w:val="0"/>
        <w:ind w:firstLine="640" w:firstLineChars="200"/>
        <w:jc w:val="left"/>
        <w:rPr>
          <w:rFonts w:hint="eastAsia" w:cs="黑体" w:asciiTheme="minorEastAsia" w:hAnsiTheme="minorEastAsia"/>
          <w:color w:val="000000"/>
          <w:kern w:val="0"/>
          <w:sz w:val="32"/>
          <w:szCs w:val="32"/>
          <w:highlight w:val="none"/>
          <w:lang w:val="en-US" w:eastAsia="zh-CN"/>
        </w:rPr>
      </w:pPr>
      <w:r>
        <w:rPr>
          <w:rFonts w:hint="eastAsia" w:cs="黑体" w:asciiTheme="minorEastAsia" w:hAnsiTheme="minorEastAsia"/>
          <w:color w:val="000000"/>
          <w:kern w:val="0"/>
          <w:sz w:val="32"/>
          <w:szCs w:val="32"/>
          <w:highlight w:val="none"/>
          <w:lang w:val="en-US" w:eastAsia="zh-CN"/>
        </w:rPr>
        <w:t>（二）决算单位构成。中共祁阳市委政法委员会2021年部门决算汇总公开单位构成包括：中共祁阳市委政法委员会本级。</w:t>
      </w:r>
    </w:p>
    <w:p>
      <w:pPr>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br w:type="page"/>
      </w:r>
    </w:p>
    <w:p>
      <w:pPr>
        <w:jc w:val="center"/>
        <w:rPr>
          <w:rFonts w:asciiTheme="minorEastAsia" w:hAnsiTheme="minorEastAsia"/>
          <w:sz w:val="72"/>
          <w:szCs w:val="72"/>
          <w:highlight w:val="none"/>
        </w:rPr>
      </w:pPr>
    </w:p>
    <w:p>
      <w:pPr>
        <w:jc w:val="center"/>
        <w:rPr>
          <w:rFonts w:asciiTheme="minorEastAsia" w:hAnsiTheme="minorEastAsia"/>
          <w:sz w:val="72"/>
          <w:szCs w:val="72"/>
          <w:highlight w:val="none"/>
        </w:rPr>
      </w:pPr>
    </w:p>
    <w:p>
      <w:pPr>
        <w:jc w:val="center"/>
        <w:rPr>
          <w:rFonts w:asciiTheme="minorEastAsia" w:hAnsiTheme="minorEastAsia"/>
          <w:sz w:val="72"/>
          <w:szCs w:val="72"/>
          <w:highlight w:val="none"/>
        </w:rPr>
      </w:pPr>
    </w:p>
    <w:p>
      <w:pPr>
        <w:jc w:val="center"/>
        <w:rPr>
          <w:rFonts w:asciiTheme="minorEastAsia" w:hAnsiTheme="minorEastAsia"/>
          <w:sz w:val="72"/>
          <w:szCs w:val="72"/>
          <w:highlight w:val="none"/>
        </w:rPr>
      </w:pPr>
    </w:p>
    <w:p>
      <w:pPr>
        <w:jc w:val="center"/>
        <w:rPr>
          <w:rFonts w:asciiTheme="minorEastAsia" w:hAnsiTheme="minorEastAsia"/>
          <w:sz w:val="72"/>
          <w:szCs w:val="72"/>
          <w:highlight w:val="none"/>
        </w:rPr>
      </w:pPr>
    </w:p>
    <w:p>
      <w:pPr>
        <w:jc w:val="center"/>
        <w:rPr>
          <w:rFonts w:asciiTheme="minorEastAsia" w:hAnsiTheme="minorEastAsia"/>
          <w:sz w:val="72"/>
          <w:szCs w:val="72"/>
          <w:highlight w:val="none"/>
        </w:rPr>
      </w:pPr>
    </w:p>
    <w:p>
      <w:pPr>
        <w:jc w:val="center"/>
        <w:rPr>
          <w:rFonts w:hint="eastAsia" w:asciiTheme="minorEastAsia" w:hAnsiTheme="minorEastAsia"/>
          <w:sz w:val="72"/>
          <w:szCs w:val="72"/>
          <w:highlight w:val="none"/>
        </w:rPr>
      </w:pPr>
      <w:r>
        <w:rPr>
          <w:rFonts w:hint="eastAsia" w:asciiTheme="minorEastAsia" w:hAnsiTheme="minorEastAsia"/>
          <w:sz w:val="72"/>
          <w:szCs w:val="72"/>
          <w:highlight w:val="none"/>
        </w:rPr>
        <w:t>第二部分</w:t>
      </w:r>
    </w:p>
    <w:p>
      <w:pPr>
        <w:jc w:val="center"/>
        <w:rPr>
          <w:rFonts w:hint="eastAsia" w:asciiTheme="minorEastAsia" w:hAnsiTheme="minorEastAsia"/>
          <w:sz w:val="72"/>
          <w:szCs w:val="72"/>
          <w:highlight w:val="none"/>
        </w:rPr>
      </w:pPr>
    </w:p>
    <w:p>
      <w:pPr>
        <w:jc w:val="center"/>
        <w:rPr>
          <w:rFonts w:asciiTheme="minorEastAsia" w:hAnsiTheme="minorEastAsia"/>
          <w:sz w:val="72"/>
          <w:szCs w:val="72"/>
          <w:highlight w:val="none"/>
        </w:rPr>
      </w:pPr>
      <w:r>
        <w:rPr>
          <w:rFonts w:hint="eastAsia" w:asciiTheme="minorEastAsia" w:hAnsiTheme="minorEastAsia"/>
          <w:sz w:val="72"/>
          <w:szCs w:val="72"/>
          <w:highlight w:val="none"/>
          <w:lang w:val="en-US" w:eastAsia="zh-CN"/>
        </w:rPr>
        <w:t>2021年度</w:t>
      </w:r>
      <w:r>
        <w:rPr>
          <w:rFonts w:hint="eastAsia" w:asciiTheme="minorEastAsia" w:hAnsiTheme="minorEastAsia"/>
          <w:sz w:val="72"/>
          <w:szCs w:val="72"/>
          <w:highlight w:val="none"/>
        </w:rPr>
        <w:t>部门决算表</w:t>
      </w:r>
    </w:p>
    <w:p>
      <w:pPr>
        <w:jc w:val="center"/>
        <w:rPr>
          <w:rFonts w:asciiTheme="minorEastAsia" w:hAnsiTheme="minorEastAsia"/>
          <w:sz w:val="72"/>
          <w:szCs w:val="72"/>
          <w:highlight w:val="none"/>
        </w:rPr>
      </w:pPr>
    </w:p>
    <w:p>
      <w:pPr>
        <w:jc w:val="center"/>
        <w:rPr>
          <w:rFonts w:asciiTheme="minorEastAsia" w:hAnsiTheme="minorEastAsia"/>
          <w:sz w:val="72"/>
          <w:szCs w:val="72"/>
          <w:highlight w:val="none"/>
        </w:rPr>
      </w:pPr>
    </w:p>
    <w:p>
      <w:pPr>
        <w:jc w:val="center"/>
        <w:rPr>
          <w:rFonts w:asciiTheme="minorEastAsia" w:hAnsiTheme="minorEastAsia"/>
          <w:sz w:val="72"/>
          <w:szCs w:val="72"/>
          <w:highlight w:val="none"/>
        </w:rPr>
      </w:pPr>
    </w:p>
    <w:p>
      <w:pPr>
        <w:jc w:val="left"/>
        <w:rPr>
          <w:rFonts w:asciiTheme="minorEastAsia" w:hAnsiTheme="minorEastAsia"/>
          <w:sz w:val="32"/>
          <w:szCs w:val="32"/>
          <w:highlight w:val="none"/>
        </w:rPr>
        <w:sectPr>
          <w:pgSz w:w="11906" w:h="16838"/>
          <w:pgMar w:top="720" w:right="720" w:bottom="720" w:left="720" w:header="851" w:footer="992" w:gutter="0"/>
          <w:cols w:space="425" w:num="1"/>
          <w:docGrid w:type="lines" w:linePitch="312" w:charSpace="0"/>
        </w:sectPr>
      </w:pPr>
    </w:p>
    <w:tbl>
      <w:tblPr>
        <w:tblStyle w:val="9"/>
        <w:tblW w:w="4911" w:type="pct"/>
        <w:tblInd w:w="118" w:type="dxa"/>
        <w:tblLayout w:type="autofit"/>
        <w:tblCellMar>
          <w:top w:w="0" w:type="dxa"/>
          <w:left w:w="108" w:type="dxa"/>
          <w:bottom w:w="0" w:type="dxa"/>
          <w:right w:w="108" w:type="dxa"/>
        </w:tblCellMar>
      </w:tblPr>
      <w:tblGrid>
        <w:gridCol w:w="4515"/>
        <w:gridCol w:w="736"/>
        <w:gridCol w:w="2537"/>
        <w:gridCol w:w="4174"/>
        <w:gridCol w:w="886"/>
        <w:gridCol w:w="2488"/>
      </w:tblGrid>
      <w:tr>
        <w:tblPrEx>
          <w:tblCellMar>
            <w:top w:w="0" w:type="dxa"/>
            <w:left w:w="108" w:type="dxa"/>
            <w:bottom w:w="0" w:type="dxa"/>
            <w:right w:w="108" w:type="dxa"/>
          </w:tblCellMar>
        </w:tblPrEx>
        <w:trPr>
          <w:trHeight w:val="360" w:hRule="atLeast"/>
        </w:trPr>
        <w:tc>
          <w:tcPr>
            <w:tcW w:w="5000" w:type="pct"/>
            <w:gridSpan w:val="6"/>
            <w:tcBorders>
              <w:top w:val="nil"/>
              <w:left w:val="nil"/>
              <w:bottom w:val="nil"/>
              <w:right w:val="nil"/>
            </w:tcBorders>
            <w:shd w:val="clear" w:color="auto" w:fill="auto"/>
            <w:noWrap/>
            <w:vAlign w:val="center"/>
          </w:tcPr>
          <w:p>
            <w:pPr>
              <w:widowControl/>
              <w:jc w:val="center"/>
              <w:rPr>
                <w:rFonts w:cs="宋体" w:asciiTheme="minorEastAsia" w:hAnsiTheme="minorEastAsia"/>
                <w:color w:val="000000"/>
                <w:kern w:val="0"/>
                <w:sz w:val="32"/>
                <w:szCs w:val="32"/>
                <w:highlight w:val="none"/>
              </w:rPr>
            </w:pPr>
            <w:r>
              <w:rPr>
                <w:rFonts w:hint="eastAsia" w:cs="宋体" w:asciiTheme="minorEastAsia" w:hAnsiTheme="minorEastAsia"/>
                <w:color w:val="000000"/>
                <w:kern w:val="0"/>
                <w:sz w:val="32"/>
                <w:szCs w:val="32"/>
                <w:highlight w:val="none"/>
              </w:rPr>
              <w:t>收入支出决算总表</w:t>
            </w:r>
          </w:p>
        </w:tc>
      </w:tr>
      <w:tr>
        <w:tblPrEx>
          <w:tblCellMar>
            <w:top w:w="0" w:type="dxa"/>
            <w:left w:w="108" w:type="dxa"/>
            <w:bottom w:w="0" w:type="dxa"/>
            <w:right w:w="108" w:type="dxa"/>
          </w:tblCellMar>
        </w:tblPrEx>
        <w:trPr>
          <w:trHeight w:val="312" w:hRule="atLeast"/>
        </w:trPr>
        <w:tc>
          <w:tcPr>
            <w:tcW w:w="1472"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240"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827"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1361"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289"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809"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公开01表</w:t>
            </w:r>
          </w:p>
        </w:tc>
      </w:tr>
      <w:tr>
        <w:tblPrEx>
          <w:tblCellMar>
            <w:top w:w="0" w:type="dxa"/>
            <w:left w:w="108" w:type="dxa"/>
            <w:bottom w:w="0" w:type="dxa"/>
            <w:right w:w="108" w:type="dxa"/>
          </w:tblCellMar>
        </w:tblPrEx>
        <w:trPr>
          <w:trHeight w:val="312" w:hRule="atLeast"/>
        </w:trPr>
        <w:tc>
          <w:tcPr>
            <w:tcW w:w="1472" w:type="pct"/>
            <w:tcBorders>
              <w:top w:val="nil"/>
              <w:left w:val="nil"/>
              <w:bottom w:val="nil"/>
              <w:right w:val="nil"/>
            </w:tcBorders>
            <w:shd w:val="clear" w:color="000000" w:fill="FFFFFF"/>
            <w:noWrap/>
            <w:vAlign w:val="center"/>
          </w:tcPr>
          <w:p>
            <w:pPr>
              <w:widowControl/>
              <w:jc w:val="left"/>
              <w:rPr>
                <w:rFonts w:hint="default" w:ascii="Times New Roman" w:hAnsi="Times New Roman" w:cs="Times New Roman" w:eastAsiaTheme="minorEastAsia"/>
                <w:color w:val="000000"/>
                <w:kern w:val="0"/>
                <w:sz w:val="21"/>
                <w:szCs w:val="21"/>
                <w:highlight w:val="none"/>
                <w:lang w:eastAsia="zh-CN"/>
              </w:rPr>
            </w:pPr>
            <w:r>
              <w:rPr>
                <w:rFonts w:hint="default" w:ascii="Times New Roman" w:hAnsi="Times New Roman" w:cs="Times New Roman" w:eastAsiaTheme="minorEastAsia"/>
                <w:color w:val="000000"/>
                <w:kern w:val="0"/>
                <w:sz w:val="21"/>
                <w:szCs w:val="21"/>
                <w:highlight w:val="none"/>
              </w:rPr>
              <w:t xml:space="preserve">部门： </w:t>
            </w:r>
            <w:r>
              <w:rPr>
                <w:rFonts w:hint="default" w:ascii="Times New Roman" w:hAnsi="Times New Roman" w:cs="Times New Roman" w:eastAsiaTheme="minorEastAsia"/>
                <w:color w:val="000000"/>
                <w:kern w:val="0"/>
                <w:sz w:val="21"/>
                <w:szCs w:val="21"/>
                <w:highlight w:val="none"/>
                <w:lang w:eastAsia="zh-CN"/>
              </w:rPr>
              <w:t>中共祁阳市委政法委员会</w:t>
            </w:r>
          </w:p>
        </w:tc>
        <w:tc>
          <w:tcPr>
            <w:tcW w:w="240"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827"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1361"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289"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809"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单位：万元</w:t>
            </w:r>
          </w:p>
        </w:tc>
      </w:tr>
      <w:tr>
        <w:tblPrEx>
          <w:tblCellMar>
            <w:top w:w="0" w:type="dxa"/>
            <w:left w:w="108" w:type="dxa"/>
            <w:bottom w:w="0" w:type="dxa"/>
            <w:right w:w="108" w:type="dxa"/>
          </w:tblCellMar>
        </w:tblPrEx>
        <w:trPr>
          <w:trHeight w:val="312" w:hRule="atLeast"/>
        </w:trPr>
        <w:tc>
          <w:tcPr>
            <w:tcW w:w="2539"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收入</w:t>
            </w:r>
          </w:p>
        </w:tc>
        <w:tc>
          <w:tcPr>
            <w:tcW w:w="2460" w:type="pct"/>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支出</w:t>
            </w: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项    目</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行次</w:t>
            </w:r>
          </w:p>
        </w:tc>
        <w:tc>
          <w:tcPr>
            <w:tcW w:w="827"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决算数</w:t>
            </w:r>
          </w:p>
        </w:tc>
        <w:tc>
          <w:tcPr>
            <w:tcW w:w="1361"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项    目</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行次</w:t>
            </w:r>
          </w:p>
        </w:tc>
        <w:tc>
          <w:tcPr>
            <w:tcW w:w="80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决算数</w:t>
            </w: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栏    次</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827"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1</w:t>
            </w:r>
          </w:p>
        </w:tc>
        <w:tc>
          <w:tcPr>
            <w:tcW w:w="1361"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栏    次</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80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2</w:t>
            </w: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一、一般公共预算财政拨款收入</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1</w:t>
            </w:r>
          </w:p>
        </w:tc>
        <w:tc>
          <w:tcPr>
            <w:tcW w:w="25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963.67</w:t>
            </w:r>
          </w:p>
        </w:tc>
        <w:tc>
          <w:tcPr>
            <w:tcW w:w="1361"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一、一般公共服务支出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32</w:t>
            </w:r>
          </w:p>
        </w:tc>
        <w:tc>
          <w:tcPr>
            <w:tcW w:w="24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905.94</w:t>
            </w: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二、政府性基金预算财政拨款收入</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2</w:t>
            </w:r>
          </w:p>
        </w:tc>
        <w:tc>
          <w:tcPr>
            <w:tcW w:w="2537"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361"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rPr>
              <w:t>二、外交支出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33</w:t>
            </w:r>
          </w:p>
        </w:tc>
        <w:tc>
          <w:tcPr>
            <w:tcW w:w="2488"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三、国有资本经营预算财政拨款收入</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3</w:t>
            </w:r>
          </w:p>
        </w:tc>
        <w:tc>
          <w:tcPr>
            <w:tcW w:w="2537"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361"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rPr>
              <w:t>三、国防支出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34</w:t>
            </w:r>
          </w:p>
        </w:tc>
        <w:tc>
          <w:tcPr>
            <w:tcW w:w="2488"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四、上级补助收入</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4</w:t>
            </w:r>
          </w:p>
        </w:tc>
        <w:tc>
          <w:tcPr>
            <w:tcW w:w="2537"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361"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rPr>
              <w:t>四、公共安全支出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35</w:t>
            </w:r>
          </w:p>
        </w:tc>
        <w:tc>
          <w:tcPr>
            <w:tcW w:w="2488"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五、事业收入</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5</w:t>
            </w:r>
          </w:p>
        </w:tc>
        <w:tc>
          <w:tcPr>
            <w:tcW w:w="2537"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361"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rPr>
              <w:t>五、教育支出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36</w:t>
            </w:r>
          </w:p>
        </w:tc>
        <w:tc>
          <w:tcPr>
            <w:tcW w:w="2488"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六、经营收入</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6</w:t>
            </w:r>
          </w:p>
        </w:tc>
        <w:tc>
          <w:tcPr>
            <w:tcW w:w="253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361"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rPr>
              <w:t>六、科学技术支出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37</w:t>
            </w:r>
          </w:p>
        </w:tc>
        <w:tc>
          <w:tcPr>
            <w:tcW w:w="2488"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七、附属单位上缴收入</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7</w:t>
            </w:r>
          </w:p>
        </w:tc>
        <w:tc>
          <w:tcPr>
            <w:tcW w:w="253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rPr>
              <w:t>七、文化旅游体育与传媒支出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38</w:t>
            </w:r>
          </w:p>
        </w:tc>
        <w:tc>
          <w:tcPr>
            <w:tcW w:w="2488"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八、其他收入</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8</w:t>
            </w:r>
          </w:p>
        </w:tc>
        <w:tc>
          <w:tcPr>
            <w:tcW w:w="253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lang w:val="en-US" w:eastAsia="zh-CN"/>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rPr>
              <w:t>八、社会保障和就业支出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39</w:t>
            </w:r>
          </w:p>
        </w:tc>
        <w:tc>
          <w:tcPr>
            <w:tcW w:w="24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29.35</w:t>
            </w: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9</w:t>
            </w:r>
          </w:p>
        </w:tc>
        <w:tc>
          <w:tcPr>
            <w:tcW w:w="253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rPr>
              <w:t>九、卫生健康支出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40</w:t>
            </w:r>
          </w:p>
        </w:tc>
        <w:tc>
          <w:tcPr>
            <w:tcW w:w="24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kern w:val="0"/>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11.32</w:t>
            </w: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highlight w:val="none"/>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10</w:t>
            </w:r>
          </w:p>
        </w:tc>
        <w:tc>
          <w:tcPr>
            <w:tcW w:w="253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rPr>
              <w:t>十、节能环保支出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41</w:t>
            </w:r>
          </w:p>
        </w:tc>
        <w:tc>
          <w:tcPr>
            <w:tcW w:w="2488"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b w:val="0"/>
                <w:bCs w:val="0"/>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highlight w:val="none"/>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11</w:t>
            </w:r>
          </w:p>
        </w:tc>
        <w:tc>
          <w:tcPr>
            <w:tcW w:w="253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rPr>
              <w:t>十一、城乡社区支出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42</w:t>
            </w:r>
          </w:p>
        </w:tc>
        <w:tc>
          <w:tcPr>
            <w:tcW w:w="2488"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b w:val="0"/>
                <w:bCs w:val="0"/>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highlight w:val="none"/>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12</w:t>
            </w:r>
          </w:p>
        </w:tc>
        <w:tc>
          <w:tcPr>
            <w:tcW w:w="253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rPr>
              <w:t>十二、农林水支出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43</w:t>
            </w:r>
          </w:p>
        </w:tc>
        <w:tc>
          <w:tcPr>
            <w:tcW w:w="2488"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b w:val="0"/>
                <w:bCs w:val="0"/>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highlight w:val="none"/>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13</w:t>
            </w:r>
          </w:p>
        </w:tc>
        <w:tc>
          <w:tcPr>
            <w:tcW w:w="253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rPr>
              <w:t>十三、交通运输支出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44</w:t>
            </w:r>
          </w:p>
        </w:tc>
        <w:tc>
          <w:tcPr>
            <w:tcW w:w="2488"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b w:val="0"/>
                <w:bCs w:val="0"/>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highlight w:val="none"/>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14</w:t>
            </w:r>
          </w:p>
        </w:tc>
        <w:tc>
          <w:tcPr>
            <w:tcW w:w="253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rPr>
              <w:t>十四、资源勘探工业信息等支出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45</w:t>
            </w:r>
          </w:p>
        </w:tc>
        <w:tc>
          <w:tcPr>
            <w:tcW w:w="2488"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b w:val="0"/>
                <w:bCs w:val="0"/>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highlight w:val="none"/>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15</w:t>
            </w:r>
          </w:p>
        </w:tc>
        <w:tc>
          <w:tcPr>
            <w:tcW w:w="253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rPr>
              <w:t>十五、商业服务业等支出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46</w:t>
            </w:r>
          </w:p>
        </w:tc>
        <w:tc>
          <w:tcPr>
            <w:tcW w:w="2488"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b w:val="0"/>
                <w:bCs w:val="0"/>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highlight w:val="none"/>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16</w:t>
            </w:r>
          </w:p>
        </w:tc>
        <w:tc>
          <w:tcPr>
            <w:tcW w:w="253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rPr>
              <w:t>十六、金融支出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47</w:t>
            </w:r>
          </w:p>
        </w:tc>
        <w:tc>
          <w:tcPr>
            <w:tcW w:w="2488"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b w:val="0"/>
                <w:bCs w:val="0"/>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highlight w:val="none"/>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17</w:t>
            </w:r>
          </w:p>
        </w:tc>
        <w:tc>
          <w:tcPr>
            <w:tcW w:w="253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rPr>
              <w:t>十七、援助其他地区支出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48</w:t>
            </w:r>
          </w:p>
        </w:tc>
        <w:tc>
          <w:tcPr>
            <w:tcW w:w="2488"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b w:val="0"/>
                <w:bCs w:val="0"/>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highlight w:val="none"/>
              </w:rPr>
            </w:pPr>
          </w:p>
        </w:tc>
        <w:tc>
          <w:tcPr>
            <w:tcW w:w="24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18</w:t>
            </w:r>
          </w:p>
        </w:tc>
        <w:tc>
          <w:tcPr>
            <w:tcW w:w="253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36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rPr>
              <w:t>十八、自然资源海洋气象等支出</w:t>
            </w:r>
          </w:p>
        </w:tc>
        <w:tc>
          <w:tcPr>
            <w:tcW w:w="28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49</w:t>
            </w:r>
          </w:p>
        </w:tc>
        <w:tc>
          <w:tcPr>
            <w:tcW w:w="24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b w:val="0"/>
                <w:bCs w:val="0"/>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highlight w:val="none"/>
              </w:rPr>
            </w:pPr>
          </w:p>
        </w:tc>
        <w:tc>
          <w:tcPr>
            <w:tcW w:w="240"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19</w:t>
            </w:r>
          </w:p>
        </w:tc>
        <w:tc>
          <w:tcPr>
            <w:tcW w:w="2537"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361"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rPr>
              <w:t>十九、住房保障支出</w:t>
            </w:r>
          </w:p>
        </w:tc>
        <w:tc>
          <w:tcPr>
            <w:tcW w:w="289"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50</w:t>
            </w:r>
          </w:p>
        </w:tc>
        <w:tc>
          <w:tcPr>
            <w:tcW w:w="24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kern w:val="0"/>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17.06</w:t>
            </w: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highlight w:val="none"/>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20</w:t>
            </w:r>
          </w:p>
        </w:tc>
        <w:tc>
          <w:tcPr>
            <w:tcW w:w="253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rPr>
              <w:t>二十、粮油物资储备支出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51</w:t>
            </w:r>
          </w:p>
        </w:tc>
        <w:tc>
          <w:tcPr>
            <w:tcW w:w="2488"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b w:val="0"/>
                <w:bCs w:val="0"/>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highlight w:val="none"/>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21</w:t>
            </w:r>
          </w:p>
        </w:tc>
        <w:tc>
          <w:tcPr>
            <w:tcW w:w="253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rPr>
              <w:t>二十一、国有资本经营预算支出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52</w:t>
            </w:r>
          </w:p>
        </w:tc>
        <w:tc>
          <w:tcPr>
            <w:tcW w:w="2488"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b w:val="0"/>
                <w:bCs w:val="0"/>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highlight w:val="none"/>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22</w:t>
            </w:r>
          </w:p>
        </w:tc>
        <w:tc>
          <w:tcPr>
            <w:tcW w:w="253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rPr>
              <w:t>二十二、灾害防治及应急管理支出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53</w:t>
            </w:r>
          </w:p>
        </w:tc>
        <w:tc>
          <w:tcPr>
            <w:tcW w:w="2488"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b w:val="0"/>
                <w:bCs w:val="0"/>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highlight w:val="none"/>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23</w:t>
            </w:r>
          </w:p>
        </w:tc>
        <w:tc>
          <w:tcPr>
            <w:tcW w:w="253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rPr>
              <w:t>二十三、其他支出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54</w:t>
            </w:r>
          </w:p>
        </w:tc>
        <w:tc>
          <w:tcPr>
            <w:tcW w:w="248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b w:val="0"/>
                <w:bCs w:val="0"/>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highlight w:val="none"/>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24</w:t>
            </w:r>
          </w:p>
        </w:tc>
        <w:tc>
          <w:tcPr>
            <w:tcW w:w="253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rPr>
              <w:t>二十四、债务还本支出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55</w:t>
            </w:r>
          </w:p>
        </w:tc>
        <w:tc>
          <w:tcPr>
            <w:tcW w:w="248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b w:val="0"/>
                <w:bCs w:val="0"/>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highlight w:val="none"/>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25</w:t>
            </w:r>
          </w:p>
        </w:tc>
        <w:tc>
          <w:tcPr>
            <w:tcW w:w="253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rPr>
              <w:t>二十五、债务付息支出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56</w:t>
            </w:r>
          </w:p>
        </w:tc>
        <w:tc>
          <w:tcPr>
            <w:tcW w:w="248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b w:val="0"/>
                <w:bCs w:val="0"/>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highlight w:val="none"/>
              </w:rPr>
            </w:pPr>
          </w:p>
        </w:tc>
        <w:tc>
          <w:tcPr>
            <w:tcW w:w="240"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26</w:t>
            </w:r>
          </w:p>
        </w:tc>
        <w:tc>
          <w:tcPr>
            <w:tcW w:w="2537"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361"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rPr>
              <w:t>二十六、抗疫特别国债安排的支出</w:t>
            </w:r>
          </w:p>
        </w:tc>
        <w:tc>
          <w:tcPr>
            <w:tcW w:w="289"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57</w:t>
            </w:r>
          </w:p>
        </w:tc>
        <w:tc>
          <w:tcPr>
            <w:tcW w:w="248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b w:val="0"/>
                <w:bCs w:val="0"/>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b/>
                <w:bCs/>
                <w:kern w:val="0"/>
                <w:sz w:val="21"/>
                <w:szCs w:val="21"/>
                <w:highlight w:val="none"/>
              </w:rPr>
            </w:pPr>
            <w:r>
              <w:rPr>
                <w:rFonts w:hint="default" w:ascii="Times New Roman" w:hAnsi="Times New Roman" w:cs="Times New Roman" w:eastAsiaTheme="minorEastAsia"/>
                <w:b/>
                <w:bCs/>
                <w:kern w:val="0"/>
                <w:sz w:val="21"/>
                <w:szCs w:val="21"/>
                <w:highlight w:val="none"/>
              </w:rPr>
              <w:t>本年收入合计</w:t>
            </w:r>
          </w:p>
        </w:tc>
        <w:tc>
          <w:tcPr>
            <w:tcW w:w="240"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27</w:t>
            </w:r>
          </w:p>
        </w:tc>
        <w:tc>
          <w:tcPr>
            <w:tcW w:w="253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b/>
                <w:bCs/>
                <w:i w:val="0"/>
                <w:iCs w:val="0"/>
                <w:color w:val="000000"/>
                <w:kern w:val="0"/>
                <w:sz w:val="21"/>
                <w:szCs w:val="21"/>
                <w:highlight w:val="none"/>
                <w:u w:val="none"/>
                <w:lang w:val="en-US" w:eastAsia="zh-CN" w:bidi="ar"/>
              </w:rPr>
              <w:t>963.67</w:t>
            </w:r>
          </w:p>
        </w:tc>
        <w:tc>
          <w:tcPr>
            <w:tcW w:w="136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b/>
                <w:bCs/>
                <w:kern w:val="0"/>
                <w:sz w:val="21"/>
                <w:szCs w:val="21"/>
                <w:highlight w:val="none"/>
              </w:rPr>
            </w:pPr>
            <w:r>
              <w:rPr>
                <w:rFonts w:hint="default" w:ascii="Times New Roman" w:hAnsi="Times New Roman" w:cs="Times New Roman" w:eastAsiaTheme="minorEastAsia"/>
                <w:b/>
                <w:bCs/>
                <w:kern w:val="0"/>
                <w:sz w:val="21"/>
                <w:szCs w:val="21"/>
                <w:highlight w:val="none"/>
              </w:rPr>
              <w:t>本年支出合计</w:t>
            </w:r>
          </w:p>
        </w:tc>
        <w:tc>
          <w:tcPr>
            <w:tcW w:w="289"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58</w:t>
            </w:r>
          </w:p>
        </w:tc>
        <w:tc>
          <w:tcPr>
            <w:tcW w:w="24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kern w:val="0"/>
                <w:sz w:val="21"/>
                <w:szCs w:val="21"/>
                <w:highlight w:val="none"/>
                <w:lang w:val="en-US" w:eastAsia="zh-CN"/>
              </w:rPr>
            </w:pPr>
            <w:r>
              <w:rPr>
                <w:rFonts w:hint="default" w:ascii="Times New Roman" w:hAnsi="Times New Roman" w:cs="Times New Roman" w:eastAsiaTheme="minorEastAsia"/>
                <w:b/>
                <w:bCs/>
                <w:i w:val="0"/>
                <w:iCs w:val="0"/>
                <w:color w:val="000000"/>
                <w:kern w:val="0"/>
                <w:sz w:val="21"/>
                <w:szCs w:val="21"/>
                <w:highlight w:val="none"/>
                <w:u w:val="none"/>
                <w:lang w:val="en-US" w:eastAsia="zh-CN" w:bidi="ar"/>
              </w:rPr>
              <w:t>963.67</w:t>
            </w: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使用非财政拨款结余</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28</w:t>
            </w:r>
          </w:p>
        </w:tc>
        <w:tc>
          <w:tcPr>
            <w:tcW w:w="2537"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结余分配</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59</w:t>
            </w:r>
          </w:p>
        </w:tc>
        <w:tc>
          <w:tcPr>
            <w:tcW w:w="2488"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b w:val="0"/>
                <w:bCs w:val="0"/>
                <w:kern w:val="0"/>
                <w:sz w:val="21"/>
                <w:szCs w:val="21"/>
                <w:highlight w:val="none"/>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年初结转和结余</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29</w:t>
            </w:r>
          </w:p>
        </w:tc>
        <w:tc>
          <w:tcPr>
            <w:tcW w:w="2537"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年末结转和结余</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60</w:t>
            </w:r>
          </w:p>
        </w:tc>
        <w:tc>
          <w:tcPr>
            <w:tcW w:w="2488"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b w:val="0"/>
                <w:bCs w:val="0"/>
                <w:kern w:val="0"/>
                <w:sz w:val="21"/>
                <w:szCs w:val="21"/>
                <w:highlight w:val="none"/>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b/>
                <w:bCs/>
                <w:kern w:val="0"/>
                <w:sz w:val="21"/>
                <w:szCs w:val="21"/>
                <w:highlight w:val="none"/>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30</w:t>
            </w:r>
          </w:p>
        </w:tc>
        <w:tc>
          <w:tcPr>
            <w:tcW w:w="2537"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361"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b/>
                <w:bCs/>
                <w:kern w:val="0"/>
                <w:sz w:val="21"/>
                <w:szCs w:val="21"/>
                <w:highlight w:val="none"/>
              </w:rPr>
            </w:pP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61</w:t>
            </w:r>
          </w:p>
        </w:tc>
        <w:tc>
          <w:tcPr>
            <w:tcW w:w="2488"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b/>
                <w:bCs/>
                <w:kern w:val="0"/>
                <w:sz w:val="21"/>
                <w:szCs w:val="21"/>
                <w:highlight w:val="none"/>
              </w:rPr>
            </w:pPr>
          </w:p>
        </w:tc>
      </w:tr>
      <w:tr>
        <w:tblPrEx>
          <w:tblCellMar>
            <w:top w:w="0" w:type="dxa"/>
            <w:left w:w="108" w:type="dxa"/>
            <w:bottom w:w="0" w:type="dxa"/>
            <w:right w:w="108" w:type="dxa"/>
          </w:tblCellMar>
        </w:tblPrEx>
        <w:trPr>
          <w:trHeight w:val="312"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b/>
                <w:bCs/>
                <w:kern w:val="0"/>
                <w:sz w:val="21"/>
                <w:szCs w:val="21"/>
                <w:highlight w:val="none"/>
              </w:rPr>
            </w:pPr>
            <w:r>
              <w:rPr>
                <w:rFonts w:hint="default" w:ascii="Times New Roman" w:hAnsi="Times New Roman" w:cs="Times New Roman" w:eastAsiaTheme="minorEastAsia"/>
                <w:b/>
                <w:bCs/>
                <w:kern w:val="0"/>
                <w:sz w:val="21"/>
                <w:szCs w:val="21"/>
                <w:highlight w:val="none"/>
              </w:rPr>
              <w:t>总计</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31</w:t>
            </w:r>
          </w:p>
        </w:tc>
        <w:tc>
          <w:tcPr>
            <w:tcW w:w="25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b/>
                <w:bCs/>
                <w:i w:val="0"/>
                <w:iCs w:val="0"/>
                <w:color w:val="000000"/>
                <w:kern w:val="0"/>
                <w:sz w:val="21"/>
                <w:szCs w:val="21"/>
                <w:highlight w:val="none"/>
                <w:u w:val="none"/>
                <w:lang w:val="en-US" w:eastAsia="zh-CN" w:bidi="ar"/>
              </w:rPr>
              <w:t>963.67</w:t>
            </w:r>
          </w:p>
        </w:tc>
        <w:tc>
          <w:tcPr>
            <w:tcW w:w="1361"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b/>
                <w:bCs/>
                <w:kern w:val="0"/>
                <w:sz w:val="21"/>
                <w:szCs w:val="21"/>
                <w:highlight w:val="none"/>
              </w:rPr>
            </w:pPr>
            <w:r>
              <w:rPr>
                <w:rFonts w:hint="default" w:ascii="Times New Roman" w:hAnsi="Times New Roman" w:cs="Times New Roman" w:eastAsiaTheme="minorEastAsia"/>
                <w:b/>
                <w:bCs/>
                <w:kern w:val="0"/>
                <w:sz w:val="21"/>
                <w:szCs w:val="21"/>
                <w:highlight w:val="none"/>
              </w:rPr>
              <w:t>总计</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62</w:t>
            </w:r>
          </w:p>
        </w:tc>
        <w:tc>
          <w:tcPr>
            <w:tcW w:w="24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kern w:val="0"/>
                <w:sz w:val="21"/>
                <w:szCs w:val="21"/>
                <w:highlight w:val="none"/>
              </w:rPr>
            </w:pPr>
            <w:r>
              <w:rPr>
                <w:rFonts w:hint="default" w:ascii="Times New Roman" w:hAnsi="Times New Roman" w:cs="Times New Roman" w:eastAsiaTheme="minorEastAsia"/>
                <w:b/>
                <w:bCs/>
                <w:i w:val="0"/>
                <w:iCs w:val="0"/>
                <w:color w:val="000000"/>
                <w:kern w:val="0"/>
                <w:sz w:val="21"/>
                <w:szCs w:val="21"/>
                <w:highlight w:val="none"/>
                <w:u w:val="none"/>
                <w:lang w:val="en-US" w:eastAsia="zh-CN" w:bidi="ar"/>
              </w:rPr>
              <w:t>963.67</w:t>
            </w:r>
          </w:p>
        </w:tc>
      </w:tr>
      <w:tr>
        <w:tblPrEx>
          <w:tblCellMar>
            <w:top w:w="0" w:type="dxa"/>
            <w:left w:w="108" w:type="dxa"/>
            <w:bottom w:w="0" w:type="dxa"/>
            <w:right w:w="108" w:type="dxa"/>
          </w:tblCellMar>
        </w:tblPrEx>
        <w:trPr>
          <w:trHeight w:val="312" w:hRule="atLeast"/>
        </w:trPr>
        <w:tc>
          <w:tcPr>
            <w:tcW w:w="5000" w:type="pct"/>
            <w:gridSpan w:val="6"/>
            <w:tcBorders>
              <w:top w:val="nil"/>
              <w:left w:val="nil"/>
              <w:bottom w:val="nil"/>
              <w:right w:val="nil"/>
            </w:tcBorders>
            <w:shd w:val="clear" w:color="auto" w:fill="auto"/>
            <w:vAlign w:val="center"/>
          </w:tcPr>
          <w:p>
            <w:pPr>
              <w:widowControl/>
              <w:jc w:val="left"/>
              <w:rPr>
                <w:rFonts w:hint="eastAsia" w:ascii="Times New Roman" w:hAnsi="Times New Roman" w:cs="Times New Roman" w:eastAsiaTheme="minorEastAsia"/>
                <w:kern w:val="0"/>
                <w:sz w:val="21"/>
                <w:szCs w:val="21"/>
                <w:highlight w:val="none"/>
                <w:lang w:eastAsia="zh-CN"/>
              </w:rPr>
            </w:pPr>
            <w:r>
              <w:rPr>
                <w:rFonts w:hint="default" w:ascii="Times New Roman" w:hAnsi="Times New Roman" w:cs="Times New Roman" w:eastAsiaTheme="minorEastAsia"/>
                <w:kern w:val="0"/>
                <w:sz w:val="21"/>
                <w:szCs w:val="21"/>
                <w:highlight w:val="none"/>
              </w:rPr>
              <w:t>注：1.本表反映部门本年度的总收支和年末结转结余情况。</w:t>
            </w:r>
          </w:p>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xml:space="preserve"> 2.本套报表金额单位转换时可能存在尾数误差。</w:t>
            </w:r>
          </w:p>
        </w:tc>
      </w:tr>
    </w:tbl>
    <w:p>
      <w:pPr>
        <w:rPr>
          <w:rFonts w:hint="eastAsia" w:asciiTheme="minorEastAsia" w:hAnsiTheme="minorEastAsia"/>
          <w:color w:val="000000"/>
          <w:sz w:val="32"/>
          <w:szCs w:val="32"/>
          <w:highlight w:val="none"/>
        </w:rPr>
      </w:pPr>
      <w:r>
        <w:rPr>
          <w:rFonts w:hint="eastAsia" w:asciiTheme="minorEastAsia" w:hAnsiTheme="minorEastAsia"/>
          <w:color w:val="000000"/>
          <w:sz w:val="32"/>
          <w:szCs w:val="32"/>
          <w:highlight w:val="none"/>
        </w:rPr>
        <w:br w:type="page"/>
      </w:r>
    </w:p>
    <w:tbl>
      <w:tblPr>
        <w:tblStyle w:val="9"/>
        <w:tblW w:w="5000" w:type="pct"/>
        <w:tblInd w:w="0" w:type="dxa"/>
        <w:tblLayout w:type="fixed"/>
        <w:tblCellMar>
          <w:top w:w="0" w:type="dxa"/>
          <w:left w:w="0" w:type="dxa"/>
          <w:bottom w:w="0" w:type="dxa"/>
          <w:right w:w="0" w:type="dxa"/>
        </w:tblCellMar>
      </w:tblPr>
      <w:tblGrid>
        <w:gridCol w:w="1271"/>
        <w:gridCol w:w="4477"/>
        <w:gridCol w:w="1453"/>
        <w:gridCol w:w="1454"/>
        <w:gridCol w:w="1329"/>
        <w:gridCol w:w="1345"/>
        <w:gridCol w:w="1345"/>
        <w:gridCol w:w="1355"/>
        <w:gridCol w:w="1399"/>
      </w:tblGrid>
      <w:tr>
        <w:tblPrEx>
          <w:tblCellMar>
            <w:top w:w="0" w:type="dxa"/>
            <w:left w:w="0" w:type="dxa"/>
            <w:bottom w:w="0" w:type="dxa"/>
            <w:right w:w="0" w:type="dxa"/>
          </w:tblCellMar>
        </w:tblPrEx>
        <w:trPr>
          <w:trHeight w:val="444" w:hRule="atLeast"/>
        </w:trPr>
        <w:tc>
          <w:tcPr>
            <w:tcW w:w="5000" w:type="pct"/>
            <w:gridSpan w:val="9"/>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cs="宋体" w:asciiTheme="minorEastAsia" w:hAnsiTheme="minorEastAsia"/>
                <w:color w:val="000000"/>
                <w:sz w:val="32"/>
                <w:szCs w:val="32"/>
                <w:highlight w:val="none"/>
              </w:rPr>
            </w:pPr>
            <w:r>
              <w:rPr>
                <w:rFonts w:hint="eastAsia" w:asciiTheme="minorEastAsia" w:hAnsiTheme="minorEastAsia"/>
                <w:color w:val="000000"/>
                <w:sz w:val="32"/>
                <w:szCs w:val="32"/>
                <w:highlight w:val="none"/>
              </w:rPr>
              <w:t>收入决算表</w:t>
            </w:r>
          </w:p>
        </w:tc>
      </w:tr>
      <w:tr>
        <w:tblPrEx>
          <w:tblCellMar>
            <w:top w:w="0" w:type="dxa"/>
            <w:left w:w="0" w:type="dxa"/>
            <w:bottom w:w="0" w:type="dxa"/>
            <w:right w:w="0" w:type="dxa"/>
          </w:tblCellMar>
        </w:tblPrEx>
        <w:trPr>
          <w:trHeight w:val="285" w:hRule="atLeast"/>
        </w:trPr>
        <w:tc>
          <w:tcPr>
            <w:tcW w:w="1862" w:type="pct"/>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　</w:t>
            </w:r>
          </w:p>
        </w:tc>
        <w:tc>
          <w:tcPr>
            <w:tcW w:w="470"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　</w:t>
            </w:r>
          </w:p>
        </w:tc>
        <w:tc>
          <w:tcPr>
            <w:tcW w:w="471"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　</w:t>
            </w:r>
          </w:p>
        </w:tc>
        <w:tc>
          <w:tcPr>
            <w:tcW w:w="430"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　</w:t>
            </w:r>
          </w:p>
        </w:tc>
        <w:tc>
          <w:tcPr>
            <w:tcW w:w="439"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　</w:t>
            </w:r>
          </w:p>
        </w:tc>
        <w:tc>
          <w:tcPr>
            <w:tcW w:w="453"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公开02表</w:t>
            </w:r>
          </w:p>
        </w:tc>
      </w:tr>
      <w:tr>
        <w:tblPrEx>
          <w:tblCellMar>
            <w:top w:w="0" w:type="dxa"/>
            <w:left w:w="0" w:type="dxa"/>
            <w:bottom w:w="0" w:type="dxa"/>
            <w:right w:w="0" w:type="dxa"/>
          </w:tblCellMar>
        </w:tblPrEx>
        <w:trPr>
          <w:trHeight w:val="177" w:hRule="atLeast"/>
        </w:trPr>
        <w:tc>
          <w:tcPr>
            <w:tcW w:w="1862" w:type="pct"/>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color w:val="000000"/>
                <w:sz w:val="21"/>
                <w:szCs w:val="21"/>
                <w:highlight w:val="none"/>
              </w:rPr>
              <w:t>部门：</w:t>
            </w:r>
            <w:r>
              <w:rPr>
                <w:rFonts w:hint="default" w:ascii="Times New Roman" w:hAnsi="Times New Roman" w:cs="Times New Roman" w:eastAsiaTheme="minorEastAsia"/>
                <w:color w:val="000000"/>
                <w:kern w:val="0"/>
                <w:sz w:val="21"/>
                <w:szCs w:val="21"/>
                <w:highlight w:val="none"/>
                <w:lang w:eastAsia="zh-CN"/>
              </w:rPr>
              <w:t>中共祁阳市委政法委员会</w:t>
            </w:r>
            <w:r>
              <w:rPr>
                <w:rFonts w:hint="default" w:ascii="Times New Roman" w:hAnsi="Times New Roman" w:cs="Times New Roman" w:eastAsiaTheme="minorEastAsia"/>
                <w:sz w:val="21"/>
                <w:szCs w:val="21"/>
                <w:highlight w:val="none"/>
              </w:rPr>
              <w:t>　</w:t>
            </w:r>
          </w:p>
        </w:tc>
        <w:tc>
          <w:tcPr>
            <w:tcW w:w="470"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　</w:t>
            </w:r>
          </w:p>
        </w:tc>
        <w:tc>
          <w:tcPr>
            <w:tcW w:w="471"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　</w:t>
            </w:r>
          </w:p>
        </w:tc>
        <w:tc>
          <w:tcPr>
            <w:tcW w:w="430" w:type="pct"/>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　</w:t>
            </w:r>
          </w:p>
        </w:tc>
        <w:tc>
          <w:tcPr>
            <w:tcW w:w="439"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　</w:t>
            </w:r>
          </w:p>
        </w:tc>
        <w:tc>
          <w:tcPr>
            <w:tcW w:w="453"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单位：万元</w:t>
            </w:r>
          </w:p>
        </w:tc>
      </w:tr>
      <w:tr>
        <w:tblPrEx>
          <w:tblCellMar>
            <w:top w:w="0" w:type="dxa"/>
            <w:left w:w="0" w:type="dxa"/>
            <w:bottom w:w="0" w:type="dxa"/>
            <w:right w:w="0" w:type="dxa"/>
          </w:tblCellMar>
        </w:tblPrEx>
        <w:trPr>
          <w:trHeight w:val="167" w:hRule="atLeast"/>
        </w:trPr>
        <w:tc>
          <w:tcPr>
            <w:tcW w:w="1862" w:type="pct"/>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项    目</w:t>
            </w:r>
          </w:p>
        </w:tc>
        <w:tc>
          <w:tcPr>
            <w:tcW w:w="470"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本年收入合计</w:t>
            </w:r>
          </w:p>
        </w:tc>
        <w:tc>
          <w:tcPr>
            <w:tcW w:w="47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财政拨款收入</w:t>
            </w:r>
          </w:p>
        </w:tc>
        <w:tc>
          <w:tcPr>
            <w:tcW w:w="430"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上级补助收入</w:t>
            </w:r>
          </w:p>
        </w:tc>
        <w:tc>
          <w:tcPr>
            <w:tcW w:w="435"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事业收入</w:t>
            </w:r>
          </w:p>
        </w:tc>
        <w:tc>
          <w:tcPr>
            <w:tcW w:w="435"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经营收入</w:t>
            </w:r>
          </w:p>
        </w:tc>
        <w:tc>
          <w:tcPr>
            <w:tcW w:w="439"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附属单位上缴收入</w:t>
            </w:r>
          </w:p>
        </w:tc>
        <w:tc>
          <w:tcPr>
            <w:tcW w:w="453"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其他收入</w:t>
            </w:r>
          </w:p>
        </w:tc>
      </w:tr>
      <w:tr>
        <w:tblPrEx>
          <w:tblCellMar>
            <w:top w:w="0" w:type="dxa"/>
            <w:left w:w="0" w:type="dxa"/>
            <w:bottom w:w="0" w:type="dxa"/>
            <w:right w:w="0" w:type="dxa"/>
          </w:tblCellMar>
        </w:tblPrEx>
        <w:trPr>
          <w:trHeight w:val="450" w:hRule="atLeast"/>
        </w:trPr>
        <w:tc>
          <w:tcPr>
            <w:tcW w:w="411"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功能分类</w:t>
            </w:r>
          </w:p>
          <w:p>
            <w:pPr>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科目编码</w:t>
            </w:r>
          </w:p>
        </w:tc>
        <w:tc>
          <w:tcPr>
            <w:tcW w:w="1450" w:type="pct"/>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科目名称</w:t>
            </w:r>
          </w:p>
        </w:tc>
        <w:tc>
          <w:tcPr>
            <w:tcW w:w="470"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highlight w:val="none"/>
              </w:rPr>
            </w:pPr>
          </w:p>
        </w:tc>
        <w:tc>
          <w:tcPr>
            <w:tcW w:w="471"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highlight w:val="none"/>
              </w:rPr>
            </w:pPr>
          </w:p>
        </w:tc>
        <w:tc>
          <w:tcPr>
            <w:tcW w:w="430"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highlight w:val="none"/>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highlight w:val="none"/>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highlight w:val="none"/>
              </w:rPr>
            </w:pPr>
          </w:p>
        </w:tc>
        <w:tc>
          <w:tcPr>
            <w:tcW w:w="439"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highlight w:val="none"/>
              </w:rPr>
            </w:pPr>
          </w:p>
        </w:tc>
        <w:tc>
          <w:tcPr>
            <w:tcW w:w="453"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highlight w:val="none"/>
              </w:rPr>
            </w:pPr>
          </w:p>
        </w:tc>
      </w:tr>
      <w:tr>
        <w:tblPrEx>
          <w:tblCellMar>
            <w:top w:w="0" w:type="dxa"/>
            <w:left w:w="0" w:type="dxa"/>
            <w:bottom w:w="0" w:type="dxa"/>
            <w:right w:w="0" w:type="dxa"/>
          </w:tblCellMar>
        </w:tblPrEx>
        <w:trPr>
          <w:trHeight w:val="312" w:hRule="atLeast"/>
        </w:trPr>
        <w:tc>
          <w:tcPr>
            <w:tcW w:w="411"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highlight w:val="none"/>
              </w:rPr>
            </w:pPr>
          </w:p>
        </w:tc>
        <w:tc>
          <w:tcPr>
            <w:tcW w:w="1450" w:type="pct"/>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highlight w:val="none"/>
              </w:rPr>
            </w:pPr>
          </w:p>
        </w:tc>
        <w:tc>
          <w:tcPr>
            <w:tcW w:w="470"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highlight w:val="none"/>
              </w:rPr>
            </w:pPr>
          </w:p>
        </w:tc>
        <w:tc>
          <w:tcPr>
            <w:tcW w:w="471"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highlight w:val="none"/>
              </w:rPr>
            </w:pPr>
          </w:p>
        </w:tc>
        <w:tc>
          <w:tcPr>
            <w:tcW w:w="430"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highlight w:val="none"/>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highlight w:val="none"/>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highlight w:val="none"/>
              </w:rPr>
            </w:pPr>
          </w:p>
        </w:tc>
        <w:tc>
          <w:tcPr>
            <w:tcW w:w="439"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highlight w:val="none"/>
              </w:rPr>
            </w:pPr>
          </w:p>
        </w:tc>
        <w:tc>
          <w:tcPr>
            <w:tcW w:w="453"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highlight w:val="none"/>
              </w:rPr>
            </w:pPr>
          </w:p>
        </w:tc>
      </w:tr>
      <w:tr>
        <w:tblPrEx>
          <w:tblCellMar>
            <w:top w:w="0" w:type="dxa"/>
            <w:left w:w="0" w:type="dxa"/>
            <w:bottom w:w="0" w:type="dxa"/>
            <w:right w:w="0" w:type="dxa"/>
          </w:tblCellMar>
        </w:tblPrEx>
        <w:trPr>
          <w:trHeight w:val="328" w:hRule="atLeast"/>
        </w:trPr>
        <w:tc>
          <w:tcPr>
            <w:tcW w:w="1862"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栏次</w:t>
            </w:r>
          </w:p>
        </w:tc>
        <w:tc>
          <w:tcPr>
            <w:tcW w:w="47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w:t>
            </w:r>
          </w:p>
        </w:tc>
        <w:tc>
          <w:tcPr>
            <w:tcW w:w="47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2</w:t>
            </w:r>
          </w:p>
        </w:tc>
        <w:tc>
          <w:tcPr>
            <w:tcW w:w="43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3</w:t>
            </w:r>
          </w:p>
        </w:tc>
        <w:tc>
          <w:tcPr>
            <w:tcW w:w="435"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4</w:t>
            </w:r>
          </w:p>
        </w:tc>
        <w:tc>
          <w:tcPr>
            <w:tcW w:w="435"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5</w:t>
            </w:r>
          </w:p>
        </w:tc>
        <w:tc>
          <w:tcPr>
            <w:tcW w:w="439"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6</w:t>
            </w:r>
          </w:p>
        </w:tc>
        <w:tc>
          <w:tcPr>
            <w:tcW w:w="45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7</w:t>
            </w:r>
          </w:p>
        </w:tc>
      </w:tr>
      <w:tr>
        <w:tblPrEx>
          <w:tblCellMar>
            <w:top w:w="0" w:type="dxa"/>
            <w:left w:w="0" w:type="dxa"/>
            <w:bottom w:w="0" w:type="dxa"/>
            <w:right w:w="0" w:type="dxa"/>
          </w:tblCellMar>
        </w:tblPrEx>
        <w:trPr>
          <w:trHeight w:val="328" w:hRule="atLeast"/>
        </w:trPr>
        <w:tc>
          <w:tcPr>
            <w:tcW w:w="1862"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Times New Roman" w:hAnsi="Times New Roman" w:cs="Times New Roman" w:eastAsiaTheme="minorEastAsia"/>
                <w:b/>
                <w:bCs/>
                <w:sz w:val="21"/>
                <w:szCs w:val="21"/>
                <w:highlight w:val="none"/>
              </w:rPr>
            </w:pPr>
            <w:r>
              <w:rPr>
                <w:rFonts w:hint="default" w:ascii="Times New Roman" w:hAnsi="Times New Roman" w:cs="Times New Roman" w:eastAsiaTheme="minorEastAsia"/>
                <w:b/>
                <w:bCs/>
                <w:sz w:val="21"/>
                <w:szCs w:val="21"/>
                <w:highlight w:val="none"/>
              </w:rPr>
              <w:t>合计</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bCs/>
                <w:sz w:val="21"/>
                <w:szCs w:val="21"/>
                <w:highlight w:val="none"/>
                <w:lang w:val="en-US" w:eastAsia="zh-CN"/>
              </w:rPr>
            </w:pPr>
            <w:r>
              <w:rPr>
                <w:rFonts w:hint="default" w:ascii="Times New Roman" w:hAnsi="Times New Roman" w:cs="Times New Roman" w:eastAsiaTheme="minorEastAsia"/>
                <w:b/>
                <w:bCs/>
                <w:i w:val="0"/>
                <w:iCs w:val="0"/>
                <w:color w:val="000000"/>
                <w:kern w:val="0"/>
                <w:sz w:val="21"/>
                <w:szCs w:val="21"/>
                <w:highlight w:val="none"/>
                <w:u w:val="none"/>
                <w:lang w:val="en-US" w:eastAsia="zh-CN" w:bidi="ar"/>
              </w:rPr>
              <w:t>963.67</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bCs/>
                <w:sz w:val="21"/>
                <w:szCs w:val="21"/>
                <w:highlight w:val="none"/>
              </w:rPr>
            </w:pPr>
            <w:r>
              <w:rPr>
                <w:rFonts w:hint="default" w:ascii="Times New Roman" w:hAnsi="Times New Roman" w:cs="Times New Roman" w:eastAsiaTheme="minorEastAsia"/>
                <w:b/>
                <w:bCs/>
                <w:i w:val="0"/>
                <w:iCs w:val="0"/>
                <w:color w:val="000000"/>
                <w:kern w:val="0"/>
                <w:sz w:val="21"/>
                <w:szCs w:val="21"/>
                <w:highlight w:val="none"/>
                <w:u w:val="none"/>
                <w:lang w:val="en-US" w:eastAsia="zh-CN" w:bidi="ar"/>
              </w:rPr>
              <w:t>963.67</w:t>
            </w:r>
          </w:p>
        </w:tc>
        <w:tc>
          <w:tcPr>
            <w:tcW w:w="13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highlight w:val="none"/>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r>
      <w:tr>
        <w:tblPrEx>
          <w:tblCellMar>
            <w:top w:w="0" w:type="dxa"/>
            <w:left w:w="0" w:type="dxa"/>
            <w:bottom w:w="0" w:type="dxa"/>
            <w:right w:w="0" w:type="dxa"/>
          </w:tblCellMar>
        </w:tblPrEx>
        <w:trPr>
          <w:trHeight w:val="328"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jc w:val="both"/>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201</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一般公共服务支出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905.94</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905.94</w:t>
            </w:r>
          </w:p>
        </w:tc>
        <w:tc>
          <w:tcPr>
            <w:tcW w:w="13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highlight w:val="none"/>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r>
      <w:tr>
        <w:tblPrEx>
          <w:tblCellMar>
            <w:top w:w="0" w:type="dxa"/>
            <w:left w:w="0" w:type="dxa"/>
            <w:bottom w:w="0" w:type="dxa"/>
            <w:right w:w="0" w:type="dxa"/>
          </w:tblCellMar>
        </w:tblPrEx>
        <w:trPr>
          <w:trHeight w:val="328"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jc w:val="both"/>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20128</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ind w:firstLine="210" w:firstLineChars="100"/>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民主党派及工商联事务</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10.00</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10.00</w:t>
            </w:r>
          </w:p>
        </w:tc>
        <w:tc>
          <w:tcPr>
            <w:tcW w:w="13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highlight w:val="none"/>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r>
      <w:tr>
        <w:tblPrEx>
          <w:tblCellMar>
            <w:top w:w="0" w:type="dxa"/>
            <w:left w:w="0" w:type="dxa"/>
            <w:bottom w:w="0" w:type="dxa"/>
            <w:right w:w="0" w:type="dxa"/>
          </w:tblCellMar>
        </w:tblPrEx>
        <w:trPr>
          <w:trHeight w:val="328"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jc w:val="both"/>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2012802</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ind w:firstLine="210" w:firstLineChars="100"/>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 xml:space="preserve"> </w:t>
            </w:r>
            <w:r>
              <w:rPr>
                <w:rFonts w:hint="default" w:ascii="Times New Roman" w:hAnsi="Times New Roman" w:cs="Times New Roman" w:eastAsiaTheme="minorEastAsia"/>
                <w:sz w:val="21"/>
                <w:szCs w:val="21"/>
                <w:highlight w:val="none"/>
                <w:lang w:val="en-US" w:eastAsia="zh-CN"/>
              </w:rPr>
              <w:t xml:space="preserve"> </w:t>
            </w:r>
            <w:r>
              <w:rPr>
                <w:rFonts w:hint="default" w:ascii="Times New Roman" w:hAnsi="Times New Roman" w:cs="Times New Roman" w:eastAsiaTheme="minorEastAsia"/>
                <w:sz w:val="21"/>
                <w:szCs w:val="21"/>
                <w:highlight w:val="none"/>
              </w:rPr>
              <w:t>一般行政管理事务</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10.00</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10.00</w:t>
            </w:r>
          </w:p>
        </w:tc>
        <w:tc>
          <w:tcPr>
            <w:tcW w:w="13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highlight w:val="none"/>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r>
      <w:tr>
        <w:tblPrEx>
          <w:tblCellMar>
            <w:top w:w="0" w:type="dxa"/>
            <w:left w:w="0" w:type="dxa"/>
            <w:bottom w:w="0" w:type="dxa"/>
            <w:right w:w="0" w:type="dxa"/>
          </w:tblCellMar>
        </w:tblPrEx>
        <w:trPr>
          <w:trHeight w:val="328"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jc w:val="both"/>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20131</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ind w:firstLine="210" w:firstLineChars="100"/>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党委办公厅（室）及相关机构事务</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814.28</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814.28</w:t>
            </w:r>
          </w:p>
        </w:tc>
        <w:tc>
          <w:tcPr>
            <w:tcW w:w="13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highlight w:val="none"/>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r>
      <w:tr>
        <w:tblPrEx>
          <w:tblCellMar>
            <w:top w:w="0" w:type="dxa"/>
            <w:left w:w="0" w:type="dxa"/>
            <w:bottom w:w="0" w:type="dxa"/>
            <w:right w:w="0" w:type="dxa"/>
          </w:tblCellMar>
        </w:tblPrEx>
        <w:trPr>
          <w:trHeight w:val="328"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jc w:val="both"/>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2013101</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 xml:space="preserve"> </w:t>
            </w:r>
            <w:r>
              <w:rPr>
                <w:rFonts w:hint="default" w:ascii="Times New Roman" w:hAnsi="Times New Roman" w:cs="Times New Roman" w:eastAsiaTheme="minorEastAsia"/>
                <w:sz w:val="21"/>
                <w:szCs w:val="21"/>
                <w:highlight w:val="none"/>
                <w:lang w:val="en-US" w:eastAsia="zh-CN"/>
              </w:rPr>
              <w:t xml:space="preserve">   </w:t>
            </w:r>
            <w:r>
              <w:rPr>
                <w:rFonts w:hint="default" w:ascii="Times New Roman" w:hAnsi="Times New Roman" w:cs="Times New Roman" w:eastAsiaTheme="minorEastAsia"/>
                <w:sz w:val="21"/>
                <w:szCs w:val="21"/>
                <w:highlight w:val="none"/>
              </w:rPr>
              <w:t>行政运行</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358.78</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358.78</w:t>
            </w:r>
          </w:p>
        </w:tc>
        <w:tc>
          <w:tcPr>
            <w:tcW w:w="13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highlight w:val="none"/>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r>
      <w:tr>
        <w:tblPrEx>
          <w:tblCellMar>
            <w:top w:w="0" w:type="dxa"/>
            <w:left w:w="0" w:type="dxa"/>
            <w:bottom w:w="0" w:type="dxa"/>
            <w:right w:w="0" w:type="dxa"/>
          </w:tblCellMar>
        </w:tblPrEx>
        <w:trPr>
          <w:trHeight w:val="328"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jc w:val="both"/>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2013102</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ind w:firstLine="420" w:firstLineChars="200"/>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一般行政管理事务</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455.50</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455.50</w:t>
            </w:r>
          </w:p>
        </w:tc>
        <w:tc>
          <w:tcPr>
            <w:tcW w:w="13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highlight w:val="none"/>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r>
      <w:tr>
        <w:tblPrEx>
          <w:tblCellMar>
            <w:top w:w="0" w:type="dxa"/>
            <w:left w:w="0" w:type="dxa"/>
            <w:bottom w:w="0" w:type="dxa"/>
            <w:right w:w="0" w:type="dxa"/>
          </w:tblCellMar>
        </w:tblPrEx>
        <w:trPr>
          <w:trHeight w:val="328"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jc w:val="both"/>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20199</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ind w:firstLine="210" w:firstLineChars="100"/>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其他一般公共服务支出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81.67</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81.67</w:t>
            </w:r>
          </w:p>
        </w:tc>
        <w:tc>
          <w:tcPr>
            <w:tcW w:w="13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highlight w:val="none"/>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r>
      <w:tr>
        <w:tblPrEx>
          <w:tblCellMar>
            <w:top w:w="0" w:type="dxa"/>
            <w:left w:w="0" w:type="dxa"/>
            <w:bottom w:w="0" w:type="dxa"/>
            <w:right w:w="0" w:type="dxa"/>
          </w:tblCellMar>
        </w:tblPrEx>
        <w:trPr>
          <w:trHeight w:val="328"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jc w:val="both"/>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2019999</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 xml:space="preserve">  </w:t>
            </w:r>
            <w:r>
              <w:rPr>
                <w:rFonts w:hint="default" w:ascii="Times New Roman" w:hAnsi="Times New Roman" w:cs="Times New Roman" w:eastAsiaTheme="minorEastAsia"/>
                <w:sz w:val="21"/>
                <w:szCs w:val="21"/>
                <w:highlight w:val="none"/>
                <w:lang w:val="en-US" w:eastAsia="zh-CN"/>
              </w:rPr>
              <w:t xml:space="preserve">  </w:t>
            </w:r>
            <w:r>
              <w:rPr>
                <w:rFonts w:hint="default" w:ascii="Times New Roman" w:hAnsi="Times New Roman" w:cs="Times New Roman" w:eastAsiaTheme="minorEastAsia"/>
                <w:sz w:val="21"/>
                <w:szCs w:val="21"/>
                <w:highlight w:val="none"/>
              </w:rPr>
              <w:t>其他一般公共服务支出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81.67</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81.67</w:t>
            </w:r>
          </w:p>
        </w:tc>
        <w:tc>
          <w:tcPr>
            <w:tcW w:w="13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highlight w:val="none"/>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r>
      <w:tr>
        <w:tblPrEx>
          <w:tblCellMar>
            <w:top w:w="0" w:type="dxa"/>
            <w:left w:w="0" w:type="dxa"/>
            <w:bottom w:w="0" w:type="dxa"/>
            <w:right w:w="0" w:type="dxa"/>
          </w:tblCellMar>
        </w:tblPrEx>
        <w:trPr>
          <w:trHeight w:val="328"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jc w:val="both"/>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208</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社会保障和就业支出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29.35</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29.35</w:t>
            </w:r>
          </w:p>
        </w:tc>
        <w:tc>
          <w:tcPr>
            <w:tcW w:w="13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highlight w:val="none"/>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r>
      <w:tr>
        <w:tblPrEx>
          <w:tblCellMar>
            <w:top w:w="0" w:type="dxa"/>
            <w:left w:w="0" w:type="dxa"/>
            <w:bottom w:w="0" w:type="dxa"/>
            <w:right w:w="0" w:type="dxa"/>
          </w:tblCellMar>
        </w:tblPrEx>
        <w:trPr>
          <w:trHeight w:val="328"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jc w:val="both"/>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20805</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ind w:firstLine="210" w:firstLineChars="100"/>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行政事业单位养老支出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23.95</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23.95</w:t>
            </w:r>
          </w:p>
        </w:tc>
        <w:tc>
          <w:tcPr>
            <w:tcW w:w="13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highlight w:val="none"/>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r>
      <w:tr>
        <w:tblPrEx>
          <w:tblCellMar>
            <w:top w:w="0" w:type="dxa"/>
            <w:left w:w="0" w:type="dxa"/>
            <w:bottom w:w="0" w:type="dxa"/>
            <w:right w:w="0" w:type="dxa"/>
          </w:tblCellMar>
        </w:tblPrEx>
        <w:trPr>
          <w:trHeight w:val="328"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jc w:val="both"/>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2080505</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ind w:firstLine="420" w:firstLineChars="200"/>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机关事业单位基本养老保险缴费支出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23.95</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23.95</w:t>
            </w:r>
          </w:p>
        </w:tc>
        <w:tc>
          <w:tcPr>
            <w:tcW w:w="13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highlight w:val="none"/>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r>
      <w:tr>
        <w:tblPrEx>
          <w:tblCellMar>
            <w:top w:w="0" w:type="dxa"/>
            <w:left w:w="0" w:type="dxa"/>
            <w:bottom w:w="0" w:type="dxa"/>
            <w:right w:w="0" w:type="dxa"/>
          </w:tblCellMar>
        </w:tblPrEx>
        <w:trPr>
          <w:trHeight w:val="328"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jc w:val="both"/>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20808</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ind w:firstLine="210" w:firstLineChars="100"/>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抚恤</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5.40</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5.40</w:t>
            </w:r>
          </w:p>
        </w:tc>
        <w:tc>
          <w:tcPr>
            <w:tcW w:w="13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highlight w:val="none"/>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r>
      <w:tr>
        <w:tblPrEx>
          <w:tblCellMar>
            <w:top w:w="0" w:type="dxa"/>
            <w:left w:w="0" w:type="dxa"/>
            <w:bottom w:w="0" w:type="dxa"/>
            <w:right w:w="0" w:type="dxa"/>
          </w:tblCellMar>
        </w:tblPrEx>
        <w:trPr>
          <w:trHeight w:val="328"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jc w:val="both"/>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2080899</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 xml:space="preserve">  </w:t>
            </w:r>
            <w:r>
              <w:rPr>
                <w:rFonts w:hint="default" w:ascii="Times New Roman" w:hAnsi="Times New Roman" w:cs="Times New Roman" w:eastAsiaTheme="minorEastAsia"/>
                <w:sz w:val="21"/>
                <w:szCs w:val="21"/>
                <w:highlight w:val="none"/>
                <w:lang w:val="en-US" w:eastAsia="zh-CN"/>
              </w:rPr>
              <w:t xml:space="preserve">  </w:t>
            </w:r>
            <w:r>
              <w:rPr>
                <w:rFonts w:hint="default" w:ascii="Times New Roman" w:hAnsi="Times New Roman" w:cs="Times New Roman" w:eastAsiaTheme="minorEastAsia"/>
                <w:sz w:val="21"/>
                <w:szCs w:val="21"/>
                <w:highlight w:val="none"/>
              </w:rPr>
              <w:t>其他优抚支出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5.40</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5.40</w:t>
            </w:r>
          </w:p>
        </w:tc>
        <w:tc>
          <w:tcPr>
            <w:tcW w:w="13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highlight w:val="none"/>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r>
      <w:tr>
        <w:tblPrEx>
          <w:tblCellMar>
            <w:top w:w="0" w:type="dxa"/>
            <w:left w:w="0" w:type="dxa"/>
            <w:bottom w:w="0" w:type="dxa"/>
            <w:right w:w="0" w:type="dxa"/>
          </w:tblCellMar>
        </w:tblPrEx>
        <w:trPr>
          <w:trHeight w:val="328"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jc w:val="both"/>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210</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卫生健康支出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11.32</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11.32</w:t>
            </w:r>
          </w:p>
        </w:tc>
        <w:tc>
          <w:tcPr>
            <w:tcW w:w="13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highlight w:val="none"/>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r>
      <w:tr>
        <w:tblPrEx>
          <w:tblCellMar>
            <w:top w:w="0" w:type="dxa"/>
            <w:left w:w="0" w:type="dxa"/>
            <w:bottom w:w="0" w:type="dxa"/>
            <w:right w:w="0" w:type="dxa"/>
          </w:tblCellMar>
        </w:tblPrEx>
        <w:trPr>
          <w:trHeight w:val="328"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jc w:val="both"/>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21011</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ind w:firstLine="210" w:firstLineChars="100"/>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行政事业单位医疗</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11.32</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11.32</w:t>
            </w:r>
          </w:p>
        </w:tc>
        <w:tc>
          <w:tcPr>
            <w:tcW w:w="13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highlight w:val="none"/>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r>
      <w:tr>
        <w:tblPrEx>
          <w:tblCellMar>
            <w:top w:w="0" w:type="dxa"/>
            <w:left w:w="0" w:type="dxa"/>
            <w:bottom w:w="0" w:type="dxa"/>
            <w:right w:w="0" w:type="dxa"/>
          </w:tblCellMar>
        </w:tblPrEx>
        <w:trPr>
          <w:trHeight w:val="328"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jc w:val="both"/>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2101101</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 xml:space="preserve"> </w:t>
            </w:r>
            <w:r>
              <w:rPr>
                <w:rFonts w:hint="default" w:ascii="Times New Roman" w:hAnsi="Times New Roman" w:cs="Times New Roman" w:eastAsiaTheme="minorEastAsia"/>
                <w:sz w:val="21"/>
                <w:szCs w:val="21"/>
                <w:highlight w:val="none"/>
                <w:lang w:val="en-US" w:eastAsia="zh-CN"/>
              </w:rPr>
              <w:t xml:space="preserve"> </w:t>
            </w:r>
            <w:r>
              <w:rPr>
                <w:rFonts w:hint="default" w:ascii="Times New Roman" w:hAnsi="Times New Roman" w:cs="Times New Roman" w:eastAsiaTheme="minorEastAsia"/>
                <w:sz w:val="21"/>
                <w:szCs w:val="21"/>
                <w:highlight w:val="none"/>
              </w:rPr>
              <w:t xml:space="preserve"> </w:t>
            </w:r>
            <w:r>
              <w:rPr>
                <w:rFonts w:hint="default" w:ascii="Times New Roman" w:hAnsi="Times New Roman" w:cs="Times New Roman" w:eastAsiaTheme="minorEastAsia"/>
                <w:sz w:val="21"/>
                <w:szCs w:val="21"/>
                <w:highlight w:val="none"/>
                <w:lang w:val="en-US" w:eastAsia="zh-CN"/>
              </w:rPr>
              <w:t xml:space="preserve"> </w:t>
            </w:r>
            <w:r>
              <w:rPr>
                <w:rFonts w:hint="default" w:ascii="Times New Roman" w:hAnsi="Times New Roman" w:cs="Times New Roman" w:eastAsiaTheme="minorEastAsia"/>
                <w:sz w:val="21"/>
                <w:szCs w:val="21"/>
                <w:highlight w:val="none"/>
              </w:rPr>
              <w:t>行政单位医疗</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11.32</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11.32</w:t>
            </w:r>
          </w:p>
        </w:tc>
        <w:tc>
          <w:tcPr>
            <w:tcW w:w="13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highlight w:val="none"/>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r>
      <w:tr>
        <w:tblPrEx>
          <w:tblCellMar>
            <w:top w:w="0" w:type="dxa"/>
            <w:left w:w="0" w:type="dxa"/>
            <w:bottom w:w="0" w:type="dxa"/>
            <w:right w:w="0" w:type="dxa"/>
          </w:tblCellMar>
        </w:tblPrEx>
        <w:trPr>
          <w:trHeight w:val="328"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jc w:val="both"/>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221</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住房保障支出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17.06</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17.06</w:t>
            </w:r>
          </w:p>
        </w:tc>
        <w:tc>
          <w:tcPr>
            <w:tcW w:w="13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highlight w:val="none"/>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r>
      <w:tr>
        <w:tblPrEx>
          <w:tblCellMar>
            <w:top w:w="0" w:type="dxa"/>
            <w:left w:w="0" w:type="dxa"/>
            <w:bottom w:w="0" w:type="dxa"/>
            <w:right w:w="0" w:type="dxa"/>
          </w:tblCellMar>
        </w:tblPrEx>
        <w:trPr>
          <w:trHeight w:val="328"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jc w:val="both"/>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22102</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　住房改革支出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17.06</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17.06</w:t>
            </w:r>
          </w:p>
        </w:tc>
        <w:tc>
          <w:tcPr>
            <w:tcW w:w="13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highlight w:val="none"/>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r>
      <w:tr>
        <w:tblPrEx>
          <w:tblCellMar>
            <w:top w:w="0" w:type="dxa"/>
            <w:left w:w="0" w:type="dxa"/>
            <w:bottom w:w="0" w:type="dxa"/>
            <w:right w:w="0" w:type="dxa"/>
          </w:tblCellMar>
        </w:tblPrEx>
        <w:trPr>
          <w:trHeight w:val="328"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jc w:val="both"/>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2210201</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　  住房公积金</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17.06</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17.06</w:t>
            </w:r>
          </w:p>
        </w:tc>
        <w:tc>
          <w:tcPr>
            <w:tcW w:w="13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highlight w:val="none"/>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highlight w:val="none"/>
              </w:rPr>
            </w:pPr>
          </w:p>
        </w:tc>
      </w:tr>
      <w:tr>
        <w:tblPrEx>
          <w:tblCellMar>
            <w:top w:w="0" w:type="dxa"/>
            <w:left w:w="0" w:type="dxa"/>
            <w:bottom w:w="0" w:type="dxa"/>
            <w:right w:w="0" w:type="dxa"/>
          </w:tblCellMar>
        </w:tblPrEx>
        <w:trPr>
          <w:trHeight w:val="328" w:hRule="atLeast"/>
        </w:trPr>
        <w:tc>
          <w:tcPr>
            <w:tcW w:w="5000" w:type="pct"/>
            <w:gridSpan w:val="9"/>
            <w:tcBorders>
              <w:top w:val="nil"/>
              <w:left w:val="nil"/>
              <w:bottom w:val="nil"/>
              <w:right w:val="nil"/>
            </w:tcBorders>
            <w:shd w:val="clear" w:color="auto" w:fill="auto"/>
            <w:tcMar>
              <w:top w:w="15" w:type="dxa"/>
              <w:left w:w="15" w:type="dxa"/>
              <w:bottom w:w="0" w:type="dxa"/>
              <w:right w:w="15" w:type="dxa"/>
            </w:tcMar>
            <w:vAlign w:val="center"/>
          </w:tcPr>
          <w:p>
            <w:pP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注：本表反映部门本年度取得的各项收入情况。</w:t>
            </w:r>
          </w:p>
        </w:tc>
      </w:tr>
    </w:tbl>
    <w:p>
      <w:pPr>
        <w:widowControl/>
        <w:jc w:val="center"/>
        <w:rPr>
          <w:rFonts w:hint="eastAsia" w:cs="宋体" w:asciiTheme="minorEastAsia" w:hAnsiTheme="minorEastAsia"/>
          <w:color w:val="000000"/>
          <w:kern w:val="0"/>
          <w:sz w:val="32"/>
          <w:szCs w:val="32"/>
          <w:highlight w:val="none"/>
        </w:rPr>
      </w:pPr>
      <w:r>
        <w:rPr>
          <w:rFonts w:hint="eastAsia" w:cs="宋体" w:asciiTheme="minorEastAsia" w:hAnsiTheme="minorEastAsia"/>
          <w:color w:val="000000"/>
          <w:kern w:val="0"/>
          <w:sz w:val="32"/>
          <w:szCs w:val="32"/>
          <w:highlight w:val="none"/>
        </w:rPr>
        <w:br w:type="page"/>
      </w:r>
    </w:p>
    <w:tbl>
      <w:tblPr>
        <w:tblStyle w:val="9"/>
        <w:tblW w:w="4937" w:type="pct"/>
        <w:tblInd w:w="93" w:type="dxa"/>
        <w:tblLayout w:type="fixed"/>
        <w:tblCellMar>
          <w:top w:w="0" w:type="dxa"/>
          <w:left w:w="108" w:type="dxa"/>
          <w:bottom w:w="0" w:type="dxa"/>
          <w:right w:w="108" w:type="dxa"/>
        </w:tblCellMar>
      </w:tblPr>
      <w:tblGrid>
        <w:gridCol w:w="1170"/>
        <w:gridCol w:w="4578"/>
        <w:gridCol w:w="1694"/>
        <w:gridCol w:w="1663"/>
        <w:gridCol w:w="1558"/>
        <w:gridCol w:w="1579"/>
        <w:gridCol w:w="1580"/>
        <w:gridCol w:w="1596"/>
      </w:tblGrid>
      <w:tr>
        <w:tblPrEx>
          <w:tblCellMar>
            <w:top w:w="0" w:type="dxa"/>
            <w:left w:w="108" w:type="dxa"/>
            <w:bottom w:w="0" w:type="dxa"/>
            <w:right w:w="108" w:type="dxa"/>
          </w:tblCellMar>
        </w:tblPrEx>
        <w:trPr>
          <w:trHeight w:val="435" w:hRule="atLeast"/>
        </w:trPr>
        <w:tc>
          <w:tcPr>
            <w:tcW w:w="5000" w:type="pct"/>
            <w:gridSpan w:val="8"/>
            <w:tcBorders>
              <w:top w:val="nil"/>
              <w:left w:val="nil"/>
              <w:bottom w:val="nil"/>
              <w:right w:val="nil"/>
            </w:tcBorders>
            <w:shd w:val="clear" w:color="auto" w:fill="auto"/>
            <w:noWrap/>
            <w:vAlign w:val="center"/>
          </w:tcPr>
          <w:p>
            <w:pPr>
              <w:widowControl/>
              <w:jc w:val="center"/>
              <w:rPr>
                <w:rFonts w:cs="宋体" w:asciiTheme="minorEastAsia" w:hAnsiTheme="minorEastAsia"/>
                <w:color w:val="000000"/>
                <w:kern w:val="0"/>
                <w:sz w:val="32"/>
                <w:szCs w:val="32"/>
                <w:highlight w:val="none"/>
              </w:rPr>
            </w:pPr>
            <w:r>
              <w:rPr>
                <w:rFonts w:hint="eastAsia" w:cs="宋体" w:asciiTheme="minorEastAsia" w:hAnsiTheme="minorEastAsia"/>
                <w:color w:val="000000"/>
                <w:kern w:val="0"/>
                <w:sz w:val="32"/>
                <w:szCs w:val="32"/>
                <w:highlight w:val="none"/>
              </w:rPr>
              <w:t>支出决算表</w:t>
            </w:r>
          </w:p>
        </w:tc>
      </w:tr>
      <w:tr>
        <w:tblPrEx>
          <w:tblCellMar>
            <w:top w:w="0" w:type="dxa"/>
            <w:left w:w="108" w:type="dxa"/>
            <w:bottom w:w="0" w:type="dxa"/>
            <w:right w:w="108" w:type="dxa"/>
          </w:tblCellMar>
        </w:tblPrEx>
        <w:trPr>
          <w:trHeight w:val="285" w:hRule="atLeast"/>
        </w:trPr>
        <w:tc>
          <w:tcPr>
            <w:tcW w:w="1864" w:type="pct"/>
            <w:gridSpan w:val="2"/>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549"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539"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505"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512"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512"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517"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公开03表</w:t>
            </w:r>
          </w:p>
        </w:tc>
      </w:tr>
      <w:tr>
        <w:tblPrEx>
          <w:tblCellMar>
            <w:top w:w="0" w:type="dxa"/>
            <w:left w:w="108" w:type="dxa"/>
            <w:bottom w:w="0" w:type="dxa"/>
            <w:right w:w="108" w:type="dxa"/>
          </w:tblCellMar>
        </w:tblPrEx>
        <w:trPr>
          <w:trHeight w:val="285" w:hRule="atLeast"/>
        </w:trPr>
        <w:tc>
          <w:tcPr>
            <w:tcW w:w="1864" w:type="pct"/>
            <w:gridSpan w:val="2"/>
            <w:tcBorders>
              <w:top w:val="nil"/>
              <w:left w:val="nil"/>
              <w:bottom w:val="nil"/>
              <w:right w:val="nil"/>
            </w:tcBorders>
            <w:shd w:val="clear" w:color="000000" w:fill="FFFFFF"/>
            <w:noWrap/>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color w:val="000000"/>
                <w:kern w:val="0"/>
                <w:sz w:val="21"/>
                <w:szCs w:val="21"/>
                <w:highlight w:val="none"/>
              </w:rPr>
              <w:t>部门：</w:t>
            </w:r>
            <w:r>
              <w:rPr>
                <w:rFonts w:hint="default" w:ascii="Times New Roman" w:hAnsi="Times New Roman" w:cs="Times New Roman" w:eastAsiaTheme="minorEastAsia"/>
                <w:color w:val="000000"/>
                <w:kern w:val="0"/>
                <w:sz w:val="21"/>
                <w:szCs w:val="21"/>
                <w:highlight w:val="none"/>
                <w:lang w:eastAsia="zh-CN"/>
              </w:rPr>
              <w:t>中共祁阳市委政法委员会</w:t>
            </w:r>
            <w:r>
              <w:rPr>
                <w:rFonts w:hint="default" w:ascii="Times New Roman" w:hAnsi="Times New Roman" w:cs="Times New Roman" w:eastAsiaTheme="minorEastAsia"/>
                <w:sz w:val="21"/>
                <w:szCs w:val="21"/>
                <w:highlight w:val="none"/>
              </w:rPr>
              <w:t>　</w:t>
            </w:r>
            <w:r>
              <w:rPr>
                <w:rFonts w:hint="default" w:ascii="Times New Roman" w:hAnsi="Times New Roman" w:cs="Times New Roman" w:eastAsiaTheme="minorEastAsia"/>
                <w:kern w:val="0"/>
                <w:sz w:val="21"/>
                <w:szCs w:val="21"/>
                <w:highlight w:val="none"/>
              </w:rPr>
              <w:t>　　</w:t>
            </w:r>
          </w:p>
        </w:tc>
        <w:tc>
          <w:tcPr>
            <w:tcW w:w="549"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539"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505" w:type="pct"/>
            <w:tcBorders>
              <w:top w:val="nil"/>
              <w:left w:val="nil"/>
              <w:bottom w:val="nil"/>
              <w:right w:val="nil"/>
            </w:tcBorders>
            <w:shd w:val="clear" w:color="000000" w:fill="FFFFFF"/>
            <w:noWrap/>
            <w:vAlign w:val="center"/>
          </w:tcPr>
          <w:p>
            <w:pPr>
              <w:widowControl/>
              <w:jc w:val="center"/>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w:t>
            </w:r>
          </w:p>
        </w:tc>
        <w:tc>
          <w:tcPr>
            <w:tcW w:w="512"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512"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517"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单位：万元</w:t>
            </w:r>
          </w:p>
        </w:tc>
      </w:tr>
      <w:tr>
        <w:tblPrEx>
          <w:tblCellMar>
            <w:top w:w="0" w:type="dxa"/>
            <w:left w:w="108" w:type="dxa"/>
            <w:bottom w:w="0" w:type="dxa"/>
            <w:right w:w="108" w:type="dxa"/>
          </w:tblCellMar>
        </w:tblPrEx>
        <w:trPr>
          <w:trHeight w:val="265" w:hRule="atLeast"/>
        </w:trPr>
        <w:tc>
          <w:tcPr>
            <w:tcW w:w="1864"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项    目</w:t>
            </w:r>
          </w:p>
        </w:tc>
        <w:tc>
          <w:tcPr>
            <w:tcW w:w="54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本年支出合计</w:t>
            </w:r>
          </w:p>
        </w:tc>
        <w:tc>
          <w:tcPr>
            <w:tcW w:w="53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基本支出</w:t>
            </w:r>
          </w:p>
        </w:tc>
        <w:tc>
          <w:tcPr>
            <w:tcW w:w="50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项目支出</w:t>
            </w:r>
          </w:p>
        </w:tc>
        <w:tc>
          <w:tcPr>
            <w:tcW w:w="51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上缴上级支出</w:t>
            </w:r>
          </w:p>
        </w:tc>
        <w:tc>
          <w:tcPr>
            <w:tcW w:w="51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经营支出</w:t>
            </w:r>
          </w:p>
        </w:tc>
        <w:tc>
          <w:tcPr>
            <w:tcW w:w="51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对附属单位补助支出</w:t>
            </w:r>
          </w:p>
        </w:tc>
      </w:tr>
      <w:tr>
        <w:tblPrEx>
          <w:tblCellMar>
            <w:top w:w="0" w:type="dxa"/>
            <w:left w:w="108" w:type="dxa"/>
            <w:bottom w:w="0" w:type="dxa"/>
            <w:right w:w="108" w:type="dxa"/>
          </w:tblCellMar>
        </w:tblPrEx>
        <w:trPr>
          <w:trHeight w:val="450" w:hRule="atLeast"/>
        </w:trPr>
        <w:tc>
          <w:tcPr>
            <w:tcW w:w="37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功能分类科目编码</w:t>
            </w:r>
          </w:p>
        </w:tc>
        <w:tc>
          <w:tcPr>
            <w:tcW w:w="1484"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科目名称</w:t>
            </w:r>
          </w:p>
        </w:tc>
        <w:tc>
          <w:tcPr>
            <w:tcW w:w="54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highlight w:val="none"/>
              </w:rPr>
            </w:pPr>
          </w:p>
        </w:tc>
        <w:tc>
          <w:tcPr>
            <w:tcW w:w="5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highlight w:val="none"/>
              </w:rPr>
            </w:pPr>
          </w:p>
        </w:tc>
        <w:tc>
          <w:tcPr>
            <w:tcW w:w="50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highlight w:val="none"/>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highlight w:val="none"/>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highlight w:val="none"/>
              </w:rPr>
            </w:pPr>
          </w:p>
        </w:tc>
        <w:tc>
          <w:tcPr>
            <w:tcW w:w="51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trHeight w:val="357" w:hRule="atLeast"/>
        </w:trPr>
        <w:tc>
          <w:tcPr>
            <w:tcW w:w="37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highlight w:val="none"/>
              </w:rPr>
            </w:pPr>
          </w:p>
        </w:tc>
        <w:tc>
          <w:tcPr>
            <w:tcW w:w="1484" w:type="pct"/>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highlight w:val="none"/>
              </w:rPr>
            </w:pPr>
          </w:p>
        </w:tc>
        <w:tc>
          <w:tcPr>
            <w:tcW w:w="54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highlight w:val="none"/>
              </w:rPr>
            </w:pPr>
          </w:p>
        </w:tc>
        <w:tc>
          <w:tcPr>
            <w:tcW w:w="5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highlight w:val="none"/>
              </w:rPr>
            </w:pPr>
          </w:p>
        </w:tc>
        <w:tc>
          <w:tcPr>
            <w:tcW w:w="50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highlight w:val="none"/>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highlight w:val="none"/>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highlight w:val="none"/>
              </w:rPr>
            </w:pPr>
          </w:p>
        </w:tc>
        <w:tc>
          <w:tcPr>
            <w:tcW w:w="51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trHeight w:val="330" w:hRule="atLeast"/>
        </w:trPr>
        <w:tc>
          <w:tcPr>
            <w:tcW w:w="186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栏次</w:t>
            </w:r>
          </w:p>
        </w:tc>
        <w:tc>
          <w:tcPr>
            <w:tcW w:w="54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1</w:t>
            </w:r>
          </w:p>
        </w:tc>
        <w:tc>
          <w:tcPr>
            <w:tcW w:w="53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2</w:t>
            </w:r>
          </w:p>
        </w:tc>
        <w:tc>
          <w:tcPr>
            <w:tcW w:w="505"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3</w:t>
            </w:r>
          </w:p>
        </w:tc>
        <w:tc>
          <w:tcPr>
            <w:tcW w:w="512"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4</w:t>
            </w:r>
          </w:p>
        </w:tc>
        <w:tc>
          <w:tcPr>
            <w:tcW w:w="512"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5</w:t>
            </w:r>
          </w:p>
        </w:tc>
        <w:tc>
          <w:tcPr>
            <w:tcW w:w="517"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6</w:t>
            </w:r>
          </w:p>
        </w:tc>
      </w:tr>
      <w:tr>
        <w:tblPrEx>
          <w:tblCellMar>
            <w:top w:w="0" w:type="dxa"/>
            <w:left w:w="108" w:type="dxa"/>
            <w:bottom w:w="0" w:type="dxa"/>
            <w:right w:w="108" w:type="dxa"/>
          </w:tblCellMar>
        </w:tblPrEx>
        <w:trPr>
          <w:trHeight w:val="90" w:hRule="atLeast"/>
        </w:trPr>
        <w:tc>
          <w:tcPr>
            <w:tcW w:w="186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b/>
                <w:bCs/>
                <w:kern w:val="0"/>
                <w:sz w:val="21"/>
                <w:szCs w:val="21"/>
                <w:highlight w:val="none"/>
              </w:rPr>
            </w:pPr>
            <w:r>
              <w:rPr>
                <w:rFonts w:hint="default" w:ascii="Times New Roman" w:hAnsi="Times New Roman" w:cs="Times New Roman" w:eastAsiaTheme="minorEastAsia"/>
                <w:b/>
                <w:bCs/>
                <w:kern w:val="0"/>
                <w:sz w:val="21"/>
                <w:szCs w:val="21"/>
                <w:highlight w:val="none"/>
              </w:rPr>
              <w:t>合计</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kern w:val="0"/>
                <w:sz w:val="21"/>
                <w:szCs w:val="21"/>
                <w:highlight w:val="none"/>
                <w:lang w:val="en-US" w:eastAsia="zh-CN"/>
              </w:rPr>
            </w:pPr>
            <w:r>
              <w:rPr>
                <w:rFonts w:hint="default" w:ascii="Times New Roman" w:hAnsi="Times New Roman" w:cs="Times New Roman" w:eastAsiaTheme="minorEastAsia"/>
                <w:b/>
                <w:bCs/>
                <w:i w:val="0"/>
                <w:iCs w:val="0"/>
                <w:color w:val="000000"/>
                <w:kern w:val="0"/>
                <w:sz w:val="21"/>
                <w:szCs w:val="21"/>
                <w:highlight w:val="none"/>
                <w:u w:val="none"/>
                <w:lang w:val="en-US" w:eastAsia="zh-CN" w:bidi="ar"/>
              </w:rPr>
              <w:t>963.67</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kern w:val="0"/>
                <w:sz w:val="21"/>
                <w:szCs w:val="21"/>
                <w:highlight w:val="none"/>
              </w:rPr>
            </w:pPr>
            <w:r>
              <w:rPr>
                <w:rFonts w:hint="default" w:ascii="Times New Roman" w:hAnsi="Times New Roman" w:cs="Times New Roman" w:eastAsiaTheme="minorEastAsia"/>
                <w:b/>
                <w:bCs/>
                <w:i w:val="0"/>
                <w:iCs w:val="0"/>
                <w:color w:val="000000"/>
                <w:kern w:val="0"/>
                <w:sz w:val="21"/>
                <w:szCs w:val="21"/>
                <w:highlight w:val="none"/>
                <w:u w:val="none"/>
                <w:lang w:val="en-US" w:eastAsia="zh-CN" w:bidi="ar"/>
              </w:rPr>
              <w:t>508.17</w:t>
            </w:r>
          </w:p>
        </w:tc>
        <w:tc>
          <w:tcPr>
            <w:tcW w:w="50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kern w:val="0"/>
                <w:sz w:val="21"/>
                <w:szCs w:val="21"/>
                <w:highlight w:val="none"/>
              </w:rPr>
            </w:pPr>
            <w:r>
              <w:rPr>
                <w:rFonts w:hint="default" w:ascii="Times New Roman" w:hAnsi="Times New Roman" w:cs="Times New Roman" w:eastAsiaTheme="minorEastAsia"/>
                <w:b/>
                <w:bCs/>
                <w:i w:val="0"/>
                <w:iCs w:val="0"/>
                <w:color w:val="000000"/>
                <w:kern w:val="0"/>
                <w:sz w:val="21"/>
                <w:szCs w:val="21"/>
                <w:highlight w:val="none"/>
                <w:u w:val="none"/>
                <w:lang w:val="en-US" w:eastAsia="zh-CN" w:bidi="ar"/>
              </w:rPr>
              <w:t>455.50</w:t>
            </w:r>
          </w:p>
        </w:tc>
        <w:tc>
          <w:tcPr>
            <w:tcW w:w="512"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512"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517"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trHeight w:val="330" w:hRule="atLeast"/>
        </w:trPr>
        <w:tc>
          <w:tcPr>
            <w:tcW w:w="379" w:type="pct"/>
            <w:tcBorders>
              <w:top w:val="single" w:color="auto" w:sz="4" w:space="0"/>
              <w:left w:val="single" w:color="auto" w:sz="4" w:space="0"/>
              <w:bottom w:val="single" w:color="auto" w:sz="4" w:space="0"/>
              <w:right w:val="single" w:color="auto" w:sz="4" w:space="0"/>
            </w:tcBorders>
            <w:shd w:val="clear" w:color="000000" w:fill="FFFFFF"/>
            <w:noWrap/>
            <w:vAlign w:val="top"/>
          </w:tcPr>
          <w:p>
            <w:pPr>
              <w:jc w:val="both"/>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sz w:val="21"/>
                <w:szCs w:val="21"/>
                <w:highlight w:val="none"/>
                <w:lang w:val="en-US" w:eastAsia="zh-CN"/>
              </w:rPr>
              <w:t>201</w:t>
            </w:r>
          </w:p>
        </w:tc>
        <w:tc>
          <w:tcPr>
            <w:tcW w:w="1484" w:type="pct"/>
            <w:tcBorders>
              <w:top w:val="nil"/>
              <w:left w:val="nil"/>
              <w:bottom w:val="single" w:color="auto" w:sz="4" w:space="0"/>
              <w:right w:val="single" w:color="auto" w:sz="4" w:space="0"/>
            </w:tcBorders>
            <w:shd w:val="clear" w:color="000000" w:fill="FFFFFF"/>
            <w:noWrap/>
            <w:vAlign w:val="top"/>
          </w:tcPr>
          <w:p>
            <w:pPr>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sz w:val="21"/>
                <w:szCs w:val="21"/>
                <w:highlight w:val="none"/>
              </w:rPr>
              <w:t>一般公共服务支出</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905.94</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450.44</w:t>
            </w:r>
          </w:p>
        </w:tc>
        <w:tc>
          <w:tcPr>
            <w:tcW w:w="50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455.50</w:t>
            </w:r>
          </w:p>
        </w:tc>
        <w:tc>
          <w:tcPr>
            <w:tcW w:w="512"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512"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517"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trHeight w:val="330" w:hRule="atLeast"/>
        </w:trPr>
        <w:tc>
          <w:tcPr>
            <w:tcW w:w="379" w:type="pct"/>
            <w:tcBorders>
              <w:top w:val="single" w:color="auto" w:sz="4" w:space="0"/>
              <w:left w:val="single" w:color="auto" w:sz="4" w:space="0"/>
              <w:bottom w:val="single" w:color="auto" w:sz="4" w:space="0"/>
              <w:right w:val="single" w:color="auto" w:sz="4" w:space="0"/>
            </w:tcBorders>
            <w:shd w:val="clear" w:color="000000" w:fill="FFFFFF"/>
            <w:noWrap/>
            <w:vAlign w:val="top"/>
          </w:tcPr>
          <w:p>
            <w:pPr>
              <w:jc w:val="both"/>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sz w:val="21"/>
                <w:szCs w:val="21"/>
                <w:highlight w:val="none"/>
                <w:lang w:val="en-US" w:eastAsia="zh-CN"/>
              </w:rPr>
              <w:t>20128</w:t>
            </w:r>
          </w:p>
        </w:tc>
        <w:tc>
          <w:tcPr>
            <w:tcW w:w="1484" w:type="pct"/>
            <w:tcBorders>
              <w:top w:val="nil"/>
              <w:left w:val="nil"/>
              <w:bottom w:val="single" w:color="auto" w:sz="4" w:space="0"/>
              <w:right w:val="single" w:color="auto" w:sz="4" w:space="0"/>
            </w:tcBorders>
            <w:shd w:val="clear" w:color="000000" w:fill="FFFFFF"/>
            <w:noWrap/>
            <w:vAlign w:val="top"/>
          </w:tcPr>
          <w:p>
            <w:pPr>
              <w:ind w:firstLine="210" w:firstLineChars="100"/>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sz w:val="21"/>
                <w:szCs w:val="21"/>
                <w:highlight w:val="none"/>
              </w:rPr>
              <w:t>民主党派及工商联事务</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10.00</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10.00</w:t>
            </w:r>
          </w:p>
        </w:tc>
        <w:tc>
          <w:tcPr>
            <w:tcW w:w="505" w:type="pct"/>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lang w:val="en-US" w:eastAsia="zh-CN"/>
              </w:rPr>
            </w:pPr>
          </w:p>
        </w:tc>
        <w:tc>
          <w:tcPr>
            <w:tcW w:w="512"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512"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517"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trHeight w:val="330" w:hRule="atLeast"/>
        </w:trPr>
        <w:tc>
          <w:tcPr>
            <w:tcW w:w="379" w:type="pct"/>
            <w:tcBorders>
              <w:top w:val="single" w:color="auto" w:sz="4" w:space="0"/>
              <w:left w:val="single" w:color="auto" w:sz="4" w:space="0"/>
              <w:bottom w:val="single" w:color="auto" w:sz="4" w:space="0"/>
              <w:right w:val="single" w:color="auto" w:sz="4" w:space="0"/>
            </w:tcBorders>
            <w:shd w:val="clear" w:color="000000" w:fill="FFFFFF"/>
            <w:noWrap/>
            <w:vAlign w:val="top"/>
          </w:tcPr>
          <w:p>
            <w:pPr>
              <w:jc w:val="both"/>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sz w:val="21"/>
                <w:szCs w:val="21"/>
                <w:highlight w:val="none"/>
                <w:lang w:val="en-US" w:eastAsia="zh-CN"/>
              </w:rPr>
              <w:t>2012802</w:t>
            </w:r>
          </w:p>
        </w:tc>
        <w:tc>
          <w:tcPr>
            <w:tcW w:w="1484" w:type="pct"/>
            <w:tcBorders>
              <w:top w:val="nil"/>
              <w:left w:val="nil"/>
              <w:bottom w:val="single" w:color="auto" w:sz="4" w:space="0"/>
              <w:right w:val="single" w:color="auto" w:sz="4" w:space="0"/>
            </w:tcBorders>
            <w:shd w:val="clear" w:color="000000" w:fill="FFFFFF"/>
            <w:noWrap/>
            <w:vAlign w:val="top"/>
          </w:tcPr>
          <w:p>
            <w:pPr>
              <w:ind w:firstLine="210" w:firstLineChars="100"/>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sz w:val="21"/>
                <w:szCs w:val="21"/>
                <w:highlight w:val="none"/>
              </w:rPr>
              <w:t xml:space="preserve"> </w:t>
            </w:r>
            <w:r>
              <w:rPr>
                <w:rFonts w:hint="default" w:ascii="Times New Roman" w:hAnsi="Times New Roman" w:cs="Times New Roman" w:eastAsiaTheme="minorEastAsia"/>
                <w:sz w:val="21"/>
                <w:szCs w:val="21"/>
                <w:highlight w:val="none"/>
                <w:lang w:val="en-US" w:eastAsia="zh-CN"/>
              </w:rPr>
              <w:t xml:space="preserve"> </w:t>
            </w:r>
            <w:r>
              <w:rPr>
                <w:rFonts w:hint="default" w:ascii="Times New Roman" w:hAnsi="Times New Roman" w:cs="Times New Roman" w:eastAsiaTheme="minorEastAsia"/>
                <w:sz w:val="21"/>
                <w:szCs w:val="21"/>
                <w:highlight w:val="none"/>
              </w:rPr>
              <w:t>一般行政管理事务</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10.00</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10.00</w:t>
            </w:r>
          </w:p>
        </w:tc>
        <w:tc>
          <w:tcPr>
            <w:tcW w:w="505" w:type="pct"/>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lang w:val="en-US" w:eastAsia="zh-CN"/>
              </w:rPr>
            </w:pPr>
          </w:p>
        </w:tc>
        <w:tc>
          <w:tcPr>
            <w:tcW w:w="512"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512"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517"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trHeight w:val="330" w:hRule="atLeast"/>
        </w:trPr>
        <w:tc>
          <w:tcPr>
            <w:tcW w:w="379" w:type="pct"/>
            <w:tcBorders>
              <w:top w:val="single" w:color="auto" w:sz="4" w:space="0"/>
              <w:left w:val="single" w:color="auto" w:sz="4" w:space="0"/>
              <w:bottom w:val="single" w:color="auto" w:sz="4" w:space="0"/>
              <w:right w:val="single" w:color="auto" w:sz="4" w:space="0"/>
            </w:tcBorders>
            <w:shd w:val="clear" w:color="000000" w:fill="FFFFFF"/>
            <w:noWrap/>
            <w:vAlign w:val="top"/>
          </w:tcPr>
          <w:p>
            <w:pPr>
              <w:jc w:val="both"/>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sz w:val="21"/>
                <w:szCs w:val="21"/>
                <w:highlight w:val="none"/>
                <w:lang w:val="en-US" w:eastAsia="zh-CN"/>
              </w:rPr>
              <w:t>20131</w:t>
            </w:r>
          </w:p>
        </w:tc>
        <w:tc>
          <w:tcPr>
            <w:tcW w:w="1484" w:type="pct"/>
            <w:tcBorders>
              <w:top w:val="nil"/>
              <w:left w:val="nil"/>
              <w:bottom w:val="single" w:color="auto" w:sz="4" w:space="0"/>
              <w:right w:val="single" w:color="auto" w:sz="4" w:space="0"/>
            </w:tcBorders>
            <w:shd w:val="clear" w:color="000000" w:fill="FFFFFF"/>
            <w:noWrap/>
            <w:vAlign w:val="top"/>
          </w:tcPr>
          <w:p>
            <w:pPr>
              <w:ind w:firstLine="210" w:firstLineChars="100"/>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sz w:val="21"/>
                <w:szCs w:val="21"/>
                <w:highlight w:val="none"/>
              </w:rPr>
              <w:t>党委办公厅（室）及相关机构事务</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814.28</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lang w:val="en-US"/>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358.78</w:t>
            </w:r>
          </w:p>
        </w:tc>
        <w:tc>
          <w:tcPr>
            <w:tcW w:w="50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455.50</w:t>
            </w:r>
          </w:p>
        </w:tc>
        <w:tc>
          <w:tcPr>
            <w:tcW w:w="512"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512"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517"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trHeight w:val="330" w:hRule="atLeast"/>
        </w:trPr>
        <w:tc>
          <w:tcPr>
            <w:tcW w:w="379" w:type="pct"/>
            <w:tcBorders>
              <w:top w:val="single" w:color="auto" w:sz="4" w:space="0"/>
              <w:left w:val="single" w:color="auto" w:sz="4" w:space="0"/>
              <w:bottom w:val="single" w:color="auto" w:sz="4" w:space="0"/>
              <w:right w:val="single" w:color="auto" w:sz="4" w:space="0"/>
            </w:tcBorders>
            <w:shd w:val="clear" w:color="000000" w:fill="FFFFFF"/>
            <w:noWrap/>
            <w:vAlign w:val="top"/>
          </w:tcPr>
          <w:p>
            <w:pPr>
              <w:jc w:val="both"/>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sz w:val="21"/>
                <w:szCs w:val="21"/>
                <w:highlight w:val="none"/>
                <w:lang w:val="en-US" w:eastAsia="zh-CN"/>
              </w:rPr>
              <w:t>2013101</w:t>
            </w:r>
          </w:p>
        </w:tc>
        <w:tc>
          <w:tcPr>
            <w:tcW w:w="1484" w:type="pct"/>
            <w:tcBorders>
              <w:top w:val="nil"/>
              <w:left w:val="nil"/>
              <w:bottom w:val="single" w:color="auto" w:sz="4" w:space="0"/>
              <w:right w:val="single" w:color="auto" w:sz="4" w:space="0"/>
            </w:tcBorders>
            <w:shd w:val="clear" w:color="000000" w:fill="FFFFFF"/>
            <w:noWrap/>
            <w:vAlign w:val="top"/>
          </w:tcPr>
          <w:p>
            <w:pPr>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sz w:val="21"/>
                <w:szCs w:val="21"/>
                <w:highlight w:val="none"/>
              </w:rPr>
              <w:t xml:space="preserve"> </w:t>
            </w:r>
            <w:r>
              <w:rPr>
                <w:rFonts w:hint="default" w:ascii="Times New Roman" w:hAnsi="Times New Roman" w:cs="Times New Roman" w:eastAsiaTheme="minorEastAsia"/>
                <w:sz w:val="21"/>
                <w:szCs w:val="21"/>
                <w:highlight w:val="none"/>
                <w:lang w:val="en-US" w:eastAsia="zh-CN"/>
              </w:rPr>
              <w:t xml:space="preserve">   </w:t>
            </w:r>
            <w:r>
              <w:rPr>
                <w:rFonts w:hint="default" w:ascii="Times New Roman" w:hAnsi="Times New Roman" w:cs="Times New Roman" w:eastAsiaTheme="minorEastAsia"/>
                <w:sz w:val="21"/>
                <w:szCs w:val="21"/>
                <w:highlight w:val="none"/>
              </w:rPr>
              <w:t>行政运行</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358.78</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358.78</w:t>
            </w:r>
          </w:p>
        </w:tc>
        <w:tc>
          <w:tcPr>
            <w:tcW w:w="505" w:type="pct"/>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lang w:val="en-US" w:eastAsia="zh-CN"/>
              </w:rPr>
            </w:pPr>
          </w:p>
        </w:tc>
        <w:tc>
          <w:tcPr>
            <w:tcW w:w="512"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512"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517"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trHeight w:val="330" w:hRule="atLeast"/>
        </w:trPr>
        <w:tc>
          <w:tcPr>
            <w:tcW w:w="379" w:type="pct"/>
            <w:tcBorders>
              <w:top w:val="single" w:color="auto" w:sz="4" w:space="0"/>
              <w:left w:val="single" w:color="auto" w:sz="4" w:space="0"/>
              <w:bottom w:val="single" w:color="auto" w:sz="4" w:space="0"/>
              <w:right w:val="single" w:color="auto" w:sz="4" w:space="0"/>
            </w:tcBorders>
            <w:shd w:val="clear" w:color="000000" w:fill="FFFFFF"/>
            <w:noWrap/>
            <w:vAlign w:val="top"/>
          </w:tcPr>
          <w:p>
            <w:pPr>
              <w:jc w:val="both"/>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sz w:val="21"/>
                <w:szCs w:val="21"/>
                <w:highlight w:val="none"/>
                <w:lang w:val="en-US" w:eastAsia="zh-CN"/>
              </w:rPr>
              <w:t>2013102</w:t>
            </w:r>
          </w:p>
        </w:tc>
        <w:tc>
          <w:tcPr>
            <w:tcW w:w="1484" w:type="pct"/>
            <w:tcBorders>
              <w:top w:val="nil"/>
              <w:left w:val="nil"/>
              <w:bottom w:val="single" w:color="auto" w:sz="4" w:space="0"/>
              <w:right w:val="single" w:color="auto" w:sz="4" w:space="0"/>
            </w:tcBorders>
            <w:shd w:val="clear" w:color="000000" w:fill="FFFFFF"/>
            <w:noWrap/>
            <w:vAlign w:val="top"/>
          </w:tcPr>
          <w:p>
            <w:pPr>
              <w:ind w:firstLine="420" w:firstLineChars="200"/>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sz w:val="21"/>
                <w:szCs w:val="21"/>
                <w:highlight w:val="none"/>
              </w:rPr>
              <w:t>一般行政管理事务</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455.50</w:t>
            </w:r>
          </w:p>
        </w:tc>
        <w:tc>
          <w:tcPr>
            <w:tcW w:w="539" w:type="pct"/>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lang w:val="en-US"/>
              </w:rPr>
            </w:pPr>
          </w:p>
        </w:tc>
        <w:tc>
          <w:tcPr>
            <w:tcW w:w="50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455.50</w:t>
            </w:r>
          </w:p>
        </w:tc>
        <w:tc>
          <w:tcPr>
            <w:tcW w:w="512"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512"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517"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trHeight w:val="330" w:hRule="atLeast"/>
        </w:trPr>
        <w:tc>
          <w:tcPr>
            <w:tcW w:w="379" w:type="pct"/>
            <w:tcBorders>
              <w:top w:val="single" w:color="auto" w:sz="4" w:space="0"/>
              <w:left w:val="single" w:color="auto" w:sz="4" w:space="0"/>
              <w:bottom w:val="single" w:color="auto" w:sz="4" w:space="0"/>
              <w:right w:val="single" w:color="auto" w:sz="4" w:space="0"/>
            </w:tcBorders>
            <w:shd w:val="clear" w:color="000000" w:fill="FFFFFF"/>
            <w:noWrap/>
            <w:vAlign w:val="top"/>
          </w:tcPr>
          <w:p>
            <w:pPr>
              <w:jc w:val="both"/>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sz w:val="21"/>
                <w:szCs w:val="21"/>
                <w:highlight w:val="none"/>
                <w:lang w:val="en-US" w:eastAsia="zh-CN"/>
              </w:rPr>
              <w:t>20199</w:t>
            </w:r>
          </w:p>
        </w:tc>
        <w:tc>
          <w:tcPr>
            <w:tcW w:w="1484" w:type="pct"/>
            <w:tcBorders>
              <w:top w:val="nil"/>
              <w:left w:val="nil"/>
              <w:bottom w:val="single" w:color="auto" w:sz="4" w:space="0"/>
              <w:right w:val="single" w:color="auto" w:sz="4" w:space="0"/>
            </w:tcBorders>
            <w:shd w:val="clear" w:color="000000" w:fill="FFFFFF"/>
            <w:noWrap/>
            <w:vAlign w:val="top"/>
          </w:tcPr>
          <w:p>
            <w:pPr>
              <w:ind w:firstLine="210" w:firstLineChars="100"/>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sz w:val="21"/>
                <w:szCs w:val="21"/>
                <w:highlight w:val="none"/>
              </w:rPr>
              <w:t>其他一般公共服务支出</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81.67</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81.67</w:t>
            </w:r>
          </w:p>
        </w:tc>
        <w:tc>
          <w:tcPr>
            <w:tcW w:w="505" w:type="pct"/>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sz w:val="21"/>
                <w:szCs w:val="21"/>
                <w:highlight w:val="none"/>
                <w:lang w:val="en-US" w:eastAsia="zh-CN"/>
              </w:rPr>
            </w:pPr>
          </w:p>
        </w:tc>
        <w:tc>
          <w:tcPr>
            <w:tcW w:w="512"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512"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517"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trHeight w:val="330" w:hRule="atLeast"/>
        </w:trPr>
        <w:tc>
          <w:tcPr>
            <w:tcW w:w="379" w:type="pct"/>
            <w:tcBorders>
              <w:top w:val="single" w:color="auto" w:sz="4" w:space="0"/>
              <w:left w:val="single" w:color="auto" w:sz="4" w:space="0"/>
              <w:bottom w:val="single" w:color="auto" w:sz="4" w:space="0"/>
              <w:right w:val="single" w:color="auto" w:sz="4" w:space="0"/>
            </w:tcBorders>
            <w:shd w:val="clear" w:color="000000" w:fill="FFFFFF"/>
            <w:noWrap/>
            <w:vAlign w:val="top"/>
          </w:tcPr>
          <w:p>
            <w:pPr>
              <w:jc w:val="both"/>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sz w:val="21"/>
                <w:szCs w:val="21"/>
                <w:highlight w:val="none"/>
                <w:lang w:val="en-US" w:eastAsia="zh-CN"/>
              </w:rPr>
              <w:t>2019999</w:t>
            </w:r>
          </w:p>
        </w:tc>
        <w:tc>
          <w:tcPr>
            <w:tcW w:w="1484" w:type="pct"/>
            <w:tcBorders>
              <w:top w:val="nil"/>
              <w:left w:val="nil"/>
              <w:bottom w:val="single" w:color="auto" w:sz="4" w:space="0"/>
              <w:right w:val="single" w:color="auto" w:sz="4" w:space="0"/>
            </w:tcBorders>
            <w:shd w:val="clear" w:color="000000" w:fill="FFFFFF"/>
            <w:noWrap/>
            <w:vAlign w:val="top"/>
          </w:tcPr>
          <w:p>
            <w:pPr>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sz w:val="21"/>
                <w:szCs w:val="21"/>
                <w:highlight w:val="none"/>
              </w:rPr>
              <w:t xml:space="preserve">  </w:t>
            </w:r>
            <w:r>
              <w:rPr>
                <w:rFonts w:hint="default" w:ascii="Times New Roman" w:hAnsi="Times New Roman" w:cs="Times New Roman" w:eastAsiaTheme="minorEastAsia"/>
                <w:sz w:val="21"/>
                <w:szCs w:val="21"/>
                <w:highlight w:val="none"/>
                <w:lang w:val="en-US" w:eastAsia="zh-CN"/>
              </w:rPr>
              <w:t xml:space="preserve">  </w:t>
            </w:r>
            <w:r>
              <w:rPr>
                <w:rFonts w:hint="default" w:ascii="Times New Roman" w:hAnsi="Times New Roman" w:cs="Times New Roman" w:eastAsiaTheme="minorEastAsia"/>
                <w:sz w:val="21"/>
                <w:szCs w:val="21"/>
                <w:highlight w:val="none"/>
              </w:rPr>
              <w:t>其他一般公共服务支出</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81.67</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81.67</w:t>
            </w:r>
          </w:p>
        </w:tc>
        <w:tc>
          <w:tcPr>
            <w:tcW w:w="505" w:type="pct"/>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sz w:val="21"/>
                <w:szCs w:val="21"/>
                <w:highlight w:val="none"/>
                <w:lang w:val="en-US" w:eastAsia="zh-CN"/>
              </w:rPr>
            </w:pPr>
          </w:p>
        </w:tc>
        <w:tc>
          <w:tcPr>
            <w:tcW w:w="512"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512"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517"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trHeight w:val="330" w:hRule="atLeast"/>
        </w:trPr>
        <w:tc>
          <w:tcPr>
            <w:tcW w:w="379" w:type="pct"/>
            <w:tcBorders>
              <w:top w:val="single" w:color="auto" w:sz="4" w:space="0"/>
              <w:left w:val="single" w:color="auto" w:sz="4" w:space="0"/>
              <w:bottom w:val="single" w:color="auto" w:sz="4" w:space="0"/>
              <w:right w:val="single" w:color="auto" w:sz="4" w:space="0"/>
            </w:tcBorders>
            <w:shd w:val="clear" w:color="000000" w:fill="FFFFFF"/>
            <w:noWrap/>
            <w:vAlign w:val="top"/>
          </w:tcPr>
          <w:p>
            <w:pPr>
              <w:jc w:val="both"/>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sz w:val="21"/>
                <w:szCs w:val="21"/>
                <w:highlight w:val="none"/>
                <w:lang w:val="en-US" w:eastAsia="zh-CN"/>
              </w:rPr>
              <w:t>208</w:t>
            </w:r>
          </w:p>
        </w:tc>
        <w:tc>
          <w:tcPr>
            <w:tcW w:w="1484" w:type="pct"/>
            <w:tcBorders>
              <w:top w:val="nil"/>
              <w:left w:val="nil"/>
              <w:bottom w:val="single" w:color="auto" w:sz="4" w:space="0"/>
              <w:right w:val="single" w:color="auto" w:sz="4" w:space="0"/>
            </w:tcBorders>
            <w:shd w:val="clear" w:color="000000" w:fill="FFFFFF"/>
            <w:noWrap/>
            <w:vAlign w:val="top"/>
          </w:tcPr>
          <w:p>
            <w:pPr>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sz w:val="21"/>
                <w:szCs w:val="21"/>
                <w:highlight w:val="none"/>
              </w:rPr>
              <w:t>社会保障和就业支出</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29.35</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29.35</w:t>
            </w:r>
          </w:p>
        </w:tc>
        <w:tc>
          <w:tcPr>
            <w:tcW w:w="505" w:type="pct"/>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sz w:val="21"/>
                <w:szCs w:val="21"/>
                <w:highlight w:val="none"/>
                <w:lang w:val="en-US" w:eastAsia="zh-CN"/>
              </w:rPr>
            </w:pPr>
          </w:p>
        </w:tc>
        <w:tc>
          <w:tcPr>
            <w:tcW w:w="512"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512"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517"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trHeight w:val="330" w:hRule="atLeast"/>
        </w:trPr>
        <w:tc>
          <w:tcPr>
            <w:tcW w:w="379" w:type="pct"/>
            <w:tcBorders>
              <w:top w:val="single" w:color="auto" w:sz="4" w:space="0"/>
              <w:left w:val="single" w:color="auto" w:sz="4" w:space="0"/>
              <w:bottom w:val="single" w:color="auto" w:sz="4" w:space="0"/>
              <w:right w:val="single" w:color="auto" w:sz="4" w:space="0"/>
            </w:tcBorders>
            <w:shd w:val="clear" w:color="000000" w:fill="FFFFFF"/>
            <w:noWrap/>
            <w:vAlign w:val="top"/>
          </w:tcPr>
          <w:p>
            <w:pPr>
              <w:jc w:val="both"/>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sz w:val="21"/>
                <w:szCs w:val="21"/>
                <w:highlight w:val="none"/>
                <w:lang w:val="en-US" w:eastAsia="zh-CN"/>
              </w:rPr>
              <w:t>20805</w:t>
            </w:r>
          </w:p>
        </w:tc>
        <w:tc>
          <w:tcPr>
            <w:tcW w:w="1484" w:type="pct"/>
            <w:tcBorders>
              <w:top w:val="nil"/>
              <w:left w:val="nil"/>
              <w:bottom w:val="single" w:color="auto" w:sz="4" w:space="0"/>
              <w:right w:val="single" w:color="auto" w:sz="4" w:space="0"/>
            </w:tcBorders>
            <w:shd w:val="clear" w:color="000000" w:fill="FFFFFF"/>
            <w:noWrap/>
            <w:vAlign w:val="top"/>
          </w:tcPr>
          <w:p>
            <w:pPr>
              <w:ind w:firstLine="210" w:firstLineChars="100"/>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sz w:val="21"/>
                <w:szCs w:val="21"/>
                <w:highlight w:val="none"/>
              </w:rPr>
              <w:t>行政事业单位养老支出</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23.95</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23.95</w:t>
            </w:r>
          </w:p>
        </w:tc>
        <w:tc>
          <w:tcPr>
            <w:tcW w:w="505" w:type="pct"/>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sz w:val="21"/>
                <w:szCs w:val="21"/>
                <w:highlight w:val="none"/>
                <w:lang w:val="en-US" w:eastAsia="zh-CN"/>
              </w:rPr>
            </w:pPr>
          </w:p>
        </w:tc>
        <w:tc>
          <w:tcPr>
            <w:tcW w:w="512"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512"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517"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trHeight w:val="330" w:hRule="atLeast"/>
        </w:trPr>
        <w:tc>
          <w:tcPr>
            <w:tcW w:w="379" w:type="pct"/>
            <w:tcBorders>
              <w:top w:val="single" w:color="auto" w:sz="4" w:space="0"/>
              <w:left w:val="single" w:color="auto" w:sz="4" w:space="0"/>
              <w:bottom w:val="single" w:color="auto" w:sz="4" w:space="0"/>
              <w:right w:val="single" w:color="auto" w:sz="4" w:space="0"/>
            </w:tcBorders>
            <w:shd w:val="clear" w:color="000000" w:fill="FFFFFF"/>
            <w:noWrap/>
            <w:vAlign w:val="top"/>
          </w:tcPr>
          <w:p>
            <w:pPr>
              <w:jc w:val="both"/>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sz w:val="21"/>
                <w:szCs w:val="21"/>
                <w:highlight w:val="none"/>
                <w:lang w:val="en-US" w:eastAsia="zh-CN"/>
              </w:rPr>
              <w:t>2080505</w:t>
            </w:r>
          </w:p>
        </w:tc>
        <w:tc>
          <w:tcPr>
            <w:tcW w:w="1484" w:type="pct"/>
            <w:tcBorders>
              <w:top w:val="nil"/>
              <w:left w:val="nil"/>
              <w:bottom w:val="single" w:color="auto" w:sz="4" w:space="0"/>
              <w:right w:val="single" w:color="auto" w:sz="4" w:space="0"/>
            </w:tcBorders>
            <w:shd w:val="clear" w:color="000000" w:fill="FFFFFF"/>
            <w:noWrap/>
            <w:vAlign w:val="top"/>
          </w:tcPr>
          <w:p>
            <w:pPr>
              <w:ind w:firstLine="420" w:firstLineChars="200"/>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sz w:val="21"/>
                <w:szCs w:val="21"/>
                <w:highlight w:val="none"/>
              </w:rPr>
              <w:t>机关事业单位基本养老保险缴费支出</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23.95</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23.95</w:t>
            </w:r>
          </w:p>
        </w:tc>
        <w:tc>
          <w:tcPr>
            <w:tcW w:w="505" w:type="pct"/>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sz w:val="21"/>
                <w:szCs w:val="21"/>
                <w:highlight w:val="none"/>
                <w:lang w:val="en-US" w:eastAsia="zh-CN"/>
              </w:rPr>
            </w:pPr>
          </w:p>
        </w:tc>
        <w:tc>
          <w:tcPr>
            <w:tcW w:w="512"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512"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517"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trHeight w:val="330" w:hRule="atLeast"/>
        </w:trPr>
        <w:tc>
          <w:tcPr>
            <w:tcW w:w="379" w:type="pct"/>
            <w:tcBorders>
              <w:top w:val="single" w:color="auto" w:sz="4" w:space="0"/>
              <w:left w:val="single" w:color="auto" w:sz="4" w:space="0"/>
              <w:bottom w:val="single" w:color="auto" w:sz="4" w:space="0"/>
              <w:right w:val="single" w:color="auto" w:sz="4" w:space="0"/>
            </w:tcBorders>
            <w:shd w:val="clear" w:color="000000" w:fill="FFFFFF"/>
            <w:noWrap/>
            <w:vAlign w:val="top"/>
          </w:tcPr>
          <w:p>
            <w:pPr>
              <w:jc w:val="both"/>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sz w:val="21"/>
                <w:szCs w:val="21"/>
                <w:highlight w:val="none"/>
                <w:lang w:val="en-US" w:eastAsia="zh-CN"/>
              </w:rPr>
              <w:t>20808</w:t>
            </w:r>
          </w:p>
        </w:tc>
        <w:tc>
          <w:tcPr>
            <w:tcW w:w="1484" w:type="pct"/>
            <w:tcBorders>
              <w:top w:val="nil"/>
              <w:left w:val="nil"/>
              <w:bottom w:val="single" w:color="auto" w:sz="4" w:space="0"/>
              <w:right w:val="single" w:color="auto" w:sz="4" w:space="0"/>
            </w:tcBorders>
            <w:shd w:val="clear" w:color="000000" w:fill="FFFFFF"/>
            <w:noWrap/>
            <w:vAlign w:val="top"/>
          </w:tcPr>
          <w:p>
            <w:pPr>
              <w:ind w:firstLine="210" w:firstLineChars="100"/>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sz w:val="21"/>
                <w:szCs w:val="21"/>
                <w:highlight w:val="none"/>
              </w:rPr>
              <w:t>抚恤</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5.40</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5.40</w:t>
            </w:r>
          </w:p>
        </w:tc>
        <w:tc>
          <w:tcPr>
            <w:tcW w:w="505" w:type="pct"/>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sz w:val="21"/>
                <w:szCs w:val="21"/>
                <w:highlight w:val="none"/>
                <w:lang w:val="en-US" w:eastAsia="zh-CN"/>
              </w:rPr>
            </w:pPr>
          </w:p>
        </w:tc>
        <w:tc>
          <w:tcPr>
            <w:tcW w:w="512"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512"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517"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trHeight w:val="330" w:hRule="atLeast"/>
        </w:trPr>
        <w:tc>
          <w:tcPr>
            <w:tcW w:w="379" w:type="pct"/>
            <w:tcBorders>
              <w:top w:val="single" w:color="auto" w:sz="4" w:space="0"/>
              <w:left w:val="single" w:color="auto" w:sz="4" w:space="0"/>
              <w:bottom w:val="single" w:color="auto" w:sz="4" w:space="0"/>
              <w:right w:val="single" w:color="auto" w:sz="4" w:space="0"/>
            </w:tcBorders>
            <w:shd w:val="clear" w:color="000000" w:fill="FFFFFF"/>
            <w:noWrap/>
            <w:vAlign w:val="top"/>
          </w:tcPr>
          <w:p>
            <w:pPr>
              <w:jc w:val="both"/>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2080899</w:t>
            </w:r>
          </w:p>
        </w:tc>
        <w:tc>
          <w:tcPr>
            <w:tcW w:w="1484" w:type="pct"/>
            <w:tcBorders>
              <w:top w:val="nil"/>
              <w:left w:val="nil"/>
              <w:bottom w:val="single" w:color="auto" w:sz="4" w:space="0"/>
              <w:right w:val="single" w:color="auto" w:sz="4" w:space="0"/>
            </w:tcBorders>
            <w:shd w:val="clear" w:color="000000" w:fill="FFFFFF"/>
            <w:noWrap/>
            <w:vAlign w:val="top"/>
          </w:tcPr>
          <w:p>
            <w:pPr>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 xml:space="preserve">  </w:t>
            </w:r>
            <w:r>
              <w:rPr>
                <w:rFonts w:hint="default" w:ascii="Times New Roman" w:hAnsi="Times New Roman" w:cs="Times New Roman" w:eastAsiaTheme="minorEastAsia"/>
                <w:sz w:val="21"/>
                <w:szCs w:val="21"/>
                <w:highlight w:val="none"/>
                <w:lang w:val="en-US" w:eastAsia="zh-CN"/>
              </w:rPr>
              <w:t xml:space="preserve">  </w:t>
            </w:r>
            <w:r>
              <w:rPr>
                <w:rFonts w:hint="default" w:ascii="Times New Roman" w:hAnsi="Times New Roman" w:cs="Times New Roman" w:eastAsiaTheme="minorEastAsia"/>
                <w:sz w:val="21"/>
                <w:szCs w:val="21"/>
                <w:highlight w:val="none"/>
              </w:rPr>
              <w:t>其他优抚支出</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5.40</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5.40</w:t>
            </w:r>
          </w:p>
        </w:tc>
        <w:tc>
          <w:tcPr>
            <w:tcW w:w="505" w:type="pct"/>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sz w:val="21"/>
                <w:szCs w:val="21"/>
                <w:highlight w:val="none"/>
                <w:lang w:val="en-US" w:eastAsia="zh-CN"/>
              </w:rPr>
            </w:pPr>
          </w:p>
        </w:tc>
        <w:tc>
          <w:tcPr>
            <w:tcW w:w="512"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512"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517"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trHeight w:val="330" w:hRule="atLeast"/>
        </w:trPr>
        <w:tc>
          <w:tcPr>
            <w:tcW w:w="379" w:type="pct"/>
            <w:tcBorders>
              <w:top w:val="single" w:color="auto" w:sz="4" w:space="0"/>
              <w:left w:val="single" w:color="auto" w:sz="4" w:space="0"/>
              <w:bottom w:val="single" w:color="auto" w:sz="4" w:space="0"/>
              <w:right w:val="single" w:color="auto" w:sz="4" w:space="0"/>
            </w:tcBorders>
            <w:shd w:val="clear" w:color="000000" w:fill="FFFFFF"/>
            <w:noWrap/>
            <w:vAlign w:val="top"/>
          </w:tcPr>
          <w:p>
            <w:pPr>
              <w:jc w:val="both"/>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210</w:t>
            </w:r>
          </w:p>
        </w:tc>
        <w:tc>
          <w:tcPr>
            <w:tcW w:w="1484" w:type="pct"/>
            <w:tcBorders>
              <w:top w:val="nil"/>
              <w:left w:val="nil"/>
              <w:bottom w:val="single" w:color="auto" w:sz="4" w:space="0"/>
              <w:right w:val="single" w:color="auto" w:sz="4" w:space="0"/>
            </w:tcBorders>
            <w:shd w:val="clear" w:color="000000" w:fill="FFFFFF"/>
            <w:noWrap/>
            <w:vAlign w:val="top"/>
          </w:tcPr>
          <w:p>
            <w:pPr>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卫生健康支出</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11.32</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11.32</w:t>
            </w:r>
          </w:p>
        </w:tc>
        <w:tc>
          <w:tcPr>
            <w:tcW w:w="505" w:type="pct"/>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sz w:val="21"/>
                <w:szCs w:val="21"/>
                <w:highlight w:val="none"/>
                <w:lang w:val="en-US" w:eastAsia="zh-CN"/>
              </w:rPr>
            </w:pPr>
          </w:p>
        </w:tc>
        <w:tc>
          <w:tcPr>
            <w:tcW w:w="512"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512"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517"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trHeight w:val="330" w:hRule="atLeast"/>
        </w:trPr>
        <w:tc>
          <w:tcPr>
            <w:tcW w:w="379" w:type="pct"/>
            <w:tcBorders>
              <w:top w:val="single" w:color="auto" w:sz="4" w:space="0"/>
              <w:left w:val="single" w:color="auto" w:sz="4" w:space="0"/>
              <w:bottom w:val="single" w:color="auto" w:sz="4" w:space="0"/>
              <w:right w:val="single" w:color="auto" w:sz="4" w:space="0"/>
            </w:tcBorders>
            <w:shd w:val="clear" w:color="000000" w:fill="FFFFFF"/>
            <w:noWrap/>
            <w:vAlign w:val="top"/>
          </w:tcPr>
          <w:p>
            <w:pPr>
              <w:jc w:val="both"/>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21011</w:t>
            </w:r>
          </w:p>
        </w:tc>
        <w:tc>
          <w:tcPr>
            <w:tcW w:w="1484" w:type="pct"/>
            <w:tcBorders>
              <w:top w:val="nil"/>
              <w:left w:val="nil"/>
              <w:bottom w:val="single" w:color="auto" w:sz="4" w:space="0"/>
              <w:right w:val="single" w:color="auto" w:sz="4" w:space="0"/>
            </w:tcBorders>
            <w:shd w:val="clear" w:color="000000" w:fill="FFFFFF"/>
            <w:noWrap/>
            <w:vAlign w:val="top"/>
          </w:tcPr>
          <w:p>
            <w:pPr>
              <w:ind w:firstLine="210" w:firstLineChars="100"/>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行政事业单位医疗</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11.32</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11.32</w:t>
            </w:r>
          </w:p>
        </w:tc>
        <w:tc>
          <w:tcPr>
            <w:tcW w:w="505" w:type="pct"/>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sz w:val="21"/>
                <w:szCs w:val="21"/>
                <w:highlight w:val="none"/>
                <w:lang w:val="en-US" w:eastAsia="zh-CN"/>
              </w:rPr>
            </w:pPr>
          </w:p>
        </w:tc>
        <w:tc>
          <w:tcPr>
            <w:tcW w:w="512"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512"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517"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trHeight w:val="330" w:hRule="atLeast"/>
        </w:trPr>
        <w:tc>
          <w:tcPr>
            <w:tcW w:w="379" w:type="pct"/>
            <w:tcBorders>
              <w:top w:val="single" w:color="auto" w:sz="4" w:space="0"/>
              <w:left w:val="single" w:color="auto" w:sz="4" w:space="0"/>
              <w:bottom w:val="single" w:color="auto" w:sz="4" w:space="0"/>
              <w:right w:val="single" w:color="auto" w:sz="4" w:space="0"/>
            </w:tcBorders>
            <w:shd w:val="clear" w:color="000000" w:fill="FFFFFF"/>
            <w:noWrap/>
            <w:vAlign w:val="top"/>
          </w:tcPr>
          <w:p>
            <w:pPr>
              <w:jc w:val="both"/>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2101101</w:t>
            </w:r>
          </w:p>
        </w:tc>
        <w:tc>
          <w:tcPr>
            <w:tcW w:w="1484" w:type="pct"/>
            <w:tcBorders>
              <w:top w:val="nil"/>
              <w:left w:val="nil"/>
              <w:bottom w:val="single" w:color="auto" w:sz="4" w:space="0"/>
              <w:right w:val="single" w:color="auto" w:sz="4" w:space="0"/>
            </w:tcBorders>
            <w:shd w:val="clear" w:color="000000" w:fill="FFFFFF"/>
            <w:noWrap/>
            <w:vAlign w:val="top"/>
          </w:tcPr>
          <w:p>
            <w:pPr>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 xml:space="preserve"> </w:t>
            </w:r>
            <w:r>
              <w:rPr>
                <w:rFonts w:hint="default" w:ascii="Times New Roman" w:hAnsi="Times New Roman" w:cs="Times New Roman" w:eastAsiaTheme="minorEastAsia"/>
                <w:sz w:val="21"/>
                <w:szCs w:val="21"/>
                <w:highlight w:val="none"/>
                <w:lang w:val="en-US" w:eastAsia="zh-CN"/>
              </w:rPr>
              <w:t xml:space="preserve"> </w:t>
            </w:r>
            <w:r>
              <w:rPr>
                <w:rFonts w:hint="default" w:ascii="Times New Roman" w:hAnsi="Times New Roman" w:cs="Times New Roman" w:eastAsiaTheme="minorEastAsia"/>
                <w:sz w:val="21"/>
                <w:szCs w:val="21"/>
                <w:highlight w:val="none"/>
              </w:rPr>
              <w:t xml:space="preserve"> </w:t>
            </w:r>
            <w:r>
              <w:rPr>
                <w:rFonts w:hint="default" w:ascii="Times New Roman" w:hAnsi="Times New Roman" w:cs="Times New Roman" w:eastAsiaTheme="minorEastAsia"/>
                <w:sz w:val="21"/>
                <w:szCs w:val="21"/>
                <w:highlight w:val="none"/>
                <w:lang w:val="en-US" w:eastAsia="zh-CN"/>
              </w:rPr>
              <w:t xml:space="preserve"> </w:t>
            </w:r>
            <w:r>
              <w:rPr>
                <w:rFonts w:hint="default" w:ascii="Times New Roman" w:hAnsi="Times New Roman" w:cs="Times New Roman" w:eastAsiaTheme="minorEastAsia"/>
                <w:sz w:val="21"/>
                <w:szCs w:val="21"/>
                <w:highlight w:val="none"/>
              </w:rPr>
              <w:t>行政单位医疗</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11.32</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11.32</w:t>
            </w:r>
          </w:p>
        </w:tc>
        <w:tc>
          <w:tcPr>
            <w:tcW w:w="505" w:type="pct"/>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sz w:val="21"/>
                <w:szCs w:val="21"/>
                <w:highlight w:val="none"/>
                <w:lang w:val="en-US" w:eastAsia="zh-CN"/>
              </w:rPr>
            </w:pPr>
          </w:p>
        </w:tc>
        <w:tc>
          <w:tcPr>
            <w:tcW w:w="512"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512"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517"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trHeight w:val="330" w:hRule="atLeast"/>
        </w:trPr>
        <w:tc>
          <w:tcPr>
            <w:tcW w:w="379" w:type="pct"/>
            <w:tcBorders>
              <w:top w:val="single" w:color="auto" w:sz="4" w:space="0"/>
              <w:left w:val="single" w:color="auto" w:sz="4" w:space="0"/>
              <w:bottom w:val="single" w:color="auto" w:sz="4" w:space="0"/>
              <w:right w:val="single" w:color="auto" w:sz="4" w:space="0"/>
            </w:tcBorders>
            <w:shd w:val="clear" w:color="000000" w:fill="FFFFFF"/>
            <w:noWrap/>
            <w:vAlign w:val="top"/>
          </w:tcPr>
          <w:p>
            <w:pPr>
              <w:jc w:val="both"/>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221</w:t>
            </w:r>
          </w:p>
        </w:tc>
        <w:tc>
          <w:tcPr>
            <w:tcW w:w="1484" w:type="pct"/>
            <w:tcBorders>
              <w:top w:val="nil"/>
              <w:left w:val="nil"/>
              <w:bottom w:val="single" w:color="auto" w:sz="4" w:space="0"/>
              <w:right w:val="single" w:color="auto" w:sz="4" w:space="0"/>
            </w:tcBorders>
            <w:shd w:val="clear" w:color="000000" w:fill="FFFFFF"/>
            <w:noWrap/>
            <w:vAlign w:val="top"/>
          </w:tcPr>
          <w:p>
            <w:pPr>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住房保障支出</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17.06</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17.06</w:t>
            </w:r>
          </w:p>
        </w:tc>
        <w:tc>
          <w:tcPr>
            <w:tcW w:w="505" w:type="pct"/>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sz w:val="21"/>
                <w:szCs w:val="21"/>
                <w:highlight w:val="none"/>
                <w:lang w:val="en-US" w:eastAsia="zh-CN"/>
              </w:rPr>
            </w:pPr>
          </w:p>
        </w:tc>
        <w:tc>
          <w:tcPr>
            <w:tcW w:w="512"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512"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517"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trHeight w:val="330" w:hRule="atLeast"/>
        </w:trPr>
        <w:tc>
          <w:tcPr>
            <w:tcW w:w="379" w:type="pct"/>
            <w:tcBorders>
              <w:top w:val="single" w:color="auto" w:sz="4" w:space="0"/>
              <w:left w:val="single" w:color="auto" w:sz="4" w:space="0"/>
              <w:bottom w:val="single" w:color="auto" w:sz="4" w:space="0"/>
              <w:right w:val="single" w:color="auto" w:sz="4" w:space="0"/>
            </w:tcBorders>
            <w:shd w:val="clear" w:color="000000" w:fill="FFFFFF"/>
            <w:noWrap/>
            <w:vAlign w:val="top"/>
          </w:tcPr>
          <w:p>
            <w:pPr>
              <w:jc w:val="both"/>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22102</w:t>
            </w:r>
          </w:p>
        </w:tc>
        <w:tc>
          <w:tcPr>
            <w:tcW w:w="1484" w:type="pct"/>
            <w:tcBorders>
              <w:top w:val="nil"/>
              <w:left w:val="nil"/>
              <w:bottom w:val="single" w:color="auto" w:sz="4" w:space="0"/>
              <w:right w:val="single" w:color="auto" w:sz="4" w:space="0"/>
            </w:tcBorders>
            <w:shd w:val="clear" w:color="000000" w:fill="FFFFFF"/>
            <w:noWrap/>
            <w:vAlign w:val="top"/>
          </w:tcPr>
          <w:p>
            <w:pPr>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　住房改革支出</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17.06</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17.06</w:t>
            </w:r>
          </w:p>
        </w:tc>
        <w:tc>
          <w:tcPr>
            <w:tcW w:w="505" w:type="pct"/>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sz w:val="21"/>
                <w:szCs w:val="21"/>
                <w:highlight w:val="none"/>
                <w:lang w:val="en-US" w:eastAsia="zh-CN"/>
              </w:rPr>
            </w:pPr>
          </w:p>
        </w:tc>
        <w:tc>
          <w:tcPr>
            <w:tcW w:w="512"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512"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517"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trHeight w:val="330" w:hRule="atLeast"/>
        </w:trPr>
        <w:tc>
          <w:tcPr>
            <w:tcW w:w="379" w:type="pct"/>
            <w:tcBorders>
              <w:top w:val="single" w:color="auto" w:sz="4" w:space="0"/>
              <w:left w:val="single" w:color="auto" w:sz="4" w:space="0"/>
              <w:bottom w:val="single" w:color="auto" w:sz="4" w:space="0"/>
              <w:right w:val="single" w:color="auto" w:sz="4" w:space="0"/>
            </w:tcBorders>
            <w:shd w:val="clear" w:color="000000" w:fill="FFFFFF"/>
            <w:noWrap/>
            <w:vAlign w:val="top"/>
          </w:tcPr>
          <w:p>
            <w:pPr>
              <w:jc w:val="both"/>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sz w:val="21"/>
                <w:szCs w:val="21"/>
                <w:highlight w:val="none"/>
                <w:lang w:val="en-US" w:eastAsia="zh-CN"/>
              </w:rPr>
              <w:t>2210201</w:t>
            </w:r>
          </w:p>
        </w:tc>
        <w:tc>
          <w:tcPr>
            <w:tcW w:w="1484" w:type="pct"/>
            <w:tcBorders>
              <w:top w:val="nil"/>
              <w:left w:val="nil"/>
              <w:bottom w:val="single" w:color="auto" w:sz="4" w:space="0"/>
              <w:right w:val="single" w:color="auto" w:sz="4" w:space="0"/>
            </w:tcBorders>
            <w:shd w:val="clear" w:color="000000" w:fill="FFFFFF"/>
            <w:noWrap/>
            <w:vAlign w:val="top"/>
          </w:tcPr>
          <w:p>
            <w:pPr>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sz w:val="21"/>
                <w:szCs w:val="21"/>
                <w:highlight w:val="none"/>
              </w:rPr>
              <w:t>　  住房公积金</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17.06</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17.06</w:t>
            </w:r>
          </w:p>
        </w:tc>
        <w:tc>
          <w:tcPr>
            <w:tcW w:w="505" w:type="pct"/>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sz w:val="21"/>
                <w:szCs w:val="21"/>
                <w:highlight w:val="none"/>
                <w:lang w:val="en-US" w:eastAsia="zh-CN"/>
              </w:rPr>
            </w:pPr>
          </w:p>
        </w:tc>
        <w:tc>
          <w:tcPr>
            <w:tcW w:w="512"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512"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517"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trHeight w:val="330" w:hRule="atLeast"/>
        </w:trPr>
        <w:tc>
          <w:tcPr>
            <w:tcW w:w="5000" w:type="pct"/>
            <w:gridSpan w:val="8"/>
            <w:tcBorders>
              <w:top w:val="nil"/>
              <w:left w:val="nil"/>
              <w:bottom w:val="nil"/>
              <w:right w:val="nil"/>
            </w:tcBorders>
            <w:shd w:val="clear" w:color="auto" w:fill="auto"/>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注：本表反映部门本年度各项支出情况。</w:t>
            </w:r>
          </w:p>
        </w:tc>
      </w:tr>
    </w:tbl>
    <w:p>
      <w:pPr>
        <w:widowControl/>
        <w:jc w:val="center"/>
        <w:rPr>
          <w:rFonts w:hint="eastAsia" w:cs="宋体" w:asciiTheme="minorEastAsia" w:hAnsiTheme="minorEastAsia"/>
          <w:color w:val="000000"/>
          <w:kern w:val="0"/>
          <w:sz w:val="32"/>
          <w:szCs w:val="32"/>
          <w:highlight w:val="none"/>
        </w:rPr>
      </w:pPr>
      <w:bookmarkStart w:id="0" w:name="RANGE!A1:I22"/>
      <w:bookmarkEnd w:id="0"/>
      <w:bookmarkStart w:id="1" w:name="RANGE!A1:F16"/>
      <w:r>
        <w:rPr>
          <w:rFonts w:hint="eastAsia" w:cs="宋体" w:asciiTheme="minorEastAsia" w:hAnsiTheme="minorEastAsia"/>
          <w:color w:val="000000"/>
          <w:kern w:val="0"/>
          <w:sz w:val="32"/>
          <w:szCs w:val="32"/>
          <w:highlight w:val="none"/>
        </w:rPr>
        <w:br w:type="page"/>
      </w:r>
    </w:p>
    <w:tbl>
      <w:tblPr>
        <w:tblStyle w:val="9"/>
        <w:tblW w:w="5011" w:type="pct"/>
        <w:tblInd w:w="126" w:type="dxa"/>
        <w:tblLayout w:type="fixed"/>
        <w:tblCellMar>
          <w:top w:w="0" w:type="dxa"/>
          <w:left w:w="108" w:type="dxa"/>
          <w:bottom w:w="0" w:type="dxa"/>
          <w:right w:w="108" w:type="dxa"/>
        </w:tblCellMar>
      </w:tblPr>
      <w:tblGrid>
        <w:gridCol w:w="3362"/>
        <w:gridCol w:w="625"/>
        <w:gridCol w:w="1150"/>
        <w:gridCol w:w="3600"/>
        <w:gridCol w:w="650"/>
        <w:gridCol w:w="1175"/>
        <w:gridCol w:w="1513"/>
        <w:gridCol w:w="1725"/>
        <w:gridCol w:w="1686"/>
        <w:gridCol w:w="164"/>
      </w:tblGrid>
      <w:tr>
        <w:tblPrEx>
          <w:tblCellMar>
            <w:top w:w="0" w:type="dxa"/>
            <w:left w:w="108" w:type="dxa"/>
            <w:bottom w:w="0" w:type="dxa"/>
            <w:right w:w="108" w:type="dxa"/>
          </w:tblCellMar>
        </w:tblPrEx>
        <w:trPr>
          <w:gridAfter w:val="1"/>
          <w:wAfter w:w="52" w:type="pct"/>
          <w:trHeight w:val="360" w:hRule="atLeast"/>
        </w:trPr>
        <w:tc>
          <w:tcPr>
            <w:tcW w:w="4947" w:type="pct"/>
            <w:gridSpan w:val="9"/>
            <w:tcBorders>
              <w:top w:val="nil"/>
              <w:left w:val="nil"/>
              <w:bottom w:val="nil"/>
              <w:right w:val="nil"/>
            </w:tcBorders>
            <w:shd w:val="clear" w:color="auto" w:fill="auto"/>
            <w:noWrap/>
            <w:vAlign w:val="center"/>
          </w:tcPr>
          <w:p>
            <w:pPr>
              <w:widowControl/>
              <w:jc w:val="center"/>
              <w:rPr>
                <w:rFonts w:cs="宋体" w:asciiTheme="minorEastAsia" w:hAnsiTheme="minorEastAsia"/>
                <w:color w:val="000000"/>
                <w:kern w:val="0"/>
                <w:sz w:val="32"/>
                <w:szCs w:val="32"/>
                <w:highlight w:val="none"/>
              </w:rPr>
            </w:pPr>
            <w:r>
              <w:rPr>
                <w:rFonts w:hint="eastAsia" w:cs="宋体" w:asciiTheme="minorEastAsia" w:hAnsiTheme="minorEastAsia"/>
                <w:color w:val="000000"/>
                <w:kern w:val="0"/>
                <w:sz w:val="32"/>
                <w:szCs w:val="32"/>
                <w:highlight w:val="none"/>
              </w:rPr>
              <w:t>财政拨款收入支出决算总表</w:t>
            </w:r>
          </w:p>
        </w:tc>
      </w:tr>
      <w:tr>
        <w:tblPrEx>
          <w:tblCellMar>
            <w:top w:w="0" w:type="dxa"/>
            <w:left w:w="108" w:type="dxa"/>
            <w:bottom w:w="0" w:type="dxa"/>
            <w:right w:w="108" w:type="dxa"/>
          </w:tblCellMar>
        </w:tblPrEx>
        <w:trPr>
          <w:trHeight w:val="337" w:hRule="atLeast"/>
        </w:trPr>
        <w:tc>
          <w:tcPr>
            <w:tcW w:w="1074"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199"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367"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1150"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207"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375"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483"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551"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591" w:type="pct"/>
            <w:gridSpan w:val="2"/>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公开04表</w:t>
            </w:r>
          </w:p>
        </w:tc>
      </w:tr>
      <w:tr>
        <w:tblPrEx>
          <w:tblCellMar>
            <w:top w:w="0" w:type="dxa"/>
            <w:left w:w="108" w:type="dxa"/>
            <w:bottom w:w="0" w:type="dxa"/>
            <w:right w:w="108" w:type="dxa"/>
          </w:tblCellMar>
        </w:tblPrEx>
        <w:trPr>
          <w:trHeight w:val="300" w:hRule="atLeast"/>
        </w:trPr>
        <w:tc>
          <w:tcPr>
            <w:tcW w:w="1641" w:type="pct"/>
            <w:gridSpan w:val="3"/>
            <w:tcBorders>
              <w:top w:val="nil"/>
              <w:left w:val="nil"/>
              <w:bottom w:val="nil"/>
              <w:right w:val="nil"/>
            </w:tcBorders>
            <w:shd w:val="clear" w:color="000000" w:fill="FFFFFF"/>
            <w:noWrap/>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color w:val="000000"/>
                <w:kern w:val="0"/>
                <w:sz w:val="21"/>
                <w:szCs w:val="21"/>
                <w:highlight w:val="none"/>
              </w:rPr>
              <w:t>部门：</w:t>
            </w:r>
            <w:r>
              <w:rPr>
                <w:rFonts w:hint="default" w:ascii="Times New Roman" w:hAnsi="Times New Roman" w:cs="Times New Roman" w:eastAsiaTheme="minorEastAsia"/>
                <w:color w:val="000000"/>
                <w:kern w:val="0"/>
                <w:sz w:val="21"/>
                <w:szCs w:val="21"/>
                <w:highlight w:val="none"/>
                <w:lang w:eastAsia="zh-CN"/>
              </w:rPr>
              <w:t>中共祁阳市委政法委员会</w:t>
            </w:r>
            <w:r>
              <w:rPr>
                <w:rFonts w:hint="default" w:ascii="Times New Roman" w:hAnsi="Times New Roman" w:cs="Times New Roman" w:eastAsiaTheme="minorEastAsia"/>
                <w:sz w:val="21"/>
                <w:szCs w:val="21"/>
                <w:highlight w:val="none"/>
              </w:rPr>
              <w:t>　</w:t>
            </w:r>
            <w:r>
              <w:rPr>
                <w:rFonts w:hint="default" w:ascii="Times New Roman" w:hAnsi="Times New Roman" w:cs="Times New Roman" w:eastAsiaTheme="minorEastAsia"/>
                <w:kern w:val="0"/>
                <w:sz w:val="21"/>
                <w:szCs w:val="21"/>
                <w:highlight w:val="none"/>
              </w:rPr>
              <w:t>　</w:t>
            </w:r>
          </w:p>
        </w:tc>
        <w:tc>
          <w:tcPr>
            <w:tcW w:w="1150"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207"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375"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483"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551"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591" w:type="pct"/>
            <w:gridSpan w:val="2"/>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单位：万元</w:t>
            </w:r>
          </w:p>
        </w:tc>
      </w:tr>
      <w:tr>
        <w:tblPrEx>
          <w:tblCellMar>
            <w:top w:w="0" w:type="dxa"/>
            <w:left w:w="108" w:type="dxa"/>
            <w:bottom w:w="0" w:type="dxa"/>
            <w:right w:w="108" w:type="dxa"/>
          </w:tblCellMar>
        </w:tblPrEx>
        <w:trPr>
          <w:gridAfter w:val="1"/>
          <w:wAfter w:w="52" w:type="pct"/>
          <w:trHeight w:val="117" w:hRule="atLeast"/>
        </w:trPr>
        <w:tc>
          <w:tcPr>
            <w:tcW w:w="1641"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收入</w:t>
            </w:r>
          </w:p>
        </w:tc>
        <w:tc>
          <w:tcPr>
            <w:tcW w:w="3306" w:type="pct"/>
            <w:gridSpan w:val="6"/>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支出</w:t>
            </w:r>
          </w:p>
        </w:tc>
      </w:tr>
      <w:tr>
        <w:tblPrEx>
          <w:tblCellMar>
            <w:top w:w="0" w:type="dxa"/>
            <w:left w:w="108" w:type="dxa"/>
            <w:bottom w:w="0" w:type="dxa"/>
            <w:right w:w="108" w:type="dxa"/>
          </w:tblCellMar>
        </w:tblPrEx>
        <w:trPr>
          <w:gridAfter w:val="1"/>
          <w:wAfter w:w="52" w:type="pct"/>
          <w:trHeight w:val="630" w:hRule="atLeast"/>
        </w:trPr>
        <w:tc>
          <w:tcPr>
            <w:tcW w:w="107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项    目</w:t>
            </w:r>
          </w:p>
        </w:tc>
        <w:tc>
          <w:tcPr>
            <w:tcW w:w="19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行次</w:t>
            </w:r>
          </w:p>
        </w:tc>
        <w:tc>
          <w:tcPr>
            <w:tcW w:w="367"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金额</w:t>
            </w:r>
          </w:p>
        </w:tc>
        <w:tc>
          <w:tcPr>
            <w:tcW w:w="115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项    目</w:t>
            </w:r>
          </w:p>
        </w:tc>
        <w:tc>
          <w:tcPr>
            <w:tcW w:w="207"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行次</w:t>
            </w:r>
          </w:p>
        </w:tc>
        <w:tc>
          <w:tcPr>
            <w:tcW w:w="375"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合计</w:t>
            </w:r>
          </w:p>
        </w:tc>
        <w:tc>
          <w:tcPr>
            <w:tcW w:w="483"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一般公共预算财政拨款</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政府性基金预算财政拨款</w:t>
            </w:r>
          </w:p>
        </w:tc>
        <w:tc>
          <w:tcPr>
            <w:tcW w:w="538"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国有资本经营预算财政拨款</w:t>
            </w:r>
          </w:p>
        </w:tc>
      </w:tr>
      <w:tr>
        <w:tblPrEx>
          <w:tblCellMar>
            <w:top w:w="0" w:type="dxa"/>
            <w:left w:w="108" w:type="dxa"/>
            <w:bottom w:w="0" w:type="dxa"/>
            <w:right w:w="108" w:type="dxa"/>
          </w:tblCellMar>
        </w:tblPrEx>
        <w:trPr>
          <w:gridAfter w:val="1"/>
          <w:wAfter w:w="52" w:type="pct"/>
          <w:trHeight w:val="312" w:hRule="atLeast"/>
        </w:trPr>
        <w:tc>
          <w:tcPr>
            <w:tcW w:w="107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栏    次</w:t>
            </w:r>
          </w:p>
        </w:tc>
        <w:tc>
          <w:tcPr>
            <w:tcW w:w="19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367"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1</w:t>
            </w:r>
          </w:p>
        </w:tc>
        <w:tc>
          <w:tcPr>
            <w:tcW w:w="115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栏    次</w:t>
            </w:r>
          </w:p>
        </w:tc>
        <w:tc>
          <w:tcPr>
            <w:tcW w:w="207"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375"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2</w:t>
            </w:r>
          </w:p>
        </w:tc>
        <w:tc>
          <w:tcPr>
            <w:tcW w:w="48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3</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4</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5</w:t>
            </w:r>
          </w:p>
        </w:tc>
      </w:tr>
      <w:tr>
        <w:trPr>
          <w:gridAfter w:val="1"/>
          <w:wAfter w:w="52" w:type="pct"/>
          <w:trHeight w:val="312" w:hRule="atLeast"/>
        </w:trPr>
        <w:tc>
          <w:tcPr>
            <w:tcW w:w="107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一、一般公共预算财政拨款</w:t>
            </w:r>
          </w:p>
        </w:tc>
        <w:tc>
          <w:tcPr>
            <w:tcW w:w="19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1</w:t>
            </w:r>
          </w:p>
        </w:tc>
        <w:tc>
          <w:tcPr>
            <w:tcW w:w="11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963.67</w:t>
            </w:r>
          </w:p>
        </w:tc>
        <w:tc>
          <w:tcPr>
            <w:tcW w:w="115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一、一般公共服务支出</w:t>
            </w:r>
          </w:p>
        </w:tc>
        <w:tc>
          <w:tcPr>
            <w:tcW w:w="207"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33</w:t>
            </w:r>
          </w:p>
        </w:tc>
        <w:tc>
          <w:tcPr>
            <w:tcW w:w="1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905.94</w:t>
            </w:r>
          </w:p>
        </w:tc>
        <w:tc>
          <w:tcPr>
            <w:tcW w:w="15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905.94</w:t>
            </w: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686"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gridAfter w:val="1"/>
          <w:wAfter w:w="52" w:type="pct"/>
          <w:trHeight w:val="312" w:hRule="atLeast"/>
        </w:trPr>
        <w:tc>
          <w:tcPr>
            <w:tcW w:w="107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二、政府性基金预算财政拨款</w:t>
            </w:r>
          </w:p>
        </w:tc>
        <w:tc>
          <w:tcPr>
            <w:tcW w:w="19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2</w:t>
            </w:r>
          </w:p>
        </w:tc>
        <w:tc>
          <w:tcPr>
            <w:tcW w:w="1150"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15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二、外交支出</w:t>
            </w:r>
          </w:p>
        </w:tc>
        <w:tc>
          <w:tcPr>
            <w:tcW w:w="207"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34</w:t>
            </w:r>
          </w:p>
        </w:tc>
        <w:tc>
          <w:tcPr>
            <w:tcW w:w="1175"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513"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686"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gridAfter w:val="1"/>
          <w:wAfter w:w="52" w:type="pct"/>
          <w:trHeight w:val="312" w:hRule="atLeast"/>
        </w:trPr>
        <w:tc>
          <w:tcPr>
            <w:tcW w:w="107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三、国有资本经营预算财政拨款</w:t>
            </w:r>
          </w:p>
        </w:tc>
        <w:tc>
          <w:tcPr>
            <w:tcW w:w="19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3</w:t>
            </w:r>
          </w:p>
        </w:tc>
        <w:tc>
          <w:tcPr>
            <w:tcW w:w="1150"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15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三、国防支出</w:t>
            </w:r>
          </w:p>
        </w:tc>
        <w:tc>
          <w:tcPr>
            <w:tcW w:w="207"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35</w:t>
            </w:r>
          </w:p>
        </w:tc>
        <w:tc>
          <w:tcPr>
            <w:tcW w:w="1175"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513"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686"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gridAfter w:val="1"/>
          <w:wAfter w:w="52" w:type="pct"/>
          <w:trHeight w:val="312" w:hRule="atLeast"/>
        </w:trPr>
        <w:tc>
          <w:tcPr>
            <w:tcW w:w="107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19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rPr>
              <w:t>4</w:t>
            </w:r>
          </w:p>
        </w:tc>
        <w:tc>
          <w:tcPr>
            <w:tcW w:w="1150"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15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四、公共安全支出</w:t>
            </w:r>
          </w:p>
        </w:tc>
        <w:tc>
          <w:tcPr>
            <w:tcW w:w="207"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36</w:t>
            </w:r>
          </w:p>
        </w:tc>
        <w:tc>
          <w:tcPr>
            <w:tcW w:w="1175"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513"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686"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gridAfter w:val="1"/>
          <w:wAfter w:w="52" w:type="pct"/>
          <w:trHeight w:val="312" w:hRule="atLeast"/>
        </w:trPr>
        <w:tc>
          <w:tcPr>
            <w:tcW w:w="107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19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rPr>
              <w:t>5</w:t>
            </w:r>
          </w:p>
        </w:tc>
        <w:tc>
          <w:tcPr>
            <w:tcW w:w="1150"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15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五、教育支出</w:t>
            </w:r>
          </w:p>
        </w:tc>
        <w:tc>
          <w:tcPr>
            <w:tcW w:w="207"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37</w:t>
            </w:r>
          </w:p>
        </w:tc>
        <w:tc>
          <w:tcPr>
            <w:tcW w:w="1175"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513"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686"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gridAfter w:val="1"/>
          <w:wAfter w:w="52" w:type="pct"/>
          <w:trHeight w:val="312" w:hRule="atLeast"/>
        </w:trPr>
        <w:tc>
          <w:tcPr>
            <w:tcW w:w="107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19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rPr>
              <w:t>6</w:t>
            </w:r>
          </w:p>
        </w:tc>
        <w:tc>
          <w:tcPr>
            <w:tcW w:w="1150"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15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六、科学技术支出</w:t>
            </w:r>
          </w:p>
        </w:tc>
        <w:tc>
          <w:tcPr>
            <w:tcW w:w="207"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38</w:t>
            </w:r>
          </w:p>
        </w:tc>
        <w:tc>
          <w:tcPr>
            <w:tcW w:w="1175"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513"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686"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gridAfter w:val="1"/>
          <w:wAfter w:w="52" w:type="pct"/>
          <w:trHeight w:val="312" w:hRule="atLeast"/>
        </w:trPr>
        <w:tc>
          <w:tcPr>
            <w:tcW w:w="107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rPr>
            </w:pPr>
          </w:p>
        </w:tc>
        <w:tc>
          <w:tcPr>
            <w:tcW w:w="19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rPr>
              <w:t>7</w:t>
            </w:r>
          </w:p>
        </w:tc>
        <w:tc>
          <w:tcPr>
            <w:tcW w:w="115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15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lang w:val="en-US" w:eastAsia="zh-CN" w:bidi="ar-SA"/>
              </w:rPr>
            </w:pPr>
            <w:r>
              <w:rPr>
                <w:rFonts w:hint="default" w:ascii="Times New Roman" w:hAnsi="Times New Roman" w:cs="Times New Roman" w:eastAsiaTheme="minorEastAsia"/>
                <w:kern w:val="0"/>
                <w:sz w:val="21"/>
                <w:szCs w:val="21"/>
                <w:highlight w:val="none"/>
              </w:rPr>
              <w:t>七、文化旅游体育与传媒支出</w:t>
            </w:r>
          </w:p>
        </w:tc>
        <w:tc>
          <w:tcPr>
            <w:tcW w:w="207"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39</w:t>
            </w:r>
          </w:p>
        </w:tc>
        <w:tc>
          <w:tcPr>
            <w:tcW w:w="1175"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513"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686"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gridAfter w:val="1"/>
          <w:wAfter w:w="52" w:type="pct"/>
          <w:trHeight w:val="312" w:hRule="atLeast"/>
        </w:trPr>
        <w:tc>
          <w:tcPr>
            <w:tcW w:w="107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rPr>
            </w:pPr>
          </w:p>
        </w:tc>
        <w:tc>
          <w:tcPr>
            <w:tcW w:w="19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rPr>
              <w:t>8</w:t>
            </w:r>
          </w:p>
        </w:tc>
        <w:tc>
          <w:tcPr>
            <w:tcW w:w="115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15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lang w:val="en-US" w:eastAsia="zh-CN" w:bidi="ar-SA"/>
              </w:rPr>
            </w:pPr>
            <w:r>
              <w:rPr>
                <w:rFonts w:hint="default" w:ascii="Times New Roman" w:hAnsi="Times New Roman" w:cs="Times New Roman" w:eastAsiaTheme="minorEastAsia"/>
                <w:kern w:val="0"/>
                <w:sz w:val="21"/>
                <w:szCs w:val="21"/>
                <w:highlight w:val="none"/>
              </w:rPr>
              <w:t>八、社会保障和就业支出</w:t>
            </w:r>
          </w:p>
        </w:tc>
        <w:tc>
          <w:tcPr>
            <w:tcW w:w="207"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40</w:t>
            </w:r>
          </w:p>
        </w:tc>
        <w:tc>
          <w:tcPr>
            <w:tcW w:w="1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29.35</w:t>
            </w:r>
          </w:p>
        </w:tc>
        <w:tc>
          <w:tcPr>
            <w:tcW w:w="15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29.35</w:t>
            </w: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686"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gridAfter w:val="1"/>
          <w:wAfter w:w="52" w:type="pct"/>
          <w:trHeight w:val="312" w:hRule="atLeast"/>
        </w:trPr>
        <w:tc>
          <w:tcPr>
            <w:tcW w:w="107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rPr>
            </w:pPr>
          </w:p>
        </w:tc>
        <w:tc>
          <w:tcPr>
            <w:tcW w:w="19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9</w:t>
            </w:r>
          </w:p>
        </w:tc>
        <w:tc>
          <w:tcPr>
            <w:tcW w:w="115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15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lang w:val="en-US" w:eastAsia="zh-CN" w:bidi="ar-SA"/>
              </w:rPr>
            </w:pPr>
            <w:r>
              <w:rPr>
                <w:rFonts w:hint="default" w:ascii="Times New Roman" w:hAnsi="Times New Roman" w:cs="Times New Roman" w:eastAsiaTheme="minorEastAsia"/>
                <w:kern w:val="0"/>
                <w:sz w:val="21"/>
                <w:szCs w:val="21"/>
                <w:highlight w:val="none"/>
              </w:rPr>
              <w:t>九、卫生健康支出</w:t>
            </w:r>
          </w:p>
        </w:tc>
        <w:tc>
          <w:tcPr>
            <w:tcW w:w="207"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41</w:t>
            </w:r>
          </w:p>
        </w:tc>
        <w:tc>
          <w:tcPr>
            <w:tcW w:w="1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11.32</w:t>
            </w:r>
          </w:p>
        </w:tc>
        <w:tc>
          <w:tcPr>
            <w:tcW w:w="15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11.32</w:t>
            </w: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686"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gridAfter w:val="1"/>
          <w:wAfter w:w="52" w:type="pct"/>
          <w:trHeight w:val="312" w:hRule="atLeast"/>
        </w:trPr>
        <w:tc>
          <w:tcPr>
            <w:tcW w:w="107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rPr>
            </w:pPr>
          </w:p>
        </w:tc>
        <w:tc>
          <w:tcPr>
            <w:tcW w:w="19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10</w:t>
            </w:r>
          </w:p>
        </w:tc>
        <w:tc>
          <w:tcPr>
            <w:tcW w:w="115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15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lang w:val="en-US" w:eastAsia="zh-CN" w:bidi="ar-SA"/>
              </w:rPr>
            </w:pPr>
            <w:r>
              <w:rPr>
                <w:rFonts w:hint="default" w:ascii="Times New Roman" w:hAnsi="Times New Roman" w:cs="Times New Roman" w:eastAsiaTheme="minorEastAsia"/>
                <w:kern w:val="0"/>
                <w:sz w:val="21"/>
                <w:szCs w:val="21"/>
                <w:highlight w:val="none"/>
              </w:rPr>
              <w:t>十、节能环保支出</w:t>
            </w:r>
          </w:p>
        </w:tc>
        <w:tc>
          <w:tcPr>
            <w:tcW w:w="207"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42</w:t>
            </w:r>
          </w:p>
        </w:tc>
        <w:tc>
          <w:tcPr>
            <w:tcW w:w="1175"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513"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686"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gridAfter w:val="1"/>
          <w:wAfter w:w="52" w:type="pct"/>
          <w:trHeight w:val="312" w:hRule="atLeast"/>
        </w:trPr>
        <w:tc>
          <w:tcPr>
            <w:tcW w:w="107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rPr>
            </w:pPr>
          </w:p>
        </w:tc>
        <w:tc>
          <w:tcPr>
            <w:tcW w:w="19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11</w:t>
            </w:r>
          </w:p>
        </w:tc>
        <w:tc>
          <w:tcPr>
            <w:tcW w:w="115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15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lang w:val="en-US" w:eastAsia="zh-CN" w:bidi="ar-SA"/>
              </w:rPr>
            </w:pPr>
            <w:r>
              <w:rPr>
                <w:rFonts w:hint="default" w:ascii="Times New Roman" w:hAnsi="Times New Roman" w:cs="Times New Roman" w:eastAsiaTheme="minorEastAsia"/>
                <w:kern w:val="0"/>
                <w:sz w:val="21"/>
                <w:szCs w:val="21"/>
                <w:highlight w:val="none"/>
              </w:rPr>
              <w:t>十一、城乡社区支出</w:t>
            </w:r>
          </w:p>
        </w:tc>
        <w:tc>
          <w:tcPr>
            <w:tcW w:w="207"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43</w:t>
            </w:r>
          </w:p>
        </w:tc>
        <w:tc>
          <w:tcPr>
            <w:tcW w:w="1175"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513"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686"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gridAfter w:val="1"/>
          <w:wAfter w:w="52" w:type="pct"/>
          <w:trHeight w:val="312" w:hRule="atLeast"/>
        </w:trPr>
        <w:tc>
          <w:tcPr>
            <w:tcW w:w="107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rPr>
            </w:pPr>
          </w:p>
        </w:tc>
        <w:tc>
          <w:tcPr>
            <w:tcW w:w="19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12</w:t>
            </w:r>
          </w:p>
        </w:tc>
        <w:tc>
          <w:tcPr>
            <w:tcW w:w="115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15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lang w:val="en-US" w:eastAsia="zh-CN" w:bidi="ar-SA"/>
              </w:rPr>
            </w:pPr>
            <w:r>
              <w:rPr>
                <w:rFonts w:hint="default" w:ascii="Times New Roman" w:hAnsi="Times New Roman" w:cs="Times New Roman" w:eastAsiaTheme="minorEastAsia"/>
                <w:kern w:val="0"/>
                <w:sz w:val="21"/>
                <w:szCs w:val="21"/>
                <w:highlight w:val="none"/>
              </w:rPr>
              <w:t>十二、农林水支出</w:t>
            </w:r>
          </w:p>
        </w:tc>
        <w:tc>
          <w:tcPr>
            <w:tcW w:w="207"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44</w:t>
            </w:r>
          </w:p>
        </w:tc>
        <w:tc>
          <w:tcPr>
            <w:tcW w:w="1175"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513"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686"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gridAfter w:val="1"/>
          <w:wAfter w:w="52" w:type="pct"/>
          <w:trHeight w:val="312" w:hRule="atLeast"/>
        </w:trPr>
        <w:tc>
          <w:tcPr>
            <w:tcW w:w="107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rPr>
            </w:pPr>
          </w:p>
        </w:tc>
        <w:tc>
          <w:tcPr>
            <w:tcW w:w="19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13</w:t>
            </w:r>
          </w:p>
        </w:tc>
        <w:tc>
          <w:tcPr>
            <w:tcW w:w="115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15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lang w:val="en-US" w:eastAsia="zh-CN" w:bidi="ar-SA"/>
              </w:rPr>
            </w:pPr>
            <w:r>
              <w:rPr>
                <w:rFonts w:hint="default" w:ascii="Times New Roman" w:hAnsi="Times New Roman" w:cs="Times New Roman" w:eastAsiaTheme="minorEastAsia"/>
                <w:kern w:val="0"/>
                <w:sz w:val="21"/>
                <w:szCs w:val="21"/>
                <w:highlight w:val="none"/>
              </w:rPr>
              <w:t>十三、交通运输支出</w:t>
            </w:r>
          </w:p>
        </w:tc>
        <w:tc>
          <w:tcPr>
            <w:tcW w:w="207"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45</w:t>
            </w:r>
          </w:p>
        </w:tc>
        <w:tc>
          <w:tcPr>
            <w:tcW w:w="1175"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513"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686"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gridAfter w:val="1"/>
          <w:wAfter w:w="52" w:type="pct"/>
          <w:trHeight w:val="312" w:hRule="atLeast"/>
        </w:trPr>
        <w:tc>
          <w:tcPr>
            <w:tcW w:w="107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rPr>
            </w:pPr>
          </w:p>
        </w:tc>
        <w:tc>
          <w:tcPr>
            <w:tcW w:w="19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14</w:t>
            </w:r>
          </w:p>
        </w:tc>
        <w:tc>
          <w:tcPr>
            <w:tcW w:w="115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15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lang w:val="en-US" w:eastAsia="zh-CN" w:bidi="ar-SA"/>
              </w:rPr>
            </w:pPr>
            <w:r>
              <w:rPr>
                <w:rFonts w:hint="default" w:ascii="Times New Roman" w:hAnsi="Times New Roman" w:cs="Times New Roman" w:eastAsiaTheme="minorEastAsia"/>
                <w:kern w:val="0"/>
                <w:sz w:val="21"/>
                <w:szCs w:val="21"/>
                <w:highlight w:val="none"/>
              </w:rPr>
              <w:t>十四、资源勘探工业信息等支出</w:t>
            </w:r>
          </w:p>
        </w:tc>
        <w:tc>
          <w:tcPr>
            <w:tcW w:w="207"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46</w:t>
            </w:r>
          </w:p>
        </w:tc>
        <w:tc>
          <w:tcPr>
            <w:tcW w:w="1175"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513"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686"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gridAfter w:val="1"/>
          <w:wAfter w:w="52" w:type="pct"/>
          <w:trHeight w:val="312" w:hRule="atLeast"/>
        </w:trPr>
        <w:tc>
          <w:tcPr>
            <w:tcW w:w="107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rPr>
            </w:pPr>
          </w:p>
        </w:tc>
        <w:tc>
          <w:tcPr>
            <w:tcW w:w="19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15</w:t>
            </w:r>
          </w:p>
        </w:tc>
        <w:tc>
          <w:tcPr>
            <w:tcW w:w="115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15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lang w:val="en-US" w:eastAsia="zh-CN" w:bidi="ar-SA"/>
              </w:rPr>
            </w:pPr>
            <w:r>
              <w:rPr>
                <w:rFonts w:hint="default" w:ascii="Times New Roman" w:hAnsi="Times New Roman" w:cs="Times New Roman" w:eastAsiaTheme="minorEastAsia"/>
                <w:kern w:val="0"/>
                <w:sz w:val="21"/>
                <w:szCs w:val="21"/>
                <w:highlight w:val="none"/>
              </w:rPr>
              <w:t>十五、商业服务业等支出</w:t>
            </w:r>
          </w:p>
        </w:tc>
        <w:tc>
          <w:tcPr>
            <w:tcW w:w="207"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47</w:t>
            </w:r>
          </w:p>
        </w:tc>
        <w:tc>
          <w:tcPr>
            <w:tcW w:w="1175"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513"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686"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gridAfter w:val="1"/>
          <w:wAfter w:w="52" w:type="pct"/>
          <w:trHeight w:val="312" w:hRule="atLeast"/>
        </w:trPr>
        <w:tc>
          <w:tcPr>
            <w:tcW w:w="107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rPr>
            </w:pPr>
          </w:p>
        </w:tc>
        <w:tc>
          <w:tcPr>
            <w:tcW w:w="19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16</w:t>
            </w:r>
          </w:p>
        </w:tc>
        <w:tc>
          <w:tcPr>
            <w:tcW w:w="115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15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lang w:val="en-US" w:eastAsia="zh-CN" w:bidi="ar-SA"/>
              </w:rPr>
            </w:pPr>
            <w:r>
              <w:rPr>
                <w:rFonts w:hint="default" w:ascii="Times New Roman" w:hAnsi="Times New Roman" w:cs="Times New Roman" w:eastAsiaTheme="minorEastAsia"/>
                <w:kern w:val="0"/>
                <w:sz w:val="21"/>
                <w:szCs w:val="21"/>
                <w:highlight w:val="none"/>
              </w:rPr>
              <w:t>十六、金融支出</w:t>
            </w:r>
          </w:p>
        </w:tc>
        <w:tc>
          <w:tcPr>
            <w:tcW w:w="207"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48</w:t>
            </w:r>
          </w:p>
        </w:tc>
        <w:tc>
          <w:tcPr>
            <w:tcW w:w="1175"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513"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686"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gridAfter w:val="1"/>
          <w:wAfter w:w="52" w:type="pct"/>
          <w:trHeight w:val="312" w:hRule="atLeast"/>
        </w:trPr>
        <w:tc>
          <w:tcPr>
            <w:tcW w:w="107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rPr>
            </w:pPr>
          </w:p>
        </w:tc>
        <w:tc>
          <w:tcPr>
            <w:tcW w:w="19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17</w:t>
            </w:r>
          </w:p>
        </w:tc>
        <w:tc>
          <w:tcPr>
            <w:tcW w:w="115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15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lang w:val="en-US" w:eastAsia="zh-CN" w:bidi="ar-SA"/>
              </w:rPr>
            </w:pPr>
            <w:r>
              <w:rPr>
                <w:rFonts w:hint="default" w:ascii="Times New Roman" w:hAnsi="Times New Roman" w:cs="Times New Roman" w:eastAsiaTheme="minorEastAsia"/>
                <w:kern w:val="0"/>
                <w:sz w:val="21"/>
                <w:szCs w:val="21"/>
                <w:highlight w:val="none"/>
              </w:rPr>
              <w:t>十七、援助其他地区支出</w:t>
            </w:r>
          </w:p>
        </w:tc>
        <w:tc>
          <w:tcPr>
            <w:tcW w:w="207"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49</w:t>
            </w:r>
          </w:p>
        </w:tc>
        <w:tc>
          <w:tcPr>
            <w:tcW w:w="1175"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513"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686"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gridAfter w:val="1"/>
          <w:wAfter w:w="52" w:type="pct"/>
          <w:trHeight w:val="312" w:hRule="atLeast"/>
        </w:trPr>
        <w:tc>
          <w:tcPr>
            <w:tcW w:w="107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rPr>
            </w:pPr>
          </w:p>
        </w:tc>
        <w:tc>
          <w:tcPr>
            <w:tcW w:w="19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18</w:t>
            </w:r>
          </w:p>
        </w:tc>
        <w:tc>
          <w:tcPr>
            <w:tcW w:w="115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15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lang w:val="en-US" w:eastAsia="zh-CN" w:bidi="ar-SA"/>
              </w:rPr>
            </w:pPr>
            <w:r>
              <w:rPr>
                <w:rFonts w:hint="default" w:ascii="Times New Roman" w:hAnsi="Times New Roman" w:cs="Times New Roman" w:eastAsiaTheme="minorEastAsia"/>
                <w:kern w:val="0"/>
                <w:sz w:val="21"/>
                <w:szCs w:val="21"/>
                <w:highlight w:val="none"/>
              </w:rPr>
              <w:t>十八、自然资源海洋气象等支出</w:t>
            </w:r>
          </w:p>
        </w:tc>
        <w:tc>
          <w:tcPr>
            <w:tcW w:w="207"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50</w:t>
            </w:r>
          </w:p>
        </w:tc>
        <w:tc>
          <w:tcPr>
            <w:tcW w:w="1175"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513"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686"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gridAfter w:val="1"/>
          <w:wAfter w:w="52" w:type="pct"/>
          <w:trHeight w:val="312" w:hRule="atLeast"/>
        </w:trPr>
        <w:tc>
          <w:tcPr>
            <w:tcW w:w="10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rPr>
            </w:pP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19</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15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lang w:val="en-US" w:eastAsia="zh-CN" w:bidi="ar-SA"/>
              </w:rPr>
            </w:pPr>
            <w:r>
              <w:rPr>
                <w:rFonts w:hint="default" w:ascii="Times New Roman" w:hAnsi="Times New Roman" w:cs="Times New Roman" w:eastAsiaTheme="minorEastAsia"/>
                <w:kern w:val="0"/>
                <w:sz w:val="21"/>
                <w:szCs w:val="21"/>
                <w:highlight w:val="none"/>
              </w:rPr>
              <w:t>十九、住房保障支出</w:t>
            </w:r>
          </w:p>
        </w:tc>
        <w:tc>
          <w:tcPr>
            <w:tcW w:w="20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51</w:t>
            </w:r>
          </w:p>
        </w:tc>
        <w:tc>
          <w:tcPr>
            <w:tcW w:w="11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17.06</w:t>
            </w:r>
          </w:p>
        </w:tc>
        <w:tc>
          <w:tcPr>
            <w:tcW w:w="15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17.06</w:t>
            </w:r>
          </w:p>
        </w:tc>
        <w:tc>
          <w:tcPr>
            <w:tcW w:w="172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68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gridAfter w:val="1"/>
          <w:wAfter w:w="52" w:type="pct"/>
          <w:trHeight w:val="312" w:hRule="atLeast"/>
        </w:trPr>
        <w:tc>
          <w:tcPr>
            <w:tcW w:w="10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rPr>
            </w:pPr>
          </w:p>
        </w:tc>
        <w:tc>
          <w:tcPr>
            <w:tcW w:w="19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20</w:t>
            </w:r>
          </w:p>
        </w:tc>
        <w:tc>
          <w:tcPr>
            <w:tcW w:w="1150"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150"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lang w:val="en-US" w:eastAsia="zh-CN" w:bidi="ar-SA"/>
              </w:rPr>
            </w:pPr>
            <w:r>
              <w:rPr>
                <w:rFonts w:hint="default" w:ascii="Times New Roman" w:hAnsi="Times New Roman" w:cs="Times New Roman" w:eastAsiaTheme="minorEastAsia"/>
                <w:kern w:val="0"/>
                <w:sz w:val="21"/>
                <w:szCs w:val="21"/>
                <w:highlight w:val="none"/>
              </w:rPr>
              <w:t>二十、粮油物资储备支出</w:t>
            </w:r>
          </w:p>
        </w:tc>
        <w:tc>
          <w:tcPr>
            <w:tcW w:w="20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52</w:t>
            </w:r>
          </w:p>
        </w:tc>
        <w:tc>
          <w:tcPr>
            <w:tcW w:w="117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513"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725"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686"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gridAfter w:val="1"/>
          <w:wAfter w:w="52" w:type="pct"/>
          <w:trHeight w:val="312" w:hRule="atLeast"/>
        </w:trPr>
        <w:tc>
          <w:tcPr>
            <w:tcW w:w="107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rPr>
            </w:pPr>
          </w:p>
        </w:tc>
        <w:tc>
          <w:tcPr>
            <w:tcW w:w="19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21</w:t>
            </w:r>
          </w:p>
        </w:tc>
        <w:tc>
          <w:tcPr>
            <w:tcW w:w="115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15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lang w:val="en-US" w:eastAsia="zh-CN" w:bidi="ar-SA"/>
              </w:rPr>
            </w:pPr>
            <w:r>
              <w:rPr>
                <w:rFonts w:hint="default" w:ascii="Times New Roman" w:hAnsi="Times New Roman" w:cs="Times New Roman" w:eastAsiaTheme="minorEastAsia"/>
                <w:kern w:val="0"/>
                <w:sz w:val="21"/>
                <w:szCs w:val="21"/>
                <w:highlight w:val="none"/>
              </w:rPr>
              <w:t>二十一、国有资本经营预算支出</w:t>
            </w:r>
          </w:p>
        </w:tc>
        <w:tc>
          <w:tcPr>
            <w:tcW w:w="207"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53</w:t>
            </w:r>
          </w:p>
        </w:tc>
        <w:tc>
          <w:tcPr>
            <w:tcW w:w="117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513"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686"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gridAfter w:val="1"/>
          <w:wAfter w:w="52" w:type="pct"/>
          <w:trHeight w:val="312" w:hRule="atLeast"/>
        </w:trPr>
        <w:tc>
          <w:tcPr>
            <w:tcW w:w="107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rPr>
            </w:pPr>
          </w:p>
        </w:tc>
        <w:tc>
          <w:tcPr>
            <w:tcW w:w="19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22</w:t>
            </w:r>
          </w:p>
        </w:tc>
        <w:tc>
          <w:tcPr>
            <w:tcW w:w="115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15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lang w:val="en-US" w:eastAsia="zh-CN" w:bidi="ar-SA"/>
              </w:rPr>
            </w:pPr>
            <w:r>
              <w:rPr>
                <w:rFonts w:hint="default" w:ascii="Times New Roman" w:hAnsi="Times New Roman" w:cs="Times New Roman" w:eastAsiaTheme="minorEastAsia"/>
                <w:kern w:val="0"/>
                <w:sz w:val="21"/>
                <w:szCs w:val="21"/>
                <w:highlight w:val="none"/>
              </w:rPr>
              <w:t>二十二、灾害防治及应急管理支出</w:t>
            </w:r>
          </w:p>
        </w:tc>
        <w:tc>
          <w:tcPr>
            <w:tcW w:w="207"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54</w:t>
            </w:r>
          </w:p>
        </w:tc>
        <w:tc>
          <w:tcPr>
            <w:tcW w:w="117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513"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686"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gridAfter w:val="1"/>
          <w:wAfter w:w="52" w:type="pct"/>
          <w:trHeight w:val="312" w:hRule="atLeast"/>
        </w:trPr>
        <w:tc>
          <w:tcPr>
            <w:tcW w:w="107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rPr>
            </w:pPr>
          </w:p>
        </w:tc>
        <w:tc>
          <w:tcPr>
            <w:tcW w:w="19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23</w:t>
            </w:r>
          </w:p>
        </w:tc>
        <w:tc>
          <w:tcPr>
            <w:tcW w:w="115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15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lang w:val="en-US" w:eastAsia="zh-CN" w:bidi="ar-SA"/>
              </w:rPr>
            </w:pPr>
            <w:r>
              <w:rPr>
                <w:rFonts w:hint="default" w:ascii="Times New Roman" w:hAnsi="Times New Roman" w:cs="Times New Roman" w:eastAsiaTheme="minorEastAsia"/>
                <w:kern w:val="0"/>
                <w:sz w:val="21"/>
                <w:szCs w:val="21"/>
                <w:highlight w:val="none"/>
              </w:rPr>
              <w:t>二十三、其他支出</w:t>
            </w:r>
          </w:p>
        </w:tc>
        <w:tc>
          <w:tcPr>
            <w:tcW w:w="207"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55</w:t>
            </w:r>
          </w:p>
        </w:tc>
        <w:tc>
          <w:tcPr>
            <w:tcW w:w="117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513"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686"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gridAfter w:val="1"/>
          <w:wAfter w:w="52" w:type="pct"/>
          <w:trHeight w:val="312" w:hRule="atLeast"/>
        </w:trPr>
        <w:tc>
          <w:tcPr>
            <w:tcW w:w="107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rPr>
            </w:pPr>
          </w:p>
        </w:tc>
        <w:tc>
          <w:tcPr>
            <w:tcW w:w="19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24</w:t>
            </w:r>
          </w:p>
        </w:tc>
        <w:tc>
          <w:tcPr>
            <w:tcW w:w="115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15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lang w:val="en-US" w:eastAsia="zh-CN" w:bidi="ar-SA"/>
              </w:rPr>
            </w:pPr>
            <w:r>
              <w:rPr>
                <w:rFonts w:hint="default" w:ascii="Times New Roman" w:hAnsi="Times New Roman" w:cs="Times New Roman" w:eastAsiaTheme="minorEastAsia"/>
                <w:kern w:val="0"/>
                <w:sz w:val="21"/>
                <w:szCs w:val="21"/>
                <w:highlight w:val="none"/>
              </w:rPr>
              <w:t>二十四、债务还本支出</w:t>
            </w:r>
          </w:p>
        </w:tc>
        <w:tc>
          <w:tcPr>
            <w:tcW w:w="207"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56</w:t>
            </w:r>
          </w:p>
        </w:tc>
        <w:tc>
          <w:tcPr>
            <w:tcW w:w="117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513"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686"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gridAfter w:val="1"/>
          <w:wAfter w:w="52" w:type="pct"/>
          <w:trHeight w:val="312" w:hRule="atLeast"/>
        </w:trPr>
        <w:tc>
          <w:tcPr>
            <w:tcW w:w="10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rPr>
            </w:pPr>
          </w:p>
        </w:tc>
        <w:tc>
          <w:tcPr>
            <w:tcW w:w="19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25</w:t>
            </w:r>
          </w:p>
        </w:tc>
        <w:tc>
          <w:tcPr>
            <w:tcW w:w="1150"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150"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lang w:val="en-US" w:eastAsia="zh-CN" w:bidi="ar-SA"/>
              </w:rPr>
            </w:pPr>
            <w:r>
              <w:rPr>
                <w:rFonts w:hint="default" w:ascii="Times New Roman" w:hAnsi="Times New Roman" w:cs="Times New Roman" w:eastAsiaTheme="minorEastAsia"/>
                <w:kern w:val="0"/>
                <w:sz w:val="21"/>
                <w:szCs w:val="21"/>
                <w:highlight w:val="none"/>
              </w:rPr>
              <w:t>二十五、债务付息支出</w:t>
            </w:r>
          </w:p>
        </w:tc>
        <w:tc>
          <w:tcPr>
            <w:tcW w:w="20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57</w:t>
            </w:r>
          </w:p>
        </w:tc>
        <w:tc>
          <w:tcPr>
            <w:tcW w:w="1175"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513"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725"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686"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gridAfter w:val="1"/>
          <w:wAfter w:w="52" w:type="pct"/>
          <w:trHeight w:val="312" w:hRule="atLeast"/>
        </w:trPr>
        <w:tc>
          <w:tcPr>
            <w:tcW w:w="10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rPr>
            </w:pPr>
          </w:p>
        </w:tc>
        <w:tc>
          <w:tcPr>
            <w:tcW w:w="19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26</w:t>
            </w:r>
          </w:p>
        </w:tc>
        <w:tc>
          <w:tcPr>
            <w:tcW w:w="115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150"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lang w:val="en-US" w:eastAsia="zh-CN" w:bidi="ar-SA"/>
              </w:rPr>
            </w:pPr>
            <w:r>
              <w:rPr>
                <w:rFonts w:hint="default" w:ascii="Times New Roman" w:hAnsi="Times New Roman" w:cs="Times New Roman" w:eastAsiaTheme="minorEastAsia"/>
                <w:kern w:val="0"/>
                <w:sz w:val="21"/>
                <w:szCs w:val="21"/>
                <w:highlight w:val="none"/>
              </w:rPr>
              <w:t>二十六、抗疫特别国债安排的支出</w:t>
            </w:r>
          </w:p>
        </w:tc>
        <w:tc>
          <w:tcPr>
            <w:tcW w:w="20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58</w:t>
            </w:r>
          </w:p>
        </w:tc>
        <w:tc>
          <w:tcPr>
            <w:tcW w:w="117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513"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725"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686"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gridAfter w:val="1"/>
          <w:wAfter w:w="52" w:type="pct"/>
          <w:trHeight w:val="312" w:hRule="atLeast"/>
        </w:trPr>
        <w:tc>
          <w:tcPr>
            <w:tcW w:w="107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b/>
                <w:bCs/>
                <w:kern w:val="0"/>
                <w:sz w:val="21"/>
                <w:szCs w:val="21"/>
                <w:highlight w:val="none"/>
              </w:rPr>
            </w:pPr>
            <w:r>
              <w:rPr>
                <w:rFonts w:hint="default" w:ascii="Times New Roman" w:hAnsi="Times New Roman" w:cs="Times New Roman" w:eastAsiaTheme="minorEastAsia"/>
                <w:b/>
                <w:bCs/>
                <w:kern w:val="0"/>
                <w:sz w:val="21"/>
                <w:szCs w:val="21"/>
                <w:highlight w:val="none"/>
              </w:rPr>
              <w:t>本年收入合计</w:t>
            </w:r>
          </w:p>
        </w:tc>
        <w:tc>
          <w:tcPr>
            <w:tcW w:w="19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27</w:t>
            </w:r>
          </w:p>
        </w:tc>
        <w:tc>
          <w:tcPr>
            <w:tcW w:w="11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963.67</w:t>
            </w:r>
          </w:p>
        </w:tc>
        <w:tc>
          <w:tcPr>
            <w:tcW w:w="115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b/>
                <w:bCs/>
                <w:kern w:val="0"/>
                <w:sz w:val="21"/>
                <w:szCs w:val="21"/>
                <w:highlight w:val="none"/>
              </w:rPr>
            </w:pPr>
            <w:r>
              <w:rPr>
                <w:rFonts w:hint="default" w:ascii="Times New Roman" w:hAnsi="Times New Roman" w:cs="Times New Roman" w:eastAsiaTheme="minorEastAsia"/>
                <w:b/>
                <w:bCs/>
                <w:kern w:val="0"/>
                <w:sz w:val="21"/>
                <w:szCs w:val="21"/>
                <w:highlight w:val="none"/>
              </w:rPr>
              <w:t>本年支出合计</w:t>
            </w:r>
          </w:p>
        </w:tc>
        <w:tc>
          <w:tcPr>
            <w:tcW w:w="207"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59</w:t>
            </w:r>
          </w:p>
        </w:tc>
        <w:tc>
          <w:tcPr>
            <w:tcW w:w="1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963.67</w:t>
            </w:r>
          </w:p>
        </w:tc>
        <w:tc>
          <w:tcPr>
            <w:tcW w:w="15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963.67</w:t>
            </w: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b/>
                <w:bCs/>
                <w:kern w:val="0"/>
                <w:sz w:val="21"/>
                <w:szCs w:val="21"/>
                <w:highlight w:val="none"/>
              </w:rPr>
            </w:pPr>
          </w:p>
        </w:tc>
        <w:tc>
          <w:tcPr>
            <w:tcW w:w="1686"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b/>
                <w:bCs/>
                <w:kern w:val="0"/>
                <w:sz w:val="21"/>
                <w:szCs w:val="21"/>
                <w:highlight w:val="none"/>
                <w:lang w:val="en-US" w:eastAsia="zh-CN"/>
              </w:rPr>
            </w:pPr>
          </w:p>
        </w:tc>
      </w:tr>
      <w:tr>
        <w:tblPrEx>
          <w:tblCellMar>
            <w:top w:w="0" w:type="dxa"/>
            <w:left w:w="108" w:type="dxa"/>
            <w:bottom w:w="0" w:type="dxa"/>
            <w:right w:w="108" w:type="dxa"/>
          </w:tblCellMar>
        </w:tblPrEx>
        <w:trPr>
          <w:gridAfter w:val="1"/>
          <w:wAfter w:w="52" w:type="pct"/>
          <w:trHeight w:val="312" w:hRule="atLeast"/>
        </w:trPr>
        <w:tc>
          <w:tcPr>
            <w:tcW w:w="1074" w:type="pct"/>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年初财政拨款结转和结余</w:t>
            </w:r>
          </w:p>
        </w:tc>
        <w:tc>
          <w:tcPr>
            <w:tcW w:w="19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28</w:t>
            </w:r>
          </w:p>
        </w:tc>
        <w:tc>
          <w:tcPr>
            <w:tcW w:w="1150"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150" w:type="pct"/>
            <w:tcBorders>
              <w:top w:val="nil"/>
              <w:left w:val="nil"/>
              <w:bottom w:val="single" w:color="auto" w:sz="4" w:space="0"/>
              <w:right w:val="single" w:color="auto" w:sz="4" w:space="0"/>
            </w:tcBorders>
            <w:shd w:val="clear" w:color="auto" w:fill="auto"/>
            <w:noWrap/>
            <w:vAlign w:val="center"/>
          </w:tcPr>
          <w:p>
            <w:pPr>
              <w:widowControl/>
              <w:jc w:val="both"/>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年末财政拨款结转和结余</w:t>
            </w:r>
          </w:p>
        </w:tc>
        <w:tc>
          <w:tcPr>
            <w:tcW w:w="207"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60</w:t>
            </w:r>
          </w:p>
        </w:tc>
        <w:tc>
          <w:tcPr>
            <w:tcW w:w="1175"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513"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686"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gridAfter w:val="1"/>
          <w:wAfter w:w="52" w:type="pct"/>
          <w:trHeight w:val="312" w:hRule="atLeast"/>
        </w:trPr>
        <w:tc>
          <w:tcPr>
            <w:tcW w:w="1074" w:type="pct"/>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一般公共预算财政拨款</w:t>
            </w:r>
          </w:p>
        </w:tc>
        <w:tc>
          <w:tcPr>
            <w:tcW w:w="19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29</w:t>
            </w:r>
          </w:p>
        </w:tc>
        <w:tc>
          <w:tcPr>
            <w:tcW w:w="1150"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15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207"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61</w:t>
            </w:r>
          </w:p>
        </w:tc>
        <w:tc>
          <w:tcPr>
            <w:tcW w:w="1175"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513"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686"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gridAfter w:val="1"/>
          <w:wAfter w:w="52" w:type="pct"/>
          <w:trHeight w:val="312" w:hRule="atLeast"/>
        </w:trPr>
        <w:tc>
          <w:tcPr>
            <w:tcW w:w="1074" w:type="pct"/>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政府性基金预算财政拨款</w:t>
            </w:r>
          </w:p>
        </w:tc>
        <w:tc>
          <w:tcPr>
            <w:tcW w:w="19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30</w:t>
            </w:r>
          </w:p>
        </w:tc>
        <w:tc>
          <w:tcPr>
            <w:tcW w:w="1150"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15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207"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62</w:t>
            </w:r>
          </w:p>
        </w:tc>
        <w:tc>
          <w:tcPr>
            <w:tcW w:w="1175"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513"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686"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gridAfter w:val="1"/>
          <w:wAfter w:w="52" w:type="pct"/>
          <w:trHeight w:val="312" w:hRule="atLeast"/>
        </w:trPr>
        <w:tc>
          <w:tcPr>
            <w:tcW w:w="1074" w:type="pct"/>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国有资本经营预算财政拨款</w:t>
            </w:r>
          </w:p>
        </w:tc>
        <w:tc>
          <w:tcPr>
            <w:tcW w:w="19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31</w:t>
            </w:r>
          </w:p>
        </w:tc>
        <w:tc>
          <w:tcPr>
            <w:tcW w:w="1150"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15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207"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63</w:t>
            </w:r>
          </w:p>
        </w:tc>
        <w:tc>
          <w:tcPr>
            <w:tcW w:w="1175"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513"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kern w:val="0"/>
                <w:sz w:val="21"/>
                <w:szCs w:val="21"/>
                <w:highlight w:val="none"/>
              </w:rPr>
            </w:pP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c>
          <w:tcPr>
            <w:tcW w:w="1686"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gridAfter w:val="1"/>
          <w:wAfter w:w="52" w:type="pct"/>
          <w:trHeight w:val="312" w:hRule="atLeast"/>
        </w:trPr>
        <w:tc>
          <w:tcPr>
            <w:tcW w:w="1074"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b/>
                <w:bCs/>
                <w:kern w:val="0"/>
                <w:sz w:val="21"/>
                <w:szCs w:val="21"/>
                <w:highlight w:val="none"/>
              </w:rPr>
            </w:pPr>
            <w:r>
              <w:rPr>
                <w:rFonts w:hint="default" w:ascii="Times New Roman" w:hAnsi="Times New Roman" w:cs="Times New Roman" w:eastAsiaTheme="minorEastAsia"/>
                <w:b/>
                <w:bCs/>
                <w:kern w:val="0"/>
                <w:sz w:val="21"/>
                <w:szCs w:val="21"/>
                <w:highlight w:val="none"/>
              </w:rPr>
              <w:t>总计</w:t>
            </w:r>
          </w:p>
        </w:tc>
        <w:tc>
          <w:tcPr>
            <w:tcW w:w="19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32</w:t>
            </w:r>
          </w:p>
        </w:tc>
        <w:tc>
          <w:tcPr>
            <w:tcW w:w="11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b/>
                <w:bCs/>
                <w:i w:val="0"/>
                <w:iCs w:val="0"/>
                <w:color w:val="000000"/>
                <w:kern w:val="0"/>
                <w:sz w:val="21"/>
                <w:szCs w:val="21"/>
                <w:highlight w:val="none"/>
                <w:u w:val="none"/>
                <w:lang w:val="en-US" w:eastAsia="zh-CN" w:bidi="ar"/>
              </w:rPr>
              <w:t>963.67</w:t>
            </w:r>
          </w:p>
        </w:tc>
        <w:tc>
          <w:tcPr>
            <w:tcW w:w="115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b/>
                <w:bCs/>
                <w:kern w:val="0"/>
                <w:sz w:val="21"/>
                <w:szCs w:val="21"/>
                <w:highlight w:val="none"/>
              </w:rPr>
            </w:pPr>
            <w:r>
              <w:rPr>
                <w:rFonts w:hint="default" w:ascii="Times New Roman" w:hAnsi="Times New Roman" w:cs="Times New Roman" w:eastAsiaTheme="minorEastAsia"/>
                <w:b/>
                <w:bCs/>
                <w:kern w:val="0"/>
                <w:sz w:val="21"/>
                <w:szCs w:val="21"/>
                <w:highlight w:val="none"/>
              </w:rPr>
              <w:t>总计</w:t>
            </w:r>
          </w:p>
        </w:tc>
        <w:tc>
          <w:tcPr>
            <w:tcW w:w="207"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eastAsiaTheme="minorEastAsia"/>
                <w:kern w:val="0"/>
                <w:sz w:val="21"/>
                <w:szCs w:val="21"/>
                <w:highlight w:val="none"/>
                <w:lang w:val="en-US" w:eastAsia="zh-CN"/>
              </w:rPr>
              <w:t>64</w:t>
            </w:r>
          </w:p>
        </w:tc>
        <w:tc>
          <w:tcPr>
            <w:tcW w:w="117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kern w:val="0"/>
                <w:sz w:val="21"/>
                <w:szCs w:val="21"/>
                <w:highlight w:val="none"/>
              </w:rPr>
            </w:pPr>
            <w:r>
              <w:rPr>
                <w:rFonts w:hint="default" w:ascii="Times New Roman" w:hAnsi="Times New Roman" w:cs="Times New Roman" w:eastAsiaTheme="minorEastAsia"/>
                <w:b/>
                <w:bCs/>
                <w:i w:val="0"/>
                <w:iCs w:val="0"/>
                <w:color w:val="000000"/>
                <w:kern w:val="0"/>
                <w:sz w:val="21"/>
                <w:szCs w:val="21"/>
                <w:highlight w:val="none"/>
                <w:u w:val="none"/>
                <w:lang w:val="en-US" w:eastAsia="zh-CN" w:bidi="ar"/>
              </w:rPr>
              <w:t>963.67</w:t>
            </w:r>
          </w:p>
        </w:tc>
        <w:tc>
          <w:tcPr>
            <w:tcW w:w="151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kern w:val="0"/>
                <w:sz w:val="21"/>
                <w:szCs w:val="21"/>
                <w:highlight w:val="none"/>
                <w:lang w:val="en-US" w:eastAsia="zh-CN"/>
              </w:rPr>
            </w:pPr>
            <w:r>
              <w:rPr>
                <w:rFonts w:hint="default" w:ascii="Times New Roman" w:hAnsi="Times New Roman" w:cs="Times New Roman" w:eastAsiaTheme="minorEastAsia"/>
                <w:b/>
                <w:bCs/>
                <w:i w:val="0"/>
                <w:iCs w:val="0"/>
                <w:color w:val="000000"/>
                <w:kern w:val="0"/>
                <w:sz w:val="21"/>
                <w:szCs w:val="21"/>
                <w:highlight w:val="none"/>
                <w:u w:val="none"/>
                <w:lang w:val="en-US" w:eastAsia="zh-CN" w:bidi="ar"/>
              </w:rPr>
              <w:t>963.67</w:t>
            </w: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b/>
                <w:bCs/>
                <w:kern w:val="0"/>
                <w:sz w:val="21"/>
                <w:szCs w:val="21"/>
                <w:highlight w:val="none"/>
                <w:lang w:val="en-US" w:eastAsia="zh-CN"/>
              </w:rPr>
            </w:pPr>
          </w:p>
        </w:tc>
        <w:tc>
          <w:tcPr>
            <w:tcW w:w="1686"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b/>
                <w:bCs/>
                <w:kern w:val="0"/>
                <w:sz w:val="21"/>
                <w:szCs w:val="21"/>
                <w:highlight w:val="none"/>
                <w:lang w:val="en-US" w:eastAsia="zh-CN"/>
              </w:rPr>
            </w:pPr>
          </w:p>
        </w:tc>
      </w:tr>
      <w:tr>
        <w:tblPrEx>
          <w:tblCellMar>
            <w:top w:w="0" w:type="dxa"/>
            <w:left w:w="108" w:type="dxa"/>
            <w:bottom w:w="0" w:type="dxa"/>
            <w:right w:w="108" w:type="dxa"/>
          </w:tblCellMar>
        </w:tblPrEx>
        <w:trPr>
          <w:gridAfter w:val="1"/>
          <w:wAfter w:w="52" w:type="pct"/>
          <w:trHeight w:val="312" w:hRule="atLeast"/>
        </w:trPr>
        <w:tc>
          <w:tcPr>
            <w:tcW w:w="4947" w:type="pct"/>
            <w:gridSpan w:val="9"/>
            <w:tcBorders>
              <w:top w:val="nil"/>
              <w:left w:val="nil"/>
              <w:bottom w:val="nil"/>
              <w:right w:val="nil"/>
            </w:tcBorders>
            <w:shd w:val="clear" w:color="auto" w:fill="auto"/>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注：本表反映部门本年度一般公共预算财政拨款、政府性基金预算财政拨款和国有资本经营预算财政拨款的总收支和年末结转结余情况。</w:t>
            </w:r>
          </w:p>
        </w:tc>
      </w:tr>
    </w:tbl>
    <w:p>
      <w:pPr>
        <w:widowControl/>
        <w:jc w:val="center"/>
        <w:rPr>
          <w:rFonts w:cs="Times New Roman" w:asciiTheme="minorEastAsia" w:hAnsiTheme="minorEastAsia"/>
          <w:kern w:val="0"/>
          <w:sz w:val="36"/>
          <w:szCs w:val="36"/>
          <w:highlight w:val="none"/>
        </w:rPr>
      </w:pPr>
    </w:p>
    <w:p>
      <w:pPr>
        <w:widowControl/>
        <w:jc w:val="center"/>
        <w:rPr>
          <w:rFonts w:cs="Times New Roman" w:asciiTheme="minorEastAsia" w:hAnsiTheme="minorEastAsia"/>
          <w:kern w:val="0"/>
          <w:sz w:val="36"/>
          <w:szCs w:val="36"/>
          <w:highlight w:val="none"/>
        </w:rPr>
      </w:pPr>
    </w:p>
    <w:p>
      <w:pPr>
        <w:rPr>
          <w:rFonts w:cs="Times New Roman" w:asciiTheme="minorEastAsia" w:hAnsiTheme="minorEastAsia"/>
          <w:kern w:val="0"/>
          <w:sz w:val="36"/>
          <w:szCs w:val="36"/>
          <w:highlight w:val="none"/>
        </w:rPr>
      </w:pPr>
      <w:r>
        <w:rPr>
          <w:rFonts w:cs="Times New Roman" w:asciiTheme="minorEastAsia" w:hAnsiTheme="minorEastAsia"/>
          <w:kern w:val="0"/>
          <w:sz w:val="36"/>
          <w:szCs w:val="36"/>
          <w:highlight w:val="none"/>
        </w:rPr>
        <w:br w:type="page"/>
      </w:r>
    </w:p>
    <w:p>
      <w:pPr>
        <w:widowControl/>
        <w:jc w:val="center"/>
        <w:rPr>
          <w:rFonts w:cs="Times New Roman" w:asciiTheme="minorEastAsia" w:hAnsiTheme="minorEastAsia"/>
          <w:color w:val="000000"/>
          <w:kern w:val="0"/>
          <w:sz w:val="20"/>
          <w:szCs w:val="20"/>
          <w:highlight w:val="none"/>
        </w:rPr>
      </w:pPr>
      <w:r>
        <w:rPr>
          <w:rFonts w:cs="Times New Roman" w:asciiTheme="minorEastAsia" w:hAnsiTheme="minorEastAsia"/>
          <w:kern w:val="0"/>
          <w:sz w:val="32"/>
          <w:szCs w:val="32"/>
          <w:highlight w:val="none"/>
        </w:rPr>
        <w:t>一般公共预算财政拨款支出决算表</w:t>
      </w:r>
      <w:bookmarkEnd w:id="1"/>
      <w:r>
        <w:rPr>
          <w:rFonts w:cs="Times New Roman" w:asciiTheme="minorEastAsia" w:hAnsiTheme="minorEastAsia"/>
          <w:color w:val="000000"/>
          <w:kern w:val="0"/>
          <w:sz w:val="20"/>
          <w:szCs w:val="20"/>
          <w:highlight w:val="none"/>
        </w:rPr>
        <w:t xml:space="preserve">                     </w:t>
      </w:r>
      <w:r>
        <w:rPr>
          <w:rFonts w:hint="eastAsia" w:cs="Times New Roman" w:asciiTheme="minorEastAsia" w:hAnsiTheme="minorEastAsia"/>
          <w:color w:val="000000"/>
          <w:kern w:val="0"/>
          <w:sz w:val="20"/>
          <w:szCs w:val="20"/>
          <w:highlight w:val="none"/>
        </w:rPr>
        <w:t xml:space="preserve">                                          </w:t>
      </w:r>
      <w:r>
        <w:rPr>
          <w:rFonts w:cs="Times New Roman" w:asciiTheme="minorEastAsia" w:hAnsiTheme="minorEastAsia"/>
          <w:color w:val="000000"/>
          <w:kern w:val="0"/>
          <w:sz w:val="20"/>
          <w:szCs w:val="20"/>
          <w:highlight w:val="none"/>
        </w:rPr>
        <w:t xml:space="preserve">                                                </w:t>
      </w:r>
      <w:r>
        <w:rPr>
          <w:rFonts w:hint="eastAsia" w:cs="Times New Roman" w:asciiTheme="minorEastAsia" w:hAnsiTheme="minorEastAsia"/>
          <w:color w:val="000000"/>
          <w:kern w:val="0"/>
          <w:sz w:val="20"/>
          <w:szCs w:val="20"/>
          <w:highlight w:val="none"/>
          <w:lang w:val="en-US" w:eastAsia="zh-CN"/>
        </w:rPr>
        <w:t xml:space="preserve">         </w:t>
      </w:r>
      <w:r>
        <w:rPr>
          <w:rFonts w:cs="Times New Roman" w:asciiTheme="minorEastAsia" w:hAnsiTheme="minorEastAsia"/>
          <w:color w:val="000000"/>
          <w:kern w:val="0"/>
          <w:sz w:val="20"/>
          <w:szCs w:val="20"/>
          <w:highlight w:val="none"/>
        </w:rPr>
        <w:t xml:space="preserve">                                                                                                                   </w:t>
      </w:r>
      <w:r>
        <w:rPr>
          <w:rFonts w:hint="eastAsia" w:cs="Times New Roman" w:asciiTheme="minorEastAsia" w:hAnsiTheme="minorEastAsia"/>
          <w:color w:val="000000"/>
          <w:kern w:val="0"/>
          <w:sz w:val="20"/>
          <w:szCs w:val="20"/>
          <w:highlight w:val="none"/>
        </w:rPr>
        <w:t xml:space="preserve">      </w:t>
      </w:r>
      <w:r>
        <w:rPr>
          <w:rFonts w:cs="Times New Roman" w:asciiTheme="minorEastAsia" w:hAnsiTheme="minorEastAsia"/>
          <w:color w:val="000000"/>
          <w:kern w:val="0"/>
          <w:sz w:val="20"/>
          <w:szCs w:val="20"/>
          <w:highlight w:val="none"/>
        </w:rPr>
        <w:t xml:space="preserve">       </w:t>
      </w:r>
      <w:r>
        <w:rPr>
          <w:rFonts w:hint="eastAsia" w:cs="Times New Roman" w:asciiTheme="minorEastAsia" w:hAnsiTheme="minorEastAsia"/>
          <w:color w:val="000000"/>
          <w:kern w:val="0"/>
          <w:sz w:val="20"/>
          <w:szCs w:val="20"/>
          <w:highlight w:val="none"/>
          <w:lang w:val="en-US" w:eastAsia="zh-CN"/>
        </w:rPr>
        <w:t xml:space="preserve">        </w:t>
      </w:r>
    </w:p>
    <w:tbl>
      <w:tblPr>
        <w:tblStyle w:val="9"/>
        <w:tblW w:w="5000" w:type="pct"/>
        <w:jc w:val="center"/>
        <w:tblLayout w:type="fixed"/>
        <w:tblCellMar>
          <w:top w:w="0" w:type="dxa"/>
          <w:left w:w="108" w:type="dxa"/>
          <w:bottom w:w="0" w:type="dxa"/>
          <w:right w:w="108" w:type="dxa"/>
        </w:tblCellMar>
      </w:tblPr>
      <w:tblGrid>
        <w:gridCol w:w="74"/>
        <w:gridCol w:w="1014"/>
        <w:gridCol w:w="97"/>
        <w:gridCol w:w="3328"/>
        <w:gridCol w:w="977"/>
        <w:gridCol w:w="274"/>
        <w:gridCol w:w="866"/>
        <w:gridCol w:w="2073"/>
        <w:gridCol w:w="1062"/>
        <w:gridCol w:w="1125"/>
        <w:gridCol w:w="1313"/>
        <w:gridCol w:w="2485"/>
        <w:gridCol w:w="835"/>
        <w:gridCol w:w="91"/>
      </w:tblGrid>
      <w:tr>
        <w:tblPrEx>
          <w:tblCellMar>
            <w:top w:w="0" w:type="dxa"/>
            <w:left w:w="108" w:type="dxa"/>
            <w:bottom w:w="0" w:type="dxa"/>
            <w:right w:w="108" w:type="dxa"/>
          </w:tblCellMar>
        </w:tblPrEx>
        <w:trPr>
          <w:gridBefore w:val="1"/>
          <w:gridAfter w:val="1"/>
          <w:wBefore w:w="23" w:type="pct"/>
          <w:wAfter w:w="29" w:type="pct"/>
          <w:trHeight w:val="405" w:hRule="atLeast"/>
          <w:jc w:val="center"/>
        </w:trPr>
        <w:tc>
          <w:tcPr>
            <w:tcW w:w="1822" w:type="pct"/>
            <w:gridSpan w:val="5"/>
            <w:tcBorders>
              <w:top w:val="nil"/>
              <w:left w:val="nil"/>
              <w:bottom w:val="nil"/>
              <w:right w:val="nil"/>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highlight w:val="none"/>
              </w:rPr>
            </w:pPr>
          </w:p>
        </w:tc>
        <w:tc>
          <w:tcPr>
            <w:tcW w:w="3125" w:type="pct"/>
            <w:gridSpan w:val="7"/>
            <w:tcBorders>
              <w:top w:val="nil"/>
              <w:left w:val="nil"/>
              <w:bottom w:val="nil"/>
              <w:right w:val="nil"/>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公开05表</w:t>
            </w:r>
          </w:p>
        </w:tc>
      </w:tr>
      <w:tr>
        <w:tblPrEx>
          <w:tblCellMar>
            <w:top w:w="0" w:type="dxa"/>
            <w:left w:w="108" w:type="dxa"/>
            <w:bottom w:w="0" w:type="dxa"/>
            <w:right w:w="108" w:type="dxa"/>
          </w:tblCellMar>
        </w:tblPrEx>
        <w:trPr>
          <w:gridBefore w:val="1"/>
          <w:gridAfter w:val="1"/>
          <w:wBefore w:w="23" w:type="pct"/>
          <w:wAfter w:w="29" w:type="pct"/>
          <w:trHeight w:val="405" w:hRule="atLeast"/>
          <w:jc w:val="center"/>
        </w:trPr>
        <w:tc>
          <w:tcPr>
            <w:tcW w:w="1822" w:type="pct"/>
            <w:gridSpan w:val="5"/>
            <w:tcBorders>
              <w:top w:val="nil"/>
              <w:left w:val="nil"/>
              <w:bottom w:val="single" w:color="auto" w:sz="4" w:space="0"/>
              <w:right w:val="nil"/>
            </w:tcBorders>
            <w:shd w:val="clear" w:color="auto" w:fill="auto"/>
            <w:vAlign w:val="center"/>
          </w:tcPr>
          <w:p>
            <w:pPr>
              <w:widowControl/>
              <w:jc w:val="left"/>
              <w:rPr>
                <w:rFonts w:hint="default" w:ascii="Times New Roman" w:hAnsi="Times New Roman" w:cs="Times New Roman" w:eastAsiaTheme="minorEastAsia"/>
                <w:b/>
                <w:kern w:val="0"/>
                <w:sz w:val="21"/>
                <w:szCs w:val="21"/>
                <w:highlight w:val="none"/>
              </w:rPr>
            </w:pPr>
            <w:r>
              <w:rPr>
                <w:rFonts w:hint="default" w:ascii="Times New Roman" w:hAnsi="Times New Roman" w:cs="Times New Roman" w:eastAsiaTheme="minorEastAsia"/>
                <w:color w:val="000000"/>
                <w:kern w:val="0"/>
                <w:sz w:val="21"/>
                <w:szCs w:val="21"/>
                <w:highlight w:val="none"/>
              </w:rPr>
              <w:t>部门：</w:t>
            </w:r>
            <w:r>
              <w:rPr>
                <w:rFonts w:hint="default" w:ascii="Times New Roman" w:hAnsi="Times New Roman" w:cs="Times New Roman" w:eastAsiaTheme="minorEastAsia"/>
                <w:color w:val="000000"/>
                <w:kern w:val="0"/>
                <w:sz w:val="21"/>
                <w:szCs w:val="21"/>
                <w:highlight w:val="none"/>
                <w:lang w:eastAsia="zh-CN"/>
              </w:rPr>
              <w:t>中共祁阳市委政法委员会</w:t>
            </w:r>
            <w:r>
              <w:rPr>
                <w:rFonts w:hint="default" w:ascii="Times New Roman" w:hAnsi="Times New Roman" w:cs="Times New Roman" w:eastAsiaTheme="minorEastAsia"/>
                <w:sz w:val="21"/>
                <w:szCs w:val="21"/>
                <w:highlight w:val="none"/>
              </w:rPr>
              <w:t>　</w:t>
            </w:r>
          </w:p>
        </w:tc>
        <w:tc>
          <w:tcPr>
            <w:tcW w:w="3125" w:type="pct"/>
            <w:gridSpan w:val="7"/>
            <w:tcBorders>
              <w:top w:val="nil"/>
              <w:left w:val="nil"/>
              <w:bottom w:val="single" w:color="auto" w:sz="4" w:space="0"/>
              <w:right w:val="nil"/>
            </w:tcBorders>
            <w:shd w:val="clear" w:color="auto" w:fill="auto"/>
            <w:vAlign w:val="center"/>
          </w:tcPr>
          <w:p>
            <w:pPr>
              <w:widowControl/>
              <w:jc w:val="right"/>
              <w:rPr>
                <w:rFonts w:hint="default" w:ascii="Times New Roman" w:hAnsi="Times New Roman" w:cs="Times New Roman" w:eastAsiaTheme="minorEastAsia"/>
                <w:b/>
                <w:kern w:val="0"/>
                <w:sz w:val="21"/>
                <w:szCs w:val="21"/>
                <w:highlight w:val="none"/>
              </w:rPr>
            </w:pPr>
            <w:r>
              <w:rPr>
                <w:rFonts w:hint="default" w:ascii="Times New Roman" w:hAnsi="Times New Roman" w:cs="Times New Roman" w:eastAsiaTheme="minorEastAsia"/>
                <w:color w:val="000000"/>
                <w:kern w:val="0"/>
                <w:sz w:val="21"/>
                <w:szCs w:val="21"/>
                <w:highlight w:val="none"/>
              </w:rPr>
              <w:t>单位：万元</w:t>
            </w:r>
          </w:p>
        </w:tc>
      </w:tr>
      <w:tr>
        <w:tblPrEx>
          <w:tblCellMar>
            <w:top w:w="0" w:type="dxa"/>
            <w:left w:w="108" w:type="dxa"/>
            <w:bottom w:w="0" w:type="dxa"/>
            <w:right w:w="108" w:type="dxa"/>
          </w:tblCellMar>
        </w:tblPrEx>
        <w:trPr>
          <w:gridBefore w:val="1"/>
          <w:gridAfter w:val="1"/>
          <w:wBefore w:w="23" w:type="pct"/>
          <w:wAfter w:w="29" w:type="pct"/>
          <w:trHeight w:val="305" w:hRule="atLeast"/>
          <w:jc w:val="center"/>
        </w:trPr>
        <w:tc>
          <w:tcPr>
            <w:tcW w:w="1822"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val="0"/>
                <w:bCs/>
                <w:kern w:val="0"/>
                <w:sz w:val="21"/>
                <w:szCs w:val="21"/>
                <w:highlight w:val="none"/>
              </w:rPr>
            </w:pPr>
            <w:r>
              <w:rPr>
                <w:rFonts w:hint="default" w:ascii="Times New Roman" w:hAnsi="Times New Roman" w:cs="Times New Roman" w:eastAsiaTheme="minorEastAsia"/>
                <w:b w:val="0"/>
                <w:bCs/>
                <w:kern w:val="0"/>
                <w:sz w:val="21"/>
                <w:szCs w:val="21"/>
                <w:highlight w:val="none"/>
              </w:rPr>
              <w:t xml:space="preserve">项 </w:t>
            </w:r>
            <w:r>
              <w:rPr>
                <w:rFonts w:hint="default" w:ascii="Times New Roman" w:hAnsi="Times New Roman" w:cs="Times New Roman" w:eastAsiaTheme="minorEastAsia"/>
                <w:b w:val="0"/>
                <w:bCs/>
                <w:color w:val="000000"/>
                <w:kern w:val="0"/>
                <w:sz w:val="21"/>
                <w:szCs w:val="21"/>
                <w:highlight w:val="none"/>
              </w:rPr>
              <w:t xml:space="preserve">   </w:t>
            </w:r>
            <w:r>
              <w:rPr>
                <w:rFonts w:hint="default" w:ascii="Times New Roman" w:hAnsi="Times New Roman" w:cs="Times New Roman" w:eastAsiaTheme="minorEastAsia"/>
                <w:b w:val="0"/>
                <w:bCs/>
                <w:kern w:val="0"/>
                <w:sz w:val="21"/>
                <w:szCs w:val="21"/>
                <w:highlight w:val="none"/>
              </w:rPr>
              <w:t>目</w:t>
            </w:r>
          </w:p>
        </w:tc>
        <w:tc>
          <w:tcPr>
            <w:tcW w:w="3125"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val="0"/>
                <w:bCs/>
                <w:kern w:val="0"/>
                <w:sz w:val="21"/>
                <w:szCs w:val="21"/>
                <w:highlight w:val="none"/>
              </w:rPr>
            </w:pPr>
            <w:r>
              <w:rPr>
                <w:rFonts w:hint="default" w:ascii="Times New Roman" w:hAnsi="Times New Roman" w:cs="Times New Roman" w:eastAsiaTheme="minorEastAsia"/>
                <w:b w:val="0"/>
                <w:bCs/>
                <w:kern w:val="0"/>
                <w:sz w:val="21"/>
                <w:szCs w:val="21"/>
                <w:highlight w:val="none"/>
              </w:rPr>
              <w:t>本年支出</w:t>
            </w:r>
          </w:p>
        </w:tc>
      </w:tr>
      <w:tr>
        <w:tblPrEx>
          <w:tblCellMar>
            <w:top w:w="0" w:type="dxa"/>
            <w:left w:w="108" w:type="dxa"/>
            <w:bottom w:w="0" w:type="dxa"/>
            <w:right w:w="108" w:type="dxa"/>
          </w:tblCellMar>
        </w:tblPrEx>
        <w:trPr>
          <w:gridBefore w:val="1"/>
          <w:gridAfter w:val="1"/>
          <w:wBefore w:w="23" w:type="pct"/>
          <w:wAfter w:w="29" w:type="pct"/>
          <w:trHeight w:val="495" w:hRule="atLeast"/>
          <w:jc w:val="center"/>
        </w:trPr>
        <w:tc>
          <w:tcPr>
            <w:tcW w:w="355" w:type="pct"/>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val="0"/>
                <w:bCs/>
                <w:kern w:val="0"/>
                <w:sz w:val="21"/>
                <w:szCs w:val="21"/>
                <w:highlight w:val="none"/>
              </w:rPr>
            </w:pPr>
            <w:r>
              <w:rPr>
                <w:rFonts w:hint="default" w:ascii="Times New Roman" w:hAnsi="Times New Roman" w:cs="Times New Roman" w:eastAsiaTheme="minorEastAsia"/>
                <w:b w:val="0"/>
                <w:bCs/>
                <w:kern w:val="0"/>
                <w:sz w:val="21"/>
                <w:szCs w:val="21"/>
                <w:highlight w:val="none"/>
              </w:rPr>
              <w:t>功能分类科目编码</w:t>
            </w:r>
          </w:p>
        </w:tc>
        <w:tc>
          <w:tcPr>
            <w:tcW w:w="1466"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val="0"/>
                <w:bCs/>
                <w:kern w:val="0"/>
                <w:sz w:val="21"/>
                <w:szCs w:val="21"/>
                <w:highlight w:val="none"/>
              </w:rPr>
            </w:pPr>
            <w:r>
              <w:rPr>
                <w:rFonts w:hint="default" w:ascii="Times New Roman" w:hAnsi="Times New Roman" w:cs="Times New Roman" w:eastAsiaTheme="minorEastAsia"/>
                <w:b w:val="0"/>
                <w:bCs/>
                <w:kern w:val="0"/>
                <w:sz w:val="21"/>
                <w:szCs w:val="21"/>
                <w:highlight w:val="none"/>
              </w:rPr>
              <w:t>科目名称</w:t>
            </w:r>
          </w:p>
        </w:tc>
        <w:tc>
          <w:tcPr>
            <w:tcW w:w="941"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val="0"/>
                <w:bCs/>
                <w:kern w:val="0"/>
                <w:sz w:val="21"/>
                <w:szCs w:val="21"/>
                <w:highlight w:val="none"/>
              </w:rPr>
            </w:pPr>
            <w:r>
              <w:rPr>
                <w:rFonts w:hint="default" w:ascii="Times New Roman" w:hAnsi="Times New Roman" w:cs="Times New Roman" w:eastAsiaTheme="minorEastAsia"/>
                <w:b w:val="0"/>
                <w:bCs/>
                <w:kern w:val="0"/>
                <w:sz w:val="21"/>
                <w:szCs w:val="21"/>
                <w:highlight w:val="none"/>
              </w:rPr>
              <w:t>小计</w:t>
            </w:r>
          </w:p>
        </w:tc>
        <w:tc>
          <w:tcPr>
            <w:tcW w:w="1120"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val="0"/>
                <w:bCs/>
                <w:kern w:val="0"/>
                <w:sz w:val="21"/>
                <w:szCs w:val="21"/>
                <w:highlight w:val="none"/>
              </w:rPr>
            </w:pPr>
            <w:r>
              <w:rPr>
                <w:rFonts w:hint="default" w:ascii="Times New Roman" w:hAnsi="Times New Roman" w:cs="Times New Roman" w:eastAsiaTheme="minorEastAsia"/>
                <w:b w:val="0"/>
                <w:bCs/>
                <w:kern w:val="0"/>
                <w:sz w:val="21"/>
                <w:szCs w:val="21"/>
                <w:highlight w:val="none"/>
              </w:rPr>
              <w:t>基本支出</w:t>
            </w:r>
          </w:p>
        </w:tc>
        <w:tc>
          <w:tcPr>
            <w:tcW w:w="1063" w:type="pct"/>
            <w:gridSpan w:val="2"/>
            <w:vMerge w:val="restart"/>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center"/>
              <w:rPr>
                <w:rFonts w:hint="default" w:ascii="Times New Roman" w:hAnsi="Times New Roman" w:cs="Times New Roman" w:eastAsiaTheme="minorEastAsia"/>
                <w:b w:val="0"/>
                <w:bCs/>
                <w:kern w:val="0"/>
                <w:sz w:val="21"/>
                <w:szCs w:val="21"/>
                <w:highlight w:val="none"/>
              </w:rPr>
            </w:pPr>
            <w:r>
              <w:rPr>
                <w:rFonts w:hint="default" w:ascii="Times New Roman" w:hAnsi="Times New Roman" w:cs="Times New Roman" w:eastAsiaTheme="minorEastAsia"/>
                <w:b w:val="0"/>
                <w:bCs/>
                <w:kern w:val="0"/>
                <w:sz w:val="21"/>
                <w:szCs w:val="21"/>
                <w:highlight w:val="none"/>
              </w:rPr>
              <w:t>项目支出</w:t>
            </w:r>
          </w:p>
        </w:tc>
      </w:tr>
      <w:tr>
        <w:tblPrEx>
          <w:tblCellMar>
            <w:top w:w="0" w:type="dxa"/>
            <w:left w:w="108" w:type="dxa"/>
            <w:bottom w:w="0" w:type="dxa"/>
            <w:right w:w="108" w:type="dxa"/>
          </w:tblCellMar>
        </w:tblPrEx>
        <w:trPr>
          <w:gridBefore w:val="1"/>
          <w:gridAfter w:val="1"/>
          <w:wBefore w:w="23" w:type="pct"/>
          <w:wAfter w:w="29" w:type="pct"/>
          <w:trHeight w:val="360" w:hRule="atLeast"/>
          <w:jc w:val="center"/>
        </w:trPr>
        <w:tc>
          <w:tcPr>
            <w:tcW w:w="355" w:type="pct"/>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highlight w:val="none"/>
              </w:rPr>
            </w:pPr>
          </w:p>
        </w:tc>
        <w:tc>
          <w:tcPr>
            <w:tcW w:w="1466"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highlight w:val="none"/>
              </w:rPr>
            </w:pPr>
          </w:p>
        </w:tc>
        <w:tc>
          <w:tcPr>
            <w:tcW w:w="941"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highlight w:val="none"/>
              </w:rPr>
            </w:pPr>
          </w:p>
        </w:tc>
        <w:tc>
          <w:tcPr>
            <w:tcW w:w="1120"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highlight w:val="none"/>
              </w:rPr>
            </w:pPr>
          </w:p>
        </w:tc>
        <w:tc>
          <w:tcPr>
            <w:tcW w:w="1063" w:type="pct"/>
            <w:gridSpan w:val="2"/>
            <w:vMerge w:val="continue"/>
            <w:tcBorders>
              <w:top w:val="single" w:color="auto" w:sz="4" w:space="0"/>
              <w:left w:val="single" w:color="auto" w:sz="4" w:space="0"/>
              <w:bottom w:val="single" w:color="auto" w:sz="4" w:space="0"/>
              <w:right w:val="single" w:color="auto" w:sz="8" w:space="0"/>
            </w:tcBorders>
            <w:vAlign w:val="center"/>
          </w:tcPr>
          <w:p>
            <w:pPr>
              <w:widowControl/>
              <w:jc w:val="lef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gridBefore w:val="1"/>
          <w:gridAfter w:val="1"/>
          <w:wBefore w:w="23" w:type="pct"/>
          <w:wAfter w:w="29" w:type="pct"/>
          <w:trHeight w:val="312" w:hRule="atLeast"/>
          <w:jc w:val="center"/>
        </w:trPr>
        <w:tc>
          <w:tcPr>
            <w:tcW w:w="355" w:type="pct"/>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highlight w:val="none"/>
              </w:rPr>
            </w:pPr>
          </w:p>
        </w:tc>
        <w:tc>
          <w:tcPr>
            <w:tcW w:w="1466"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highlight w:val="none"/>
              </w:rPr>
            </w:pPr>
          </w:p>
        </w:tc>
        <w:tc>
          <w:tcPr>
            <w:tcW w:w="941"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highlight w:val="none"/>
              </w:rPr>
            </w:pPr>
          </w:p>
        </w:tc>
        <w:tc>
          <w:tcPr>
            <w:tcW w:w="1120"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highlight w:val="none"/>
              </w:rPr>
            </w:pPr>
          </w:p>
        </w:tc>
        <w:tc>
          <w:tcPr>
            <w:tcW w:w="1063" w:type="pct"/>
            <w:gridSpan w:val="2"/>
            <w:vMerge w:val="continue"/>
            <w:tcBorders>
              <w:top w:val="single" w:color="auto" w:sz="4" w:space="0"/>
              <w:left w:val="single" w:color="auto" w:sz="4" w:space="0"/>
              <w:bottom w:val="single" w:color="auto" w:sz="4" w:space="0"/>
              <w:right w:val="single" w:color="auto" w:sz="8" w:space="0"/>
            </w:tcBorders>
            <w:vAlign w:val="center"/>
          </w:tcPr>
          <w:p>
            <w:pPr>
              <w:widowControl/>
              <w:jc w:val="lef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gridBefore w:val="1"/>
          <w:gridAfter w:val="1"/>
          <w:wBefore w:w="23" w:type="pct"/>
          <w:wAfter w:w="29" w:type="pct"/>
          <w:trHeight w:val="327" w:hRule="atLeast"/>
          <w:jc w:val="center"/>
        </w:trPr>
        <w:tc>
          <w:tcPr>
            <w:tcW w:w="1822" w:type="pct"/>
            <w:gridSpan w:val="5"/>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栏次</w:t>
            </w:r>
          </w:p>
        </w:tc>
        <w:tc>
          <w:tcPr>
            <w:tcW w:w="941"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1</w:t>
            </w:r>
          </w:p>
        </w:tc>
        <w:tc>
          <w:tcPr>
            <w:tcW w:w="1120"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2</w:t>
            </w:r>
          </w:p>
        </w:tc>
        <w:tc>
          <w:tcPr>
            <w:tcW w:w="1063" w:type="pct"/>
            <w:gridSpan w:val="2"/>
            <w:tcBorders>
              <w:top w:val="single" w:color="auto" w:sz="4" w:space="0"/>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3</w:t>
            </w:r>
          </w:p>
        </w:tc>
      </w:tr>
      <w:tr>
        <w:tblPrEx>
          <w:tblCellMar>
            <w:top w:w="0" w:type="dxa"/>
            <w:left w:w="108" w:type="dxa"/>
            <w:bottom w:w="0" w:type="dxa"/>
            <w:right w:w="108" w:type="dxa"/>
          </w:tblCellMar>
        </w:tblPrEx>
        <w:trPr>
          <w:gridBefore w:val="1"/>
          <w:gridAfter w:val="1"/>
          <w:wBefore w:w="23" w:type="pct"/>
          <w:wAfter w:w="29" w:type="pct"/>
          <w:trHeight w:val="327" w:hRule="atLeast"/>
          <w:jc w:val="center"/>
        </w:trPr>
        <w:tc>
          <w:tcPr>
            <w:tcW w:w="1822" w:type="pct"/>
            <w:gridSpan w:val="5"/>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合计</w:t>
            </w:r>
          </w:p>
        </w:tc>
        <w:tc>
          <w:tcPr>
            <w:tcW w:w="941" w:type="pct"/>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bCs/>
                <w:kern w:val="0"/>
                <w:sz w:val="21"/>
                <w:szCs w:val="21"/>
                <w:highlight w:val="none"/>
                <w:lang w:val="en-US" w:eastAsia="zh-CN" w:bidi="ar-SA"/>
              </w:rPr>
            </w:pPr>
            <w:r>
              <w:rPr>
                <w:rFonts w:hint="default" w:ascii="Times New Roman" w:hAnsi="Times New Roman" w:cs="Times New Roman" w:eastAsiaTheme="minorEastAsia"/>
                <w:b/>
                <w:bCs/>
                <w:i w:val="0"/>
                <w:iCs w:val="0"/>
                <w:color w:val="000000"/>
                <w:kern w:val="0"/>
                <w:sz w:val="21"/>
                <w:szCs w:val="21"/>
                <w:highlight w:val="none"/>
                <w:u w:val="none"/>
                <w:lang w:val="en-US" w:eastAsia="zh-CN" w:bidi="ar"/>
              </w:rPr>
              <w:t>963.67</w:t>
            </w:r>
          </w:p>
        </w:tc>
        <w:tc>
          <w:tcPr>
            <w:tcW w:w="1120" w:type="pct"/>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bCs/>
                <w:kern w:val="0"/>
                <w:sz w:val="21"/>
                <w:szCs w:val="21"/>
                <w:highlight w:val="none"/>
                <w:lang w:val="en-US" w:eastAsia="zh-CN" w:bidi="ar-SA"/>
              </w:rPr>
            </w:pPr>
            <w:r>
              <w:rPr>
                <w:rFonts w:hint="default" w:ascii="Times New Roman" w:hAnsi="Times New Roman" w:cs="Times New Roman" w:eastAsiaTheme="minorEastAsia"/>
                <w:b/>
                <w:bCs/>
                <w:i w:val="0"/>
                <w:iCs w:val="0"/>
                <w:color w:val="000000"/>
                <w:kern w:val="0"/>
                <w:sz w:val="21"/>
                <w:szCs w:val="21"/>
                <w:highlight w:val="none"/>
                <w:u w:val="none"/>
                <w:lang w:val="en-US" w:eastAsia="zh-CN" w:bidi="ar"/>
              </w:rPr>
              <w:t>508.17</w:t>
            </w:r>
          </w:p>
        </w:tc>
        <w:tc>
          <w:tcPr>
            <w:tcW w:w="1063" w:type="pct"/>
            <w:gridSpan w:val="2"/>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bCs/>
                <w:kern w:val="0"/>
                <w:sz w:val="21"/>
                <w:szCs w:val="21"/>
                <w:highlight w:val="none"/>
                <w:lang w:val="en-US" w:eastAsia="zh-CN" w:bidi="ar-SA"/>
              </w:rPr>
            </w:pPr>
            <w:r>
              <w:rPr>
                <w:rFonts w:hint="default" w:ascii="Times New Roman" w:hAnsi="Times New Roman" w:cs="Times New Roman" w:eastAsiaTheme="minorEastAsia"/>
                <w:b/>
                <w:bCs/>
                <w:i w:val="0"/>
                <w:iCs w:val="0"/>
                <w:color w:val="000000"/>
                <w:kern w:val="0"/>
                <w:sz w:val="21"/>
                <w:szCs w:val="21"/>
                <w:highlight w:val="none"/>
                <w:u w:val="none"/>
                <w:lang w:val="en-US" w:eastAsia="zh-CN" w:bidi="ar"/>
              </w:rPr>
              <w:t>455.50</w:t>
            </w:r>
          </w:p>
        </w:tc>
      </w:tr>
      <w:tr>
        <w:tblPrEx>
          <w:tblCellMar>
            <w:top w:w="0" w:type="dxa"/>
            <w:left w:w="108" w:type="dxa"/>
            <w:bottom w:w="0" w:type="dxa"/>
            <w:right w:w="108" w:type="dxa"/>
          </w:tblCellMar>
        </w:tblPrEx>
        <w:trPr>
          <w:gridBefore w:val="1"/>
          <w:gridAfter w:val="1"/>
          <w:wBefore w:w="23" w:type="pct"/>
          <w:wAfter w:w="29" w:type="pct"/>
          <w:trHeight w:val="327" w:hRule="atLeast"/>
          <w:jc w:val="center"/>
        </w:trPr>
        <w:tc>
          <w:tcPr>
            <w:tcW w:w="355" w:type="pct"/>
            <w:gridSpan w:val="2"/>
            <w:tcBorders>
              <w:top w:val="single" w:color="auto" w:sz="4" w:space="0"/>
              <w:left w:val="single" w:color="auto" w:sz="8" w:space="0"/>
              <w:bottom w:val="single" w:color="auto" w:sz="4" w:space="0"/>
              <w:right w:val="single" w:color="auto" w:sz="4" w:space="0"/>
            </w:tcBorders>
            <w:shd w:val="clear" w:color="auto" w:fill="auto"/>
            <w:vAlign w:val="top"/>
          </w:tcPr>
          <w:p>
            <w:pPr>
              <w:jc w:val="both"/>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201</w:t>
            </w:r>
          </w:p>
        </w:tc>
        <w:tc>
          <w:tcPr>
            <w:tcW w:w="1466" w:type="pct"/>
            <w:gridSpan w:val="3"/>
            <w:tcBorders>
              <w:top w:val="nil"/>
              <w:left w:val="nil"/>
              <w:bottom w:val="single" w:color="auto" w:sz="4" w:space="0"/>
              <w:right w:val="single" w:color="auto" w:sz="4" w:space="0"/>
            </w:tcBorders>
            <w:shd w:val="clear" w:color="auto" w:fill="auto"/>
            <w:vAlign w:val="top"/>
          </w:tcPr>
          <w:p>
            <w:pPr>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一般公共服务支出</w:t>
            </w:r>
          </w:p>
        </w:tc>
        <w:tc>
          <w:tcPr>
            <w:tcW w:w="941" w:type="pct"/>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905.94</w:t>
            </w:r>
          </w:p>
        </w:tc>
        <w:tc>
          <w:tcPr>
            <w:tcW w:w="1120" w:type="pct"/>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450.44</w:t>
            </w:r>
          </w:p>
        </w:tc>
        <w:tc>
          <w:tcPr>
            <w:tcW w:w="1063" w:type="pct"/>
            <w:gridSpan w:val="2"/>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455.50</w:t>
            </w:r>
          </w:p>
        </w:tc>
      </w:tr>
      <w:tr>
        <w:tblPrEx>
          <w:tblCellMar>
            <w:top w:w="0" w:type="dxa"/>
            <w:left w:w="108" w:type="dxa"/>
            <w:bottom w:w="0" w:type="dxa"/>
            <w:right w:w="108" w:type="dxa"/>
          </w:tblCellMar>
        </w:tblPrEx>
        <w:trPr>
          <w:gridBefore w:val="1"/>
          <w:gridAfter w:val="1"/>
          <w:wBefore w:w="23" w:type="pct"/>
          <w:wAfter w:w="29" w:type="pct"/>
          <w:trHeight w:val="327" w:hRule="atLeast"/>
          <w:jc w:val="center"/>
        </w:trPr>
        <w:tc>
          <w:tcPr>
            <w:tcW w:w="355" w:type="pct"/>
            <w:gridSpan w:val="2"/>
            <w:tcBorders>
              <w:top w:val="single" w:color="auto" w:sz="4" w:space="0"/>
              <w:left w:val="single" w:color="auto" w:sz="8" w:space="0"/>
              <w:bottom w:val="single" w:color="auto" w:sz="4" w:space="0"/>
              <w:right w:val="single" w:color="auto" w:sz="4" w:space="0"/>
            </w:tcBorders>
            <w:shd w:val="clear" w:color="auto" w:fill="auto"/>
            <w:vAlign w:val="top"/>
          </w:tcPr>
          <w:p>
            <w:pPr>
              <w:jc w:val="both"/>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20128</w:t>
            </w:r>
          </w:p>
        </w:tc>
        <w:tc>
          <w:tcPr>
            <w:tcW w:w="1466" w:type="pct"/>
            <w:gridSpan w:val="3"/>
            <w:tcBorders>
              <w:top w:val="nil"/>
              <w:left w:val="nil"/>
              <w:bottom w:val="single" w:color="auto" w:sz="4" w:space="0"/>
              <w:right w:val="single" w:color="auto" w:sz="4" w:space="0"/>
            </w:tcBorders>
            <w:shd w:val="clear" w:color="auto" w:fill="auto"/>
            <w:vAlign w:val="top"/>
          </w:tcPr>
          <w:p>
            <w:pPr>
              <w:ind w:firstLine="210" w:firstLineChars="100"/>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民主党派及工商联事务</w:t>
            </w:r>
          </w:p>
        </w:tc>
        <w:tc>
          <w:tcPr>
            <w:tcW w:w="941" w:type="pct"/>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10.00</w:t>
            </w:r>
          </w:p>
        </w:tc>
        <w:tc>
          <w:tcPr>
            <w:tcW w:w="1120" w:type="pct"/>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10.00</w:t>
            </w:r>
          </w:p>
        </w:tc>
        <w:tc>
          <w:tcPr>
            <w:tcW w:w="1063" w:type="pct"/>
            <w:gridSpan w:val="2"/>
            <w:tcBorders>
              <w:top w:val="nil"/>
              <w:left w:val="nil"/>
              <w:bottom w:val="single" w:color="auto" w:sz="4" w:space="0"/>
              <w:right w:val="single" w:color="auto" w:sz="8" w:space="0"/>
            </w:tcBorders>
            <w:shd w:val="clear" w:color="auto" w:fill="auto"/>
            <w:vAlign w:val="center"/>
          </w:tcPr>
          <w:p>
            <w:pPr>
              <w:jc w:val="center"/>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gridBefore w:val="1"/>
          <w:gridAfter w:val="1"/>
          <w:wBefore w:w="23" w:type="pct"/>
          <w:wAfter w:w="29" w:type="pct"/>
          <w:trHeight w:val="327" w:hRule="atLeast"/>
          <w:jc w:val="center"/>
        </w:trPr>
        <w:tc>
          <w:tcPr>
            <w:tcW w:w="355" w:type="pct"/>
            <w:gridSpan w:val="2"/>
            <w:tcBorders>
              <w:top w:val="single" w:color="auto" w:sz="4" w:space="0"/>
              <w:left w:val="single" w:color="auto" w:sz="8" w:space="0"/>
              <w:bottom w:val="single" w:color="auto" w:sz="4" w:space="0"/>
              <w:right w:val="single" w:color="auto" w:sz="4" w:space="0"/>
            </w:tcBorders>
            <w:shd w:val="clear" w:color="auto" w:fill="auto"/>
            <w:vAlign w:val="top"/>
          </w:tcPr>
          <w:p>
            <w:pPr>
              <w:jc w:val="both"/>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2012802</w:t>
            </w:r>
          </w:p>
        </w:tc>
        <w:tc>
          <w:tcPr>
            <w:tcW w:w="1466" w:type="pct"/>
            <w:gridSpan w:val="3"/>
            <w:tcBorders>
              <w:top w:val="nil"/>
              <w:left w:val="nil"/>
              <w:bottom w:val="single" w:color="auto" w:sz="4" w:space="0"/>
              <w:right w:val="single" w:color="auto" w:sz="4" w:space="0"/>
            </w:tcBorders>
            <w:shd w:val="clear" w:color="auto" w:fill="auto"/>
            <w:vAlign w:val="top"/>
          </w:tcPr>
          <w:p>
            <w:pPr>
              <w:ind w:firstLine="210" w:firstLineChars="100"/>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 xml:space="preserve"> </w:t>
            </w:r>
            <w:r>
              <w:rPr>
                <w:rFonts w:hint="default" w:ascii="Times New Roman" w:hAnsi="Times New Roman" w:cs="Times New Roman" w:eastAsiaTheme="minorEastAsia"/>
                <w:sz w:val="21"/>
                <w:szCs w:val="21"/>
                <w:highlight w:val="none"/>
                <w:lang w:val="en-US" w:eastAsia="zh-CN"/>
              </w:rPr>
              <w:t xml:space="preserve"> </w:t>
            </w:r>
            <w:r>
              <w:rPr>
                <w:rFonts w:hint="default" w:ascii="Times New Roman" w:hAnsi="Times New Roman" w:cs="Times New Roman" w:eastAsiaTheme="minorEastAsia"/>
                <w:sz w:val="21"/>
                <w:szCs w:val="21"/>
                <w:highlight w:val="none"/>
              </w:rPr>
              <w:t>一般行政管理事务</w:t>
            </w:r>
          </w:p>
        </w:tc>
        <w:tc>
          <w:tcPr>
            <w:tcW w:w="941" w:type="pct"/>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10.00</w:t>
            </w:r>
          </w:p>
        </w:tc>
        <w:tc>
          <w:tcPr>
            <w:tcW w:w="1120" w:type="pct"/>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10.00</w:t>
            </w:r>
          </w:p>
        </w:tc>
        <w:tc>
          <w:tcPr>
            <w:tcW w:w="1063" w:type="pct"/>
            <w:gridSpan w:val="2"/>
            <w:tcBorders>
              <w:top w:val="nil"/>
              <w:left w:val="nil"/>
              <w:bottom w:val="single" w:color="auto" w:sz="4" w:space="0"/>
              <w:right w:val="single" w:color="auto" w:sz="8" w:space="0"/>
            </w:tcBorders>
            <w:shd w:val="clear" w:color="auto" w:fill="auto"/>
            <w:vAlign w:val="center"/>
          </w:tcPr>
          <w:p>
            <w:pPr>
              <w:jc w:val="center"/>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gridBefore w:val="1"/>
          <w:gridAfter w:val="1"/>
          <w:wBefore w:w="23" w:type="pct"/>
          <w:wAfter w:w="29" w:type="pct"/>
          <w:trHeight w:val="327" w:hRule="atLeast"/>
          <w:jc w:val="center"/>
        </w:trPr>
        <w:tc>
          <w:tcPr>
            <w:tcW w:w="355" w:type="pct"/>
            <w:gridSpan w:val="2"/>
            <w:tcBorders>
              <w:top w:val="single" w:color="auto" w:sz="4" w:space="0"/>
              <w:left w:val="single" w:color="auto" w:sz="8" w:space="0"/>
              <w:bottom w:val="single" w:color="auto" w:sz="4" w:space="0"/>
              <w:right w:val="single" w:color="auto" w:sz="4" w:space="0"/>
            </w:tcBorders>
            <w:shd w:val="clear" w:color="auto" w:fill="auto"/>
            <w:vAlign w:val="top"/>
          </w:tcPr>
          <w:p>
            <w:pPr>
              <w:jc w:val="both"/>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20131</w:t>
            </w:r>
          </w:p>
        </w:tc>
        <w:tc>
          <w:tcPr>
            <w:tcW w:w="1466" w:type="pct"/>
            <w:gridSpan w:val="3"/>
            <w:tcBorders>
              <w:top w:val="nil"/>
              <w:left w:val="nil"/>
              <w:bottom w:val="single" w:color="auto" w:sz="4" w:space="0"/>
              <w:right w:val="single" w:color="auto" w:sz="4" w:space="0"/>
            </w:tcBorders>
            <w:shd w:val="clear" w:color="auto" w:fill="auto"/>
            <w:vAlign w:val="top"/>
          </w:tcPr>
          <w:p>
            <w:pPr>
              <w:ind w:firstLine="210" w:firstLineChars="100"/>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党委办公厅（室）及相关机构事务</w:t>
            </w:r>
          </w:p>
        </w:tc>
        <w:tc>
          <w:tcPr>
            <w:tcW w:w="941" w:type="pct"/>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814.28</w:t>
            </w:r>
          </w:p>
        </w:tc>
        <w:tc>
          <w:tcPr>
            <w:tcW w:w="1120" w:type="pct"/>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358.78</w:t>
            </w:r>
          </w:p>
        </w:tc>
        <w:tc>
          <w:tcPr>
            <w:tcW w:w="1063" w:type="pct"/>
            <w:gridSpan w:val="2"/>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455.50</w:t>
            </w:r>
          </w:p>
        </w:tc>
      </w:tr>
      <w:tr>
        <w:tblPrEx>
          <w:tblCellMar>
            <w:top w:w="0" w:type="dxa"/>
            <w:left w:w="108" w:type="dxa"/>
            <w:bottom w:w="0" w:type="dxa"/>
            <w:right w:w="108" w:type="dxa"/>
          </w:tblCellMar>
        </w:tblPrEx>
        <w:trPr>
          <w:gridBefore w:val="1"/>
          <w:gridAfter w:val="1"/>
          <w:wBefore w:w="23" w:type="pct"/>
          <w:wAfter w:w="29" w:type="pct"/>
          <w:trHeight w:val="327" w:hRule="atLeast"/>
          <w:jc w:val="center"/>
        </w:trPr>
        <w:tc>
          <w:tcPr>
            <w:tcW w:w="355" w:type="pct"/>
            <w:gridSpan w:val="2"/>
            <w:tcBorders>
              <w:top w:val="single" w:color="auto" w:sz="4" w:space="0"/>
              <w:left w:val="single" w:color="auto" w:sz="8" w:space="0"/>
              <w:bottom w:val="single" w:color="auto" w:sz="4" w:space="0"/>
              <w:right w:val="single" w:color="auto" w:sz="4" w:space="0"/>
            </w:tcBorders>
            <w:shd w:val="clear" w:color="auto" w:fill="auto"/>
            <w:vAlign w:val="top"/>
          </w:tcPr>
          <w:p>
            <w:pPr>
              <w:jc w:val="both"/>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2013101</w:t>
            </w:r>
          </w:p>
        </w:tc>
        <w:tc>
          <w:tcPr>
            <w:tcW w:w="1466" w:type="pct"/>
            <w:gridSpan w:val="3"/>
            <w:tcBorders>
              <w:top w:val="nil"/>
              <w:left w:val="nil"/>
              <w:bottom w:val="single" w:color="auto" w:sz="4" w:space="0"/>
              <w:right w:val="single" w:color="auto" w:sz="4" w:space="0"/>
            </w:tcBorders>
            <w:shd w:val="clear" w:color="auto" w:fill="auto"/>
            <w:vAlign w:val="top"/>
          </w:tcPr>
          <w:p>
            <w:pPr>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 xml:space="preserve"> </w:t>
            </w:r>
            <w:r>
              <w:rPr>
                <w:rFonts w:hint="default" w:ascii="Times New Roman" w:hAnsi="Times New Roman" w:cs="Times New Roman" w:eastAsiaTheme="minorEastAsia"/>
                <w:sz w:val="21"/>
                <w:szCs w:val="21"/>
                <w:highlight w:val="none"/>
                <w:lang w:val="en-US" w:eastAsia="zh-CN"/>
              </w:rPr>
              <w:t xml:space="preserve">   </w:t>
            </w:r>
            <w:r>
              <w:rPr>
                <w:rFonts w:hint="default" w:ascii="Times New Roman" w:hAnsi="Times New Roman" w:cs="Times New Roman" w:eastAsiaTheme="minorEastAsia"/>
                <w:sz w:val="21"/>
                <w:szCs w:val="21"/>
                <w:highlight w:val="none"/>
              </w:rPr>
              <w:t>行政运行</w:t>
            </w:r>
          </w:p>
        </w:tc>
        <w:tc>
          <w:tcPr>
            <w:tcW w:w="941" w:type="pct"/>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358.78</w:t>
            </w:r>
          </w:p>
        </w:tc>
        <w:tc>
          <w:tcPr>
            <w:tcW w:w="1120" w:type="pct"/>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358.78</w:t>
            </w:r>
          </w:p>
        </w:tc>
        <w:tc>
          <w:tcPr>
            <w:tcW w:w="1063" w:type="pct"/>
            <w:gridSpan w:val="2"/>
            <w:tcBorders>
              <w:top w:val="nil"/>
              <w:left w:val="nil"/>
              <w:bottom w:val="single" w:color="auto" w:sz="4" w:space="0"/>
              <w:right w:val="single" w:color="auto" w:sz="8" w:space="0"/>
            </w:tcBorders>
            <w:shd w:val="clear" w:color="auto" w:fill="auto"/>
            <w:vAlign w:val="center"/>
          </w:tcPr>
          <w:p>
            <w:pPr>
              <w:jc w:val="center"/>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gridBefore w:val="1"/>
          <w:gridAfter w:val="1"/>
          <w:wBefore w:w="23" w:type="pct"/>
          <w:wAfter w:w="29" w:type="pct"/>
          <w:trHeight w:val="327" w:hRule="atLeast"/>
          <w:jc w:val="center"/>
        </w:trPr>
        <w:tc>
          <w:tcPr>
            <w:tcW w:w="355" w:type="pct"/>
            <w:gridSpan w:val="2"/>
            <w:tcBorders>
              <w:top w:val="single" w:color="auto" w:sz="4" w:space="0"/>
              <w:left w:val="single" w:color="auto" w:sz="8" w:space="0"/>
              <w:bottom w:val="single" w:color="auto" w:sz="4" w:space="0"/>
              <w:right w:val="single" w:color="auto" w:sz="4" w:space="0"/>
            </w:tcBorders>
            <w:shd w:val="clear" w:color="auto" w:fill="auto"/>
            <w:vAlign w:val="top"/>
          </w:tcPr>
          <w:p>
            <w:pPr>
              <w:jc w:val="both"/>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2013102</w:t>
            </w:r>
          </w:p>
        </w:tc>
        <w:tc>
          <w:tcPr>
            <w:tcW w:w="1466" w:type="pct"/>
            <w:gridSpan w:val="3"/>
            <w:tcBorders>
              <w:top w:val="nil"/>
              <w:left w:val="nil"/>
              <w:bottom w:val="single" w:color="auto" w:sz="4" w:space="0"/>
              <w:right w:val="single" w:color="auto" w:sz="4" w:space="0"/>
            </w:tcBorders>
            <w:shd w:val="clear" w:color="auto" w:fill="auto"/>
            <w:vAlign w:val="top"/>
          </w:tcPr>
          <w:p>
            <w:pPr>
              <w:ind w:firstLine="420" w:firstLineChars="200"/>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一般行政管理事务</w:t>
            </w:r>
          </w:p>
        </w:tc>
        <w:tc>
          <w:tcPr>
            <w:tcW w:w="941" w:type="pct"/>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455.50</w:t>
            </w:r>
          </w:p>
        </w:tc>
        <w:tc>
          <w:tcPr>
            <w:tcW w:w="1120" w:type="pct"/>
            <w:gridSpan w:val="3"/>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kern w:val="0"/>
                <w:sz w:val="21"/>
                <w:szCs w:val="21"/>
                <w:highlight w:val="none"/>
              </w:rPr>
            </w:pPr>
          </w:p>
        </w:tc>
        <w:tc>
          <w:tcPr>
            <w:tcW w:w="1063" w:type="pct"/>
            <w:gridSpan w:val="2"/>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455.50</w:t>
            </w:r>
          </w:p>
        </w:tc>
      </w:tr>
      <w:tr>
        <w:tblPrEx>
          <w:tblCellMar>
            <w:top w:w="0" w:type="dxa"/>
            <w:left w:w="108" w:type="dxa"/>
            <w:bottom w:w="0" w:type="dxa"/>
            <w:right w:w="108" w:type="dxa"/>
          </w:tblCellMar>
        </w:tblPrEx>
        <w:trPr>
          <w:gridBefore w:val="1"/>
          <w:gridAfter w:val="1"/>
          <w:wBefore w:w="23" w:type="pct"/>
          <w:wAfter w:w="29" w:type="pct"/>
          <w:trHeight w:val="327" w:hRule="atLeast"/>
          <w:jc w:val="center"/>
        </w:trPr>
        <w:tc>
          <w:tcPr>
            <w:tcW w:w="355" w:type="pct"/>
            <w:gridSpan w:val="2"/>
            <w:tcBorders>
              <w:top w:val="single" w:color="auto" w:sz="4" w:space="0"/>
              <w:left w:val="single" w:color="auto" w:sz="8" w:space="0"/>
              <w:bottom w:val="single" w:color="auto" w:sz="4" w:space="0"/>
              <w:right w:val="single" w:color="auto" w:sz="4" w:space="0"/>
            </w:tcBorders>
            <w:shd w:val="clear" w:color="auto" w:fill="auto"/>
            <w:vAlign w:val="top"/>
          </w:tcPr>
          <w:p>
            <w:pPr>
              <w:jc w:val="both"/>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20199</w:t>
            </w:r>
          </w:p>
        </w:tc>
        <w:tc>
          <w:tcPr>
            <w:tcW w:w="1466" w:type="pct"/>
            <w:gridSpan w:val="3"/>
            <w:tcBorders>
              <w:top w:val="nil"/>
              <w:left w:val="nil"/>
              <w:bottom w:val="single" w:color="auto" w:sz="4" w:space="0"/>
              <w:right w:val="single" w:color="auto" w:sz="4" w:space="0"/>
            </w:tcBorders>
            <w:shd w:val="clear" w:color="auto" w:fill="auto"/>
            <w:vAlign w:val="top"/>
          </w:tcPr>
          <w:p>
            <w:pPr>
              <w:ind w:firstLine="210" w:firstLineChars="100"/>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其他一般公共服务支出</w:t>
            </w:r>
          </w:p>
        </w:tc>
        <w:tc>
          <w:tcPr>
            <w:tcW w:w="941" w:type="pct"/>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81.67</w:t>
            </w:r>
          </w:p>
        </w:tc>
        <w:tc>
          <w:tcPr>
            <w:tcW w:w="1120" w:type="pct"/>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81.67</w:t>
            </w:r>
          </w:p>
        </w:tc>
        <w:tc>
          <w:tcPr>
            <w:tcW w:w="1063" w:type="pct"/>
            <w:gridSpan w:val="2"/>
            <w:tcBorders>
              <w:top w:val="nil"/>
              <w:left w:val="nil"/>
              <w:bottom w:val="single" w:color="auto" w:sz="4" w:space="0"/>
              <w:right w:val="single" w:color="auto" w:sz="8" w:space="0"/>
            </w:tcBorders>
            <w:shd w:val="clear" w:color="auto" w:fill="auto"/>
            <w:vAlign w:val="center"/>
          </w:tcPr>
          <w:p>
            <w:pPr>
              <w:jc w:val="center"/>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gridBefore w:val="1"/>
          <w:gridAfter w:val="1"/>
          <w:wBefore w:w="23" w:type="pct"/>
          <w:wAfter w:w="29" w:type="pct"/>
          <w:trHeight w:val="327" w:hRule="atLeast"/>
          <w:jc w:val="center"/>
        </w:trPr>
        <w:tc>
          <w:tcPr>
            <w:tcW w:w="355" w:type="pct"/>
            <w:gridSpan w:val="2"/>
            <w:tcBorders>
              <w:top w:val="single" w:color="auto" w:sz="4" w:space="0"/>
              <w:left w:val="single" w:color="auto" w:sz="8" w:space="0"/>
              <w:bottom w:val="single" w:color="auto" w:sz="4" w:space="0"/>
              <w:right w:val="single" w:color="auto" w:sz="4" w:space="0"/>
            </w:tcBorders>
            <w:shd w:val="clear" w:color="auto" w:fill="auto"/>
            <w:vAlign w:val="top"/>
          </w:tcPr>
          <w:p>
            <w:pPr>
              <w:jc w:val="both"/>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2019999</w:t>
            </w:r>
          </w:p>
        </w:tc>
        <w:tc>
          <w:tcPr>
            <w:tcW w:w="1466" w:type="pct"/>
            <w:gridSpan w:val="3"/>
            <w:tcBorders>
              <w:top w:val="nil"/>
              <w:left w:val="nil"/>
              <w:bottom w:val="single" w:color="auto" w:sz="4" w:space="0"/>
              <w:right w:val="single" w:color="auto" w:sz="4" w:space="0"/>
            </w:tcBorders>
            <w:shd w:val="clear" w:color="auto" w:fill="auto"/>
            <w:vAlign w:val="top"/>
          </w:tcPr>
          <w:p>
            <w:pPr>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 xml:space="preserve">  </w:t>
            </w:r>
            <w:r>
              <w:rPr>
                <w:rFonts w:hint="default" w:ascii="Times New Roman" w:hAnsi="Times New Roman" w:cs="Times New Roman" w:eastAsiaTheme="minorEastAsia"/>
                <w:sz w:val="21"/>
                <w:szCs w:val="21"/>
                <w:highlight w:val="none"/>
                <w:lang w:val="en-US" w:eastAsia="zh-CN"/>
              </w:rPr>
              <w:t xml:space="preserve">  </w:t>
            </w:r>
            <w:r>
              <w:rPr>
                <w:rFonts w:hint="default" w:ascii="Times New Roman" w:hAnsi="Times New Roman" w:cs="Times New Roman" w:eastAsiaTheme="minorEastAsia"/>
                <w:sz w:val="21"/>
                <w:szCs w:val="21"/>
                <w:highlight w:val="none"/>
              </w:rPr>
              <w:t>其他一般公共服务支出</w:t>
            </w:r>
          </w:p>
        </w:tc>
        <w:tc>
          <w:tcPr>
            <w:tcW w:w="941" w:type="pct"/>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81.67</w:t>
            </w:r>
          </w:p>
        </w:tc>
        <w:tc>
          <w:tcPr>
            <w:tcW w:w="1120" w:type="pct"/>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81.67</w:t>
            </w:r>
          </w:p>
        </w:tc>
        <w:tc>
          <w:tcPr>
            <w:tcW w:w="1063" w:type="pct"/>
            <w:gridSpan w:val="2"/>
            <w:tcBorders>
              <w:top w:val="nil"/>
              <w:left w:val="nil"/>
              <w:bottom w:val="single" w:color="auto" w:sz="4" w:space="0"/>
              <w:right w:val="single" w:color="auto" w:sz="8" w:space="0"/>
            </w:tcBorders>
            <w:shd w:val="clear" w:color="auto" w:fill="auto"/>
            <w:vAlign w:val="center"/>
          </w:tcPr>
          <w:p>
            <w:pPr>
              <w:jc w:val="center"/>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gridBefore w:val="1"/>
          <w:gridAfter w:val="1"/>
          <w:wBefore w:w="23" w:type="pct"/>
          <w:wAfter w:w="29" w:type="pct"/>
          <w:trHeight w:val="327" w:hRule="atLeast"/>
          <w:jc w:val="center"/>
        </w:trPr>
        <w:tc>
          <w:tcPr>
            <w:tcW w:w="355" w:type="pct"/>
            <w:gridSpan w:val="2"/>
            <w:tcBorders>
              <w:top w:val="single" w:color="auto" w:sz="4" w:space="0"/>
              <w:left w:val="single" w:color="auto" w:sz="8" w:space="0"/>
              <w:bottom w:val="single" w:color="auto" w:sz="4" w:space="0"/>
              <w:right w:val="single" w:color="auto" w:sz="4" w:space="0"/>
            </w:tcBorders>
            <w:shd w:val="clear" w:color="auto" w:fill="auto"/>
            <w:vAlign w:val="top"/>
          </w:tcPr>
          <w:p>
            <w:pPr>
              <w:jc w:val="both"/>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208</w:t>
            </w:r>
          </w:p>
        </w:tc>
        <w:tc>
          <w:tcPr>
            <w:tcW w:w="1466" w:type="pct"/>
            <w:gridSpan w:val="3"/>
            <w:tcBorders>
              <w:top w:val="nil"/>
              <w:left w:val="nil"/>
              <w:bottom w:val="single" w:color="auto" w:sz="4" w:space="0"/>
              <w:right w:val="single" w:color="auto" w:sz="4" w:space="0"/>
            </w:tcBorders>
            <w:shd w:val="clear" w:color="auto" w:fill="auto"/>
            <w:vAlign w:val="top"/>
          </w:tcPr>
          <w:p>
            <w:pPr>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社会保障和就业支出</w:t>
            </w:r>
          </w:p>
        </w:tc>
        <w:tc>
          <w:tcPr>
            <w:tcW w:w="941" w:type="pct"/>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29.35</w:t>
            </w:r>
          </w:p>
        </w:tc>
        <w:tc>
          <w:tcPr>
            <w:tcW w:w="1120" w:type="pct"/>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29.35</w:t>
            </w:r>
          </w:p>
        </w:tc>
        <w:tc>
          <w:tcPr>
            <w:tcW w:w="1063" w:type="pct"/>
            <w:gridSpan w:val="2"/>
            <w:tcBorders>
              <w:top w:val="nil"/>
              <w:left w:val="nil"/>
              <w:bottom w:val="single" w:color="auto" w:sz="4" w:space="0"/>
              <w:right w:val="single" w:color="auto" w:sz="8" w:space="0"/>
            </w:tcBorders>
            <w:shd w:val="clear" w:color="auto" w:fill="auto"/>
            <w:vAlign w:val="center"/>
          </w:tcPr>
          <w:p>
            <w:pPr>
              <w:jc w:val="center"/>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gridBefore w:val="1"/>
          <w:gridAfter w:val="1"/>
          <w:wBefore w:w="23" w:type="pct"/>
          <w:wAfter w:w="29" w:type="pct"/>
          <w:trHeight w:val="327" w:hRule="atLeast"/>
          <w:jc w:val="center"/>
        </w:trPr>
        <w:tc>
          <w:tcPr>
            <w:tcW w:w="355" w:type="pct"/>
            <w:gridSpan w:val="2"/>
            <w:tcBorders>
              <w:top w:val="single" w:color="auto" w:sz="4" w:space="0"/>
              <w:left w:val="single" w:color="auto" w:sz="8" w:space="0"/>
              <w:bottom w:val="single" w:color="auto" w:sz="4" w:space="0"/>
              <w:right w:val="single" w:color="auto" w:sz="4" w:space="0"/>
            </w:tcBorders>
            <w:shd w:val="clear" w:color="auto" w:fill="auto"/>
            <w:vAlign w:val="top"/>
          </w:tcPr>
          <w:p>
            <w:pPr>
              <w:jc w:val="both"/>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20805</w:t>
            </w:r>
          </w:p>
        </w:tc>
        <w:tc>
          <w:tcPr>
            <w:tcW w:w="1466" w:type="pct"/>
            <w:gridSpan w:val="3"/>
            <w:tcBorders>
              <w:top w:val="nil"/>
              <w:left w:val="nil"/>
              <w:bottom w:val="single" w:color="auto" w:sz="4" w:space="0"/>
              <w:right w:val="single" w:color="auto" w:sz="4" w:space="0"/>
            </w:tcBorders>
            <w:shd w:val="clear" w:color="auto" w:fill="auto"/>
            <w:vAlign w:val="top"/>
          </w:tcPr>
          <w:p>
            <w:pPr>
              <w:ind w:firstLine="210" w:firstLineChars="100"/>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行政事业单位养老支出</w:t>
            </w:r>
          </w:p>
        </w:tc>
        <w:tc>
          <w:tcPr>
            <w:tcW w:w="941" w:type="pct"/>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23.95</w:t>
            </w:r>
          </w:p>
        </w:tc>
        <w:tc>
          <w:tcPr>
            <w:tcW w:w="1120" w:type="pct"/>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23.95</w:t>
            </w:r>
          </w:p>
        </w:tc>
        <w:tc>
          <w:tcPr>
            <w:tcW w:w="1063" w:type="pct"/>
            <w:gridSpan w:val="2"/>
            <w:tcBorders>
              <w:top w:val="nil"/>
              <w:left w:val="nil"/>
              <w:bottom w:val="single" w:color="auto" w:sz="4" w:space="0"/>
              <w:right w:val="single" w:color="auto" w:sz="8" w:space="0"/>
            </w:tcBorders>
            <w:shd w:val="clear" w:color="auto" w:fill="auto"/>
            <w:vAlign w:val="center"/>
          </w:tcPr>
          <w:p>
            <w:pPr>
              <w:jc w:val="center"/>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gridBefore w:val="1"/>
          <w:gridAfter w:val="1"/>
          <w:wBefore w:w="23" w:type="pct"/>
          <w:wAfter w:w="29" w:type="pct"/>
          <w:trHeight w:val="327" w:hRule="atLeast"/>
          <w:jc w:val="center"/>
        </w:trPr>
        <w:tc>
          <w:tcPr>
            <w:tcW w:w="355" w:type="pct"/>
            <w:gridSpan w:val="2"/>
            <w:tcBorders>
              <w:top w:val="single" w:color="auto" w:sz="4" w:space="0"/>
              <w:left w:val="single" w:color="auto" w:sz="8" w:space="0"/>
              <w:bottom w:val="single" w:color="auto" w:sz="4" w:space="0"/>
              <w:right w:val="single" w:color="auto" w:sz="4" w:space="0"/>
            </w:tcBorders>
            <w:shd w:val="clear" w:color="auto" w:fill="auto"/>
            <w:vAlign w:val="top"/>
          </w:tcPr>
          <w:p>
            <w:pPr>
              <w:jc w:val="both"/>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2080505</w:t>
            </w:r>
          </w:p>
        </w:tc>
        <w:tc>
          <w:tcPr>
            <w:tcW w:w="1466" w:type="pct"/>
            <w:gridSpan w:val="3"/>
            <w:tcBorders>
              <w:top w:val="nil"/>
              <w:left w:val="nil"/>
              <w:bottom w:val="single" w:color="auto" w:sz="4" w:space="0"/>
              <w:right w:val="single" w:color="auto" w:sz="4" w:space="0"/>
            </w:tcBorders>
            <w:shd w:val="clear" w:color="auto" w:fill="auto"/>
            <w:vAlign w:val="top"/>
          </w:tcPr>
          <w:p>
            <w:pPr>
              <w:ind w:firstLine="420" w:firstLineChars="200"/>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机关事业单位基本养老保险缴费支出</w:t>
            </w:r>
          </w:p>
        </w:tc>
        <w:tc>
          <w:tcPr>
            <w:tcW w:w="941" w:type="pct"/>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23.95</w:t>
            </w:r>
          </w:p>
        </w:tc>
        <w:tc>
          <w:tcPr>
            <w:tcW w:w="1120" w:type="pct"/>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23.95</w:t>
            </w:r>
          </w:p>
        </w:tc>
        <w:tc>
          <w:tcPr>
            <w:tcW w:w="1063" w:type="pct"/>
            <w:gridSpan w:val="2"/>
            <w:tcBorders>
              <w:top w:val="nil"/>
              <w:left w:val="nil"/>
              <w:bottom w:val="single" w:color="auto" w:sz="4" w:space="0"/>
              <w:right w:val="single" w:color="auto" w:sz="8" w:space="0"/>
            </w:tcBorders>
            <w:shd w:val="clear" w:color="auto" w:fill="auto"/>
            <w:vAlign w:val="center"/>
          </w:tcPr>
          <w:p>
            <w:pPr>
              <w:jc w:val="center"/>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gridBefore w:val="1"/>
          <w:gridAfter w:val="1"/>
          <w:wBefore w:w="23" w:type="pct"/>
          <w:wAfter w:w="29" w:type="pct"/>
          <w:trHeight w:val="327" w:hRule="atLeast"/>
          <w:jc w:val="center"/>
        </w:trPr>
        <w:tc>
          <w:tcPr>
            <w:tcW w:w="355" w:type="pct"/>
            <w:gridSpan w:val="2"/>
            <w:tcBorders>
              <w:top w:val="single" w:color="auto" w:sz="4" w:space="0"/>
              <w:left w:val="single" w:color="auto" w:sz="8" w:space="0"/>
              <w:bottom w:val="single" w:color="auto" w:sz="4" w:space="0"/>
              <w:right w:val="single" w:color="auto" w:sz="4" w:space="0"/>
            </w:tcBorders>
            <w:shd w:val="clear" w:color="auto" w:fill="auto"/>
            <w:vAlign w:val="top"/>
          </w:tcPr>
          <w:p>
            <w:pPr>
              <w:jc w:val="both"/>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20808</w:t>
            </w:r>
          </w:p>
        </w:tc>
        <w:tc>
          <w:tcPr>
            <w:tcW w:w="1466" w:type="pct"/>
            <w:gridSpan w:val="3"/>
            <w:tcBorders>
              <w:top w:val="nil"/>
              <w:left w:val="nil"/>
              <w:bottom w:val="single" w:color="auto" w:sz="4" w:space="0"/>
              <w:right w:val="single" w:color="auto" w:sz="4" w:space="0"/>
            </w:tcBorders>
            <w:shd w:val="clear" w:color="auto" w:fill="auto"/>
            <w:vAlign w:val="top"/>
          </w:tcPr>
          <w:p>
            <w:pPr>
              <w:ind w:firstLine="210" w:firstLineChars="100"/>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抚恤</w:t>
            </w:r>
          </w:p>
        </w:tc>
        <w:tc>
          <w:tcPr>
            <w:tcW w:w="941" w:type="pct"/>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5.40</w:t>
            </w:r>
          </w:p>
        </w:tc>
        <w:tc>
          <w:tcPr>
            <w:tcW w:w="1120" w:type="pct"/>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5.40</w:t>
            </w:r>
          </w:p>
        </w:tc>
        <w:tc>
          <w:tcPr>
            <w:tcW w:w="1063" w:type="pct"/>
            <w:gridSpan w:val="2"/>
            <w:tcBorders>
              <w:top w:val="nil"/>
              <w:left w:val="nil"/>
              <w:bottom w:val="single" w:color="auto" w:sz="4" w:space="0"/>
              <w:right w:val="single" w:color="auto" w:sz="8" w:space="0"/>
            </w:tcBorders>
            <w:shd w:val="clear" w:color="auto" w:fill="auto"/>
            <w:vAlign w:val="center"/>
          </w:tcPr>
          <w:p>
            <w:pPr>
              <w:jc w:val="center"/>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gridBefore w:val="1"/>
          <w:gridAfter w:val="1"/>
          <w:wBefore w:w="23" w:type="pct"/>
          <w:wAfter w:w="29" w:type="pct"/>
          <w:trHeight w:val="327" w:hRule="atLeast"/>
          <w:jc w:val="center"/>
        </w:trPr>
        <w:tc>
          <w:tcPr>
            <w:tcW w:w="355" w:type="pct"/>
            <w:gridSpan w:val="2"/>
            <w:tcBorders>
              <w:top w:val="single" w:color="auto" w:sz="4" w:space="0"/>
              <w:left w:val="single" w:color="auto" w:sz="8" w:space="0"/>
              <w:bottom w:val="single" w:color="auto" w:sz="4" w:space="0"/>
              <w:right w:val="single" w:color="auto" w:sz="4" w:space="0"/>
            </w:tcBorders>
            <w:shd w:val="clear" w:color="auto" w:fill="auto"/>
            <w:vAlign w:val="top"/>
          </w:tcPr>
          <w:p>
            <w:pPr>
              <w:jc w:val="both"/>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2080899</w:t>
            </w:r>
          </w:p>
        </w:tc>
        <w:tc>
          <w:tcPr>
            <w:tcW w:w="1466" w:type="pct"/>
            <w:gridSpan w:val="3"/>
            <w:tcBorders>
              <w:top w:val="nil"/>
              <w:left w:val="nil"/>
              <w:bottom w:val="single" w:color="auto" w:sz="4" w:space="0"/>
              <w:right w:val="single" w:color="auto" w:sz="4" w:space="0"/>
            </w:tcBorders>
            <w:shd w:val="clear" w:color="auto" w:fill="auto"/>
            <w:vAlign w:val="top"/>
          </w:tcPr>
          <w:p>
            <w:pPr>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 xml:space="preserve">  </w:t>
            </w:r>
            <w:r>
              <w:rPr>
                <w:rFonts w:hint="default" w:ascii="Times New Roman" w:hAnsi="Times New Roman" w:cs="Times New Roman" w:eastAsiaTheme="minorEastAsia"/>
                <w:sz w:val="21"/>
                <w:szCs w:val="21"/>
                <w:highlight w:val="none"/>
                <w:lang w:val="en-US" w:eastAsia="zh-CN"/>
              </w:rPr>
              <w:t xml:space="preserve">  </w:t>
            </w:r>
            <w:r>
              <w:rPr>
                <w:rFonts w:hint="default" w:ascii="Times New Roman" w:hAnsi="Times New Roman" w:cs="Times New Roman" w:eastAsiaTheme="minorEastAsia"/>
                <w:sz w:val="21"/>
                <w:szCs w:val="21"/>
                <w:highlight w:val="none"/>
              </w:rPr>
              <w:t>其他优抚支出</w:t>
            </w:r>
          </w:p>
        </w:tc>
        <w:tc>
          <w:tcPr>
            <w:tcW w:w="941" w:type="pct"/>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5.40</w:t>
            </w:r>
          </w:p>
        </w:tc>
        <w:tc>
          <w:tcPr>
            <w:tcW w:w="1120" w:type="pct"/>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5.40</w:t>
            </w:r>
          </w:p>
        </w:tc>
        <w:tc>
          <w:tcPr>
            <w:tcW w:w="1063" w:type="pct"/>
            <w:gridSpan w:val="2"/>
            <w:tcBorders>
              <w:top w:val="nil"/>
              <w:left w:val="nil"/>
              <w:bottom w:val="single" w:color="auto" w:sz="4" w:space="0"/>
              <w:right w:val="single" w:color="auto" w:sz="8" w:space="0"/>
            </w:tcBorders>
            <w:shd w:val="clear" w:color="auto" w:fill="auto"/>
            <w:vAlign w:val="center"/>
          </w:tcPr>
          <w:p>
            <w:pPr>
              <w:jc w:val="center"/>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gridBefore w:val="1"/>
          <w:gridAfter w:val="1"/>
          <w:wBefore w:w="23" w:type="pct"/>
          <w:wAfter w:w="29" w:type="pct"/>
          <w:trHeight w:val="327" w:hRule="atLeast"/>
          <w:jc w:val="center"/>
        </w:trPr>
        <w:tc>
          <w:tcPr>
            <w:tcW w:w="355" w:type="pct"/>
            <w:gridSpan w:val="2"/>
            <w:tcBorders>
              <w:top w:val="single" w:color="auto" w:sz="4" w:space="0"/>
              <w:left w:val="single" w:color="auto" w:sz="8" w:space="0"/>
              <w:bottom w:val="single" w:color="auto" w:sz="4" w:space="0"/>
              <w:right w:val="single" w:color="auto" w:sz="4" w:space="0"/>
            </w:tcBorders>
            <w:shd w:val="clear" w:color="auto" w:fill="auto"/>
            <w:vAlign w:val="top"/>
          </w:tcPr>
          <w:p>
            <w:pPr>
              <w:jc w:val="both"/>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210</w:t>
            </w:r>
          </w:p>
        </w:tc>
        <w:tc>
          <w:tcPr>
            <w:tcW w:w="1466" w:type="pct"/>
            <w:gridSpan w:val="3"/>
            <w:tcBorders>
              <w:top w:val="nil"/>
              <w:left w:val="nil"/>
              <w:bottom w:val="single" w:color="auto" w:sz="4" w:space="0"/>
              <w:right w:val="single" w:color="auto" w:sz="4" w:space="0"/>
            </w:tcBorders>
            <w:shd w:val="clear" w:color="auto" w:fill="auto"/>
            <w:vAlign w:val="top"/>
          </w:tcPr>
          <w:p>
            <w:pPr>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卫生健康支出</w:t>
            </w:r>
          </w:p>
        </w:tc>
        <w:tc>
          <w:tcPr>
            <w:tcW w:w="941" w:type="pct"/>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11.32</w:t>
            </w:r>
          </w:p>
        </w:tc>
        <w:tc>
          <w:tcPr>
            <w:tcW w:w="1120" w:type="pct"/>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11.32</w:t>
            </w:r>
          </w:p>
        </w:tc>
        <w:tc>
          <w:tcPr>
            <w:tcW w:w="1063" w:type="pct"/>
            <w:gridSpan w:val="2"/>
            <w:tcBorders>
              <w:top w:val="nil"/>
              <w:left w:val="nil"/>
              <w:bottom w:val="single" w:color="auto" w:sz="4" w:space="0"/>
              <w:right w:val="single" w:color="auto" w:sz="8" w:space="0"/>
            </w:tcBorders>
            <w:shd w:val="clear" w:color="auto" w:fill="auto"/>
            <w:vAlign w:val="center"/>
          </w:tcPr>
          <w:p>
            <w:pPr>
              <w:jc w:val="center"/>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gridBefore w:val="1"/>
          <w:gridAfter w:val="1"/>
          <w:wBefore w:w="23" w:type="pct"/>
          <w:wAfter w:w="29" w:type="pct"/>
          <w:trHeight w:val="327" w:hRule="atLeast"/>
          <w:jc w:val="center"/>
        </w:trPr>
        <w:tc>
          <w:tcPr>
            <w:tcW w:w="355" w:type="pct"/>
            <w:gridSpan w:val="2"/>
            <w:tcBorders>
              <w:top w:val="single" w:color="auto" w:sz="4" w:space="0"/>
              <w:left w:val="single" w:color="auto" w:sz="8" w:space="0"/>
              <w:bottom w:val="single" w:color="auto" w:sz="4" w:space="0"/>
              <w:right w:val="single" w:color="auto" w:sz="4" w:space="0"/>
            </w:tcBorders>
            <w:shd w:val="clear" w:color="auto" w:fill="auto"/>
            <w:vAlign w:val="top"/>
          </w:tcPr>
          <w:p>
            <w:pPr>
              <w:jc w:val="both"/>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21011</w:t>
            </w:r>
          </w:p>
        </w:tc>
        <w:tc>
          <w:tcPr>
            <w:tcW w:w="1466" w:type="pct"/>
            <w:gridSpan w:val="3"/>
            <w:tcBorders>
              <w:top w:val="nil"/>
              <w:left w:val="nil"/>
              <w:bottom w:val="single" w:color="auto" w:sz="4" w:space="0"/>
              <w:right w:val="single" w:color="auto" w:sz="4" w:space="0"/>
            </w:tcBorders>
            <w:shd w:val="clear" w:color="auto" w:fill="auto"/>
            <w:vAlign w:val="top"/>
          </w:tcPr>
          <w:p>
            <w:pPr>
              <w:ind w:firstLine="210" w:firstLineChars="100"/>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行政事业单位医疗</w:t>
            </w:r>
          </w:p>
        </w:tc>
        <w:tc>
          <w:tcPr>
            <w:tcW w:w="941" w:type="pct"/>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11.32</w:t>
            </w:r>
          </w:p>
        </w:tc>
        <w:tc>
          <w:tcPr>
            <w:tcW w:w="1120" w:type="pct"/>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11.32</w:t>
            </w:r>
          </w:p>
        </w:tc>
        <w:tc>
          <w:tcPr>
            <w:tcW w:w="1063" w:type="pct"/>
            <w:gridSpan w:val="2"/>
            <w:tcBorders>
              <w:top w:val="nil"/>
              <w:left w:val="nil"/>
              <w:bottom w:val="single" w:color="auto" w:sz="4" w:space="0"/>
              <w:right w:val="single" w:color="auto" w:sz="8" w:space="0"/>
            </w:tcBorders>
            <w:shd w:val="clear" w:color="auto" w:fill="auto"/>
            <w:vAlign w:val="center"/>
          </w:tcPr>
          <w:p>
            <w:pPr>
              <w:jc w:val="center"/>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gridBefore w:val="1"/>
          <w:gridAfter w:val="1"/>
          <w:wBefore w:w="23" w:type="pct"/>
          <w:wAfter w:w="29" w:type="pct"/>
          <w:trHeight w:val="327" w:hRule="atLeast"/>
          <w:jc w:val="center"/>
        </w:trPr>
        <w:tc>
          <w:tcPr>
            <w:tcW w:w="355" w:type="pct"/>
            <w:gridSpan w:val="2"/>
            <w:tcBorders>
              <w:top w:val="single" w:color="auto" w:sz="4" w:space="0"/>
              <w:left w:val="single" w:color="auto" w:sz="8" w:space="0"/>
              <w:bottom w:val="single" w:color="auto" w:sz="4" w:space="0"/>
              <w:right w:val="single" w:color="auto" w:sz="4" w:space="0"/>
            </w:tcBorders>
            <w:shd w:val="clear" w:color="auto" w:fill="auto"/>
            <w:vAlign w:val="top"/>
          </w:tcPr>
          <w:p>
            <w:pPr>
              <w:jc w:val="both"/>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2101101</w:t>
            </w:r>
          </w:p>
        </w:tc>
        <w:tc>
          <w:tcPr>
            <w:tcW w:w="1466" w:type="pct"/>
            <w:gridSpan w:val="3"/>
            <w:tcBorders>
              <w:top w:val="nil"/>
              <w:left w:val="nil"/>
              <w:bottom w:val="single" w:color="auto" w:sz="4" w:space="0"/>
              <w:right w:val="single" w:color="auto" w:sz="4" w:space="0"/>
            </w:tcBorders>
            <w:shd w:val="clear" w:color="auto" w:fill="auto"/>
            <w:vAlign w:val="top"/>
          </w:tcPr>
          <w:p>
            <w:pPr>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 xml:space="preserve"> </w:t>
            </w:r>
            <w:r>
              <w:rPr>
                <w:rFonts w:hint="default" w:ascii="Times New Roman" w:hAnsi="Times New Roman" w:cs="Times New Roman" w:eastAsiaTheme="minorEastAsia"/>
                <w:sz w:val="21"/>
                <w:szCs w:val="21"/>
                <w:highlight w:val="none"/>
                <w:lang w:val="en-US" w:eastAsia="zh-CN"/>
              </w:rPr>
              <w:t xml:space="preserve"> </w:t>
            </w:r>
            <w:r>
              <w:rPr>
                <w:rFonts w:hint="default" w:ascii="Times New Roman" w:hAnsi="Times New Roman" w:cs="Times New Roman" w:eastAsiaTheme="minorEastAsia"/>
                <w:sz w:val="21"/>
                <w:szCs w:val="21"/>
                <w:highlight w:val="none"/>
              </w:rPr>
              <w:t xml:space="preserve"> </w:t>
            </w:r>
            <w:r>
              <w:rPr>
                <w:rFonts w:hint="default" w:ascii="Times New Roman" w:hAnsi="Times New Roman" w:cs="Times New Roman" w:eastAsiaTheme="minorEastAsia"/>
                <w:sz w:val="21"/>
                <w:szCs w:val="21"/>
                <w:highlight w:val="none"/>
                <w:lang w:val="en-US" w:eastAsia="zh-CN"/>
              </w:rPr>
              <w:t xml:space="preserve"> </w:t>
            </w:r>
            <w:r>
              <w:rPr>
                <w:rFonts w:hint="default" w:ascii="Times New Roman" w:hAnsi="Times New Roman" w:cs="Times New Roman" w:eastAsiaTheme="minorEastAsia"/>
                <w:sz w:val="21"/>
                <w:szCs w:val="21"/>
                <w:highlight w:val="none"/>
              </w:rPr>
              <w:t>行政单位医疗</w:t>
            </w:r>
          </w:p>
        </w:tc>
        <w:tc>
          <w:tcPr>
            <w:tcW w:w="941" w:type="pct"/>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11.32</w:t>
            </w:r>
          </w:p>
        </w:tc>
        <w:tc>
          <w:tcPr>
            <w:tcW w:w="1120" w:type="pct"/>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11.32</w:t>
            </w:r>
          </w:p>
        </w:tc>
        <w:tc>
          <w:tcPr>
            <w:tcW w:w="1063" w:type="pct"/>
            <w:gridSpan w:val="2"/>
            <w:tcBorders>
              <w:top w:val="nil"/>
              <w:left w:val="nil"/>
              <w:bottom w:val="single" w:color="auto" w:sz="4" w:space="0"/>
              <w:right w:val="single" w:color="auto" w:sz="8" w:space="0"/>
            </w:tcBorders>
            <w:shd w:val="clear" w:color="auto" w:fill="auto"/>
            <w:vAlign w:val="center"/>
          </w:tcPr>
          <w:p>
            <w:pPr>
              <w:jc w:val="center"/>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gridBefore w:val="1"/>
          <w:gridAfter w:val="1"/>
          <w:wBefore w:w="23" w:type="pct"/>
          <w:wAfter w:w="29" w:type="pct"/>
          <w:trHeight w:val="327" w:hRule="atLeast"/>
          <w:jc w:val="center"/>
        </w:trPr>
        <w:tc>
          <w:tcPr>
            <w:tcW w:w="355" w:type="pct"/>
            <w:gridSpan w:val="2"/>
            <w:tcBorders>
              <w:top w:val="single" w:color="auto" w:sz="4" w:space="0"/>
              <w:left w:val="single" w:color="auto" w:sz="8" w:space="0"/>
              <w:bottom w:val="single" w:color="auto" w:sz="4" w:space="0"/>
              <w:right w:val="single" w:color="auto" w:sz="4" w:space="0"/>
            </w:tcBorders>
            <w:shd w:val="clear" w:color="auto" w:fill="auto"/>
            <w:vAlign w:val="top"/>
          </w:tcPr>
          <w:p>
            <w:pPr>
              <w:jc w:val="both"/>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221</w:t>
            </w:r>
          </w:p>
        </w:tc>
        <w:tc>
          <w:tcPr>
            <w:tcW w:w="1466" w:type="pct"/>
            <w:gridSpan w:val="3"/>
            <w:tcBorders>
              <w:top w:val="nil"/>
              <w:left w:val="nil"/>
              <w:bottom w:val="single" w:color="auto" w:sz="4" w:space="0"/>
              <w:right w:val="single" w:color="auto" w:sz="4" w:space="0"/>
            </w:tcBorders>
            <w:shd w:val="clear" w:color="auto" w:fill="auto"/>
            <w:vAlign w:val="top"/>
          </w:tcPr>
          <w:p>
            <w:pPr>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住房保障支出</w:t>
            </w:r>
          </w:p>
        </w:tc>
        <w:tc>
          <w:tcPr>
            <w:tcW w:w="941" w:type="pct"/>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17.06</w:t>
            </w:r>
          </w:p>
        </w:tc>
        <w:tc>
          <w:tcPr>
            <w:tcW w:w="1120" w:type="pct"/>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17.06</w:t>
            </w:r>
          </w:p>
        </w:tc>
        <w:tc>
          <w:tcPr>
            <w:tcW w:w="1063" w:type="pct"/>
            <w:gridSpan w:val="2"/>
            <w:tcBorders>
              <w:top w:val="nil"/>
              <w:left w:val="nil"/>
              <w:bottom w:val="single" w:color="auto" w:sz="4" w:space="0"/>
              <w:right w:val="single" w:color="auto" w:sz="8" w:space="0"/>
            </w:tcBorders>
            <w:shd w:val="clear" w:color="auto" w:fill="auto"/>
            <w:vAlign w:val="center"/>
          </w:tcPr>
          <w:p>
            <w:pPr>
              <w:jc w:val="center"/>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gridBefore w:val="1"/>
          <w:gridAfter w:val="1"/>
          <w:wBefore w:w="23" w:type="pct"/>
          <w:wAfter w:w="29" w:type="pct"/>
          <w:trHeight w:val="327" w:hRule="atLeast"/>
          <w:jc w:val="center"/>
        </w:trPr>
        <w:tc>
          <w:tcPr>
            <w:tcW w:w="355" w:type="pct"/>
            <w:gridSpan w:val="2"/>
            <w:tcBorders>
              <w:top w:val="single" w:color="auto" w:sz="4" w:space="0"/>
              <w:left w:val="single" w:color="auto" w:sz="8" w:space="0"/>
              <w:bottom w:val="single" w:color="auto" w:sz="4" w:space="0"/>
              <w:right w:val="single" w:color="auto" w:sz="4" w:space="0"/>
            </w:tcBorders>
            <w:shd w:val="clear" w:color="auto" w:fill="auto"/>
            <w:vAlign w:val="top"/>
          </w:tcPr>
          <w:p>
            <w:pPr>
              <w:jc w:val="both"/>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22102</w:t>
            </w:r>
          </w:p>
        </w:tc>
        <w:tc>
          <w:tcPr>
            <w:tcW w:w="1466" w:type="pct"/>
            <w:gridSpan w:val="3"/>
            <w:tcBorders>
              <w:top w:val="nil"/>
              <w:left w:val="nil"/>
              <w:bottom w:val="single" w:color="auto" w:sz="4" w:space="0"/>
              <w:right w:val="single" w:color="auto" w:sz="4" w:space="0"/>
            </w:tcBorders>
            <w:shd w:val="clear" w:color="auto" w:fill="auto"/>
            <w:vAlign w:val="top"/>
          </w:tcPr>
          <w:p>
            <w:pPr>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　住房改革支出</w:t>
            </w:r>
          </w:p>
        </w:tc>
        <w:tc>
          <w:tcPr>
            <w:tcW w:w="941" w:type="pct"/>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17.06</w:t>
            </w:r>
          </w:p>
        </w:tc>
        <w:tc>
          <w:tcPr>
            <w:tcW w:w="1120" w:type="pct"/>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17.06</w:t>
            </w:r>
          </w:p>
        </w:tc>
        <w:tc>
          <w:tcPr>
            <w:tcW w:w="1063" w:type="pct"/>
            <w:gridSpan w:val="2"/>
            <w:tcBorders>
              <w:top w:val="nil"/>
              <w:left w:val="nil"/>
              <w:bottom w:val="single" w:color="auto" w:sz="4" w:space="0"/>
              <w:right w:val="single" w:color="auto" w:sz="8" w:space="0"/>
            </w:tcBorders>
            <w:shd w:val="clear" w:color="auto" w:fill="auto"/>
            <w:vAlign w:val="center"/>
          </w:tcPr>
          <w:p>
            <w:pPr>
              <w:jc w:val="center"/>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gridBefore w:val="1"/>
          <w:gridAfter w:val="1"/>
          <w:wBefore w:w="23" w:type="pct"/>
          <w:wAfter w:w="29" w:type="pct"/>
          <w:trHeight w:val="327" w:hRule="atLeast"/>
          <w:jc w:val="center"/>
        </w:trPr>
        <w:tc>
          <w:tcPr>
            <w:tcW w:w="355" w:type="pct"/>
            <w:gridSpan w:val="2"/>
            <w:tcBorders>
              <w:top w:val="single" w:color="auto" w:sz="4" w:space="0"/>
              <w:left w:val="single" w:color="auto" w:sz="8" w:space="0"/>
              <w:bottom w:val="single" w:color="auto" w:sz="4" w:space="0"/>
              <w:right w:val="single" w:color="auto" w:sz="4" w:space="0"/>
            </w:tcBorders>
            <w:shd w:val="clear" w:color="auto" w:fill="auto"/>
            <w:vAlign w:val="top"/>
          </w:tcPr>
          <w:p>
            <w:pPr>
              <w:jc w:val="both"/>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sz w:val="21"/>
                <w:szCs w:val="21"/>
                <w:highlight w:val="none"/>
                <w:lang w:val="en-US" w:eastAsia="zh-CN"/>
              </w:rPr>
              <w:t>2210201</w:t>
            </w:r>
          </w:p>
        </w:tc>
        <w:tc>
          <w:tcPr>
            <w:tcW w:w="1466" w:type="pct"/>
            <w:gridSpan w:val="3"/>
            <w:tcBorders>
              <w:top w:val="nil"/>
              <w:left w:val="nil"/>
              <w:bottom w:val="single" w:color="auto" w:sz="4" w:space="0"/>
              <w:right w:val="single" w:color="auto" w:sz="4" w:space="0"/>
            </w:tcBorders>
            <w:shd w:val="clear" w:color="auto" w:fill="auto"/>
            <w:vAlign w:val="top"/>
          </w:tcPr>
          <w:p>
            <w:pPr>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sz w:val="21"/>
                <w:szCs w:val="21"/>
                <w:highlight w:val="none"/>
              </w:rPr>
              <w:t>　  住房公积金</w:t>
            </w:r>
          </w:p>
        </w:tc>
        <w:tc>
          <w:tcPr>
            <w:tcW w:w="941" w:type="pct"/>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17.06</w:t>
            </w:r>
          </w:p>
        </w:tc>
        <w:tc>
          <w:tcPr>
            <w:tcW w:w="1120" w:type="pct"/>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17.06</w:t>
            </w:r>
          </w:p>
        </w:tc>
        <w:tc>
          <w:tcPr>
            <w:tcW w:w="1063" w:type="pct"/>
            <w:gridSpan w:val="2"/>
            <w:tcBorders>
              <w:top w:val="nil"/>
              <w:left w:val="nil"/>
              <w:bottom w:val="single" w:color="auto" w:sz="4" w:space="0"/>
              <w:right w:val="single" w:color="auto" w:sz="8" w:space="0"/>
            </w:tcBorders>
            <w:shd w:val="clear" w:color="auto" w:fill="auto"/>
            <w:vAlign w:val="center"/>
          </w:tcPr>
          <w:p>
            <w:pPr>
              <w:jc w:val="center"/>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gridBefore w:val="1"/>
          <w:gridAfter w:val="1"/>
          <w:wBefore w:w="23" w:type="pct"/>
          <w:wAfter w:w="29" w:type="pct"/>
          <w:trHeight w:val="327" w:hRule="atLeast"/>
          <w:jc w:val="center"/>
        </w:trPr>
        <w:tc>
          <w:tcPr>
            <w:tcW w:w="4947" w:type="pct"/>
            <w:gridSpan w:val="12"/>
            <w:tcBorders>
              <w:top w:val="nil"/>
              <w:left w:val="nil"/>
              <w:bottom w:val="nil"/>
              <w:right w:val="nil"/>
            </w:tcBorders>
            <w:shd w:val="clear" w:color="auto" w:fill="auto"/>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注：本表反映部门本年度一般公共预算财政拨款支出情况。</w:t>
            </w:r>
          </w:p>
        </w:tc>
      </w:tr>
      <w:tr>
        <w:tblPrEx>
          <w:tblCellMar>
            <w:top w:w="0" w:type="dxa"/>
            <w:left w:w="108" w:type="dxa"/>
            <w:bottom w:w="0" w:type="dxa"/>
            <w:right w:w="108" w:type="dxa"/>
          </w:tblCellMar>
        </w:tblPrEx>
        <w:trPr>
          <w:trHeight w:val="113" w:hRule="atLeast"/>
          <w:jc w:val="center"/>
        </w:trPr>
        <w:tc>
          <w:tcPr>
            <w:tcW w:w="5000" w:type="pct"/>
            <w:gridSpan w:val="14"/>
            <w:tcBorders>
              <w:top w:val="nil"/>
              <w:left w:val="nil"/>
              <w:bottom w:val="nil"/>
              <w:right w:val="nil"/>
            </w:tcBorders>
            <w:shd w:val="clear" w:color="auto" w:fill="auto"/>
            <w:noWrap/>
            <w:vAlign w:val="center"/>
          </w:tcPr>
          <w:p>
            <w:pPr>
              <w:widowControl/>
              <w:jc w:val="center"/>
              <w:rPr>
                <w:rFonts w:cs="宋体" w:asciiTheme="minorEastAsia" w:hAnsiTheme="minorEastAsia"/>
                <w:color w:val="000000"/>
                <w:kern w:val="0"/>
                <w:szCs w:val="32"/>
                <w:highlight w:val="none"/>
              </w:rPr>
            </w:pPr>
            <w:r>
              <w:rPr>
                <w:rFonts w:cs="Times New Roman" w:asciiTheme="minorEastAsia" w:hAnsiTheme="minorEastAsia"/>
                <w:bCs/>
                <w:kern w:val="0"/>
                <w:szCs w:val="21"/>
                <w:highlight w:val="none"/>
              </w:rPr>
              <w:br w:type="page"/>
            </w:r>
            <w:bookmarkStart w:id="2" w:name="RANGE!A1:I34"/>
            <w:r>
              <w:rPr>
                <w:rFonts w:hint="eastAsia" w:cs="宋体" w:asciiTheme="minorEastAsia" w:hAnsiTheme="minorEastAsia"/>
                <w:color w:val="000000"/>
                <w:kern w:val="0"/>
                <w:sz w:val="32"/>
                <w:szCs w:val="32"/>
                <w:highlight w:val="none"/>
              </w:rPr>
              <w:t>一般公共预算财政拨款基本支出决算明细表</w:t>
            </w:r>
            <w:bookmarkEnd w:id="2"/>
          </w:p>
        </w:tc>
      </w:tr>
      <w:tr>
        <w:tblPrEx>
          <w:tblCellMar>
            <w:top w:w="0" w:type="dxa"/>
            <w:left w:w="108" w:type="dxa"/>
            <w:bottom w:w="0" w:type="dxa"/>
            <w:right w:w="108" w:type="dxa"/>
          </w:tblCellMar>
        </w:tblPrEx>
        <w:trPr>
          <w:trHeight w:val="113" w:hRule="atLeast"/>
          <w:jc w:val="center"/>
        </w:trPr>
        <w:tc>
          <w:tcPr>
            <w:tcW w:w="5000" w:type="pct"/>
            <w:gridSpan w:val="14"/>
            <w:tcBorders>
              <w:top w:val="nil"/>
              <w:left w:val="nil"/>
              <w:bottom w:val="nil"/>
              <w:right w:val="nil"/>
            </w:tcBorders>
            <w:shd w:val="clear" w:color="auto" w:fill="auto"/>
            <w:noWrap/>
            <w:vAlign w:val="center"/>
          </w:tcPr>
          <w:p>
            <w:pPr>
              <w:widowControl/>
              <w:jc w:val="righ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公开06表</w:t>
            </w:r>
          </w:p>
        </w:tc>
      </w:tr>
      <w:tr>
        <w:tblPrEx>
          <w:tblCellMar>
            <w:top w:w="0" w:type="dxa"/>
            <w:left w:w="108" w:type="dxa"/>
            <w:bottom w:w="0" w:type="dxa"/>
            <w:right w:w="108" w:type="dxa"/>
          </w:tblCellMar>
        </w:tblPrEx>
        <w:trPr>
          <w:trHeight w:val="113" w:hRule="atLeast"/>
          <w:jc w:val="center"/>
        </w:trPr>
        <w:tc>
          <w:tcPr>
            <w:tcW w:w="1758" w:type="pct"/>
            <w:gridSpan w:val="5"/>
            <w:tcBorders>
              <w:top w:val="nil"/>
              <w:left w:val="nil"/>
              <w:bottom w:val="single" w:color="auto" w:sz="4" w:space="0"/>
              <w:right w:val="nil"/>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部门：</w:t>
            </w:r>
            <w:r>
              <w:rPr>
                <w:rFonts w:hint="default" w:ascii="Times New Roman" w:hAnsi="Times New Roman" w:cs="Times New Roman" w:eastAsiaTheme="minorEastAsia"/>
                <w:color w:val="000000"/>
                <w:kern w:val="0"/>
                <w:sz w:val="21"/>
                <w:szCs w:val="21"/>
                <w:highlight w:val="none"/>
                <w:lang w:eastAsia="zh-CN"/>
              </w:rPr>
              <w:t>中共祁阳市委政法委员会</w:t>
            </w:r>
            <w:r>
              <w:rPr>
                <w:rFonts w:hint="default" w:ascii="Times New Roman" w:hAnsi="Times New Roman" w:cs="Times New Roman" w:eastAsiaTheme="minorEastAsia"/>
                <w:sz w:val="21"/>
                <w:szCs w:val="21"/>
                <w:highlight w:val="none"/>
              </w:rPr>
              <w:t>　</w:t>
            </w:r>
          </w:p>
        </w:tc>
        <w:tc>
          <w:tcPr>
            <w:tcW w:w="365" w:type="pct"/>
            <w:gridSpan w:val="2"/>
            <w:tcBorders>
              <w:top w:val="nil"/>
              <w:left w:val="nil"/>
              <w:bottom w:val="single" w:color="auto" w:sz="4" w:space="0"/>
              <w:right w:val="nil"/>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highlight w:val="none"/>
              </w:rPr>
            </w:pPr>
          </w:p>
        </w:tc>
        <w:tc>
          <w:tcPr>
            <w:tcW w:w="663" w:type="pct"/>
            <w:tcBorders>
              <w:top w:val="nil"/>
              <w:left w:val="nil"/>
              <w:bottom w:val="single" w:color="auto" w:sz="4" w:space="0"/>
              <w:right w:val="nil"/>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highlight w:val="none"/>
              </w:rPr>
            </w:pPr>
          </w:p>
        </w:tc>
        <w:tc>
          <w:tcPr>
            <w:tcW w:w="340" w:type="pct"/>
            <w:tcBorders>
              <w:top w:val="nil"/>
              <w:left w:val="nil"/>
              <w:bottom w:val="single" w:color="auto" w:sz="4" w:space="0"/>
              <w:right w:val="nil"/>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highlight w:val="none"/>
              </w:rPr>
            </w:pPr>
          </w:p>
        </w:tc>
        <w:tc>
          <w:tcPr>
            <w:tcW w:w="360" w:type="pct"/>
            <w:tcBorders>
              <w:top w:val="nil"/>
              <w:left w:val="nil"/>
              <w:bottom w:val="single" w:color="auto" w:sz="4" w:space="0"/>
              <w:right w:val="nil"/>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highlight w:val="none"/>
              </w:rPr>
            </w:pPr>
          </w:p>
        </w:tc>
        <w:tc>
          <w:tcPr>
            <w:tcW w:w="1512" w:type="pct"/>
            <w:gridSpan w:val="4"/>
            <w:tcBorders>
              <w:top w:val="nil"/>
              <w:left w:val="nil"/>
              <w:bottom w:val="single" w:color="auto" w:sz="4" w:space="0"/>
              <w:right w:val="nil"/>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单位：万元</w:t>
            </w:r>
          </w:p>
        </w:tc>
      </w:tr>
      <w:tr>
        <w:tblPrEx>
          <w:tblCellMar>
            <w:top w:w="0" w:type="dxa"/>
            <w:left w:w="108" w:type="dxa"/>
            <w:bottom w:w="0" w:type="dxa"/>
            <w:right w:w="108" w:type="dxa"/>
          </w:tblCellMar>
        </w:tblPrEx>
        <w:trPr>
          <w:trHeight w:val="643" w:hRule="atLeast"/>
          <w:jc w:val="center"/>
        </w:trPr>
        <w:tc>
          <w:tcPr>
            <w:tcW w:w="34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经济分类科目编码</w:t>
            </w:r>
          </w:p>
        </w:tc>
        <w:tc>
          <w:tcPr>
            <w:tcW w:w="109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科目名称</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决算数</w:t>
            </w:r>
          </w:p>
        </w:tc>
        <w:tc>
          <w:tcPr>
            <w:tcW w:w="36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经济分类科目编码</w:t>
            </w:r>
          </w:p>
        </w:tc>
        <w:tc>
          <w:tcPr>
            <w:tcW w:w="66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科目名称</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决算数</w:t>
            </w:r>
          </w:p>
        </w:tc>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经济分类科目编码</w:t>
            </w:r>
          </w:p>
        </w:tc>
        <w:tc>
          <w:tcPr>
            <w:tcW w:w="1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科目名称</w:t>
            </w:r>
          </w:p>
        </w:tc>
        <w:tc>
          <w:tcPr>
            <w:tcW w:w="29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决算数</w:t>
            </w:r>
          </w:p>
        </w:tc>
      </w:tr>
      <w:tr>
        <w:tblPrEx>
          <w:tblCellMar>
            <w:top w:w="0" w:type="dxa"/>
            <w:left w:w="108" w:type="dxa"/>
            <w:bottom w:w="0" w:type="dxa"/>
            <w:right w:w="108" w:type="dxa"/>
          </w:tblCellMar>
        </w:tblPrEx>
        <w:trPr>
          <w:trHeight w:val="284" w:hRule="exact"/>
          <w:jc w:val="center"/>
        </w:trPr>
        <w:tc>
          <w:tcPr>
            <w:tcW w:w="34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301</w:t>
            </w:r>
          </w:p>
        </w:tc>
        <w:tc>
          <w:tcPr>
            <w:tcW w:w="1096"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工资福利支出</w:t>
            </w:r>
          </w:p>
        </w:tc>
        <w:tc>
          <w:tcPr>
            <w:tcW w:w="312"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0"/>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265.95</w:t>
            </w:r>
          </w:p>
        </w:tc>
        <w:tc>
          <w:tcPr>
            <w:tcW w:w="365"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302</w:t>
            </w:r>
          </w:p>
        </w:tc>
        <w:tc>
          <w:tcPr>
            <w:tcW w:w="663"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商品和服务支出</w:t>
            </w:r>
          </w:p>
        </w:tc>
        <w:tc>
          <w:tcPr>
            <w:tcW w:w="106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0"/>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236.82</w:t>
            </w:r>
          </w:p>
        </w:tc>
        <w:tc>
          <w:tcPr>
            <w:tcW w:w="360"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307</w:t>
            </w:r>
          </w:p>
        </w:tc>
        <w:tc>
          <w:tcPr>
            <w:tcW w:w="1216"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债务利息及费用支出</w:t>
            </w:r>
          </w:p>
        </w:tc>
        <w:tc>
          <w:tcPr>
            <w:tcW w:w="926" w:type="dxa"/>
            <w:gridSpan w:val="2"/>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highlight w:val="none"/>
                <w:lang w:val="en-US" w:eastAsia="zh-CN"/>
              </w:rPr>
            </w:pPr>
          </w:p>
        </w:tc>
      </w:tr>
      <w:tr>
        <w:tblPrEx>
          <w:tblCellMar>
            <w:top w:w="0" w:type="dxa"/>
            <w:left w:w="108" w:type="dxa"/>
            <w:bottom w:w="0" w:type="dxa"/>
            <w:right w:w="108" w:type="dxa"/>
          </w:tblCellMar>
        </w:tblPrEx>
        <w:trPr>
          <w:trHeight w:val="284" w:hRule="exact"/>
          <w:jc w:val="center"/>
        </w:trPr>
        <w:tc>
          <w:tcPr>
            <w:tcW w:w="348"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30101</w:t>
            </w:r>
          </w:p>
        </w:tc>
        <w:tc>
          <w:tcPr>
            <w:tcW w:w="10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基本工资</w:t>
            </w:r>
          </w:p>
        </w:tc>
        <w:tc>
          <w:tcPr>
            <w:tcW w:w="3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0"/>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94.53</w:t>
            </w:r>
          </w:p>
        </w:tc>
        <w:tc>
          <w:tcPr>
            <w:tcW w:w="365"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30201</w:t>
            </w:r>
          </w:p>
        </w:tc>
        <w:tc>
          <w:tcPr>
            <w:tcW w:w="66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办公费</w:t>
            </w:r>
          </w:p>
        </w:tc>
        <w:tc>
          <w:tcPr>
            <w:tcW w:w="10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0"/>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70.00</w:t>
            </w:r>
          </w:p>
        </w:tc>
        <w:tc>
          <w:tcPr>
            <w:tcW w:w="36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30701</w:t>
            </w:r>
          </w:p>
        </w:tc>
        <w:tc>
          <w:tcPr>
            <w:tcW w:w="12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国内债务付息</w:t>
            </w:r>
          </w:p>
        </w:tc>
        <w:tc>
          <w:tcPr>
            <w:tcW w:w="926"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highlight w:val="none"/>
              </w:rPr>
            </w:pPr>
          </w:p>
        </w:tc>
      </w:tr>
      <w:tr>
        <w:tblPrEx>
          <w:tblCellMar>
            <w:top w:w="0" w:type="dxa"/>
            <w:left w:w="108" w:type="dxa"/>
            <w:bottom w:w="0" w:type="dxa"/>
            <w:right w:w="108" w:type="dxa"/>
          </w:tblCellMar>
        </w:tblPrEx>
        <w:trPr>
          <w:trHeight w:val="284" w:hRule="exact"/>
          <w:jc w:val="center"/>
        </w:trPr>
        <w:tc>
          <w:tcPr>
            <w:tcW w:w="348"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30102</w:t>
            </w:r>
          </w:p>
        </w:tc>
        <w:tc>
          <w:tcPr>
            <w:tcW w:w="10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津贴补贴</w:t>
            </w:r>
          </w:p>
        </w:tc>
        <w:tc>
          <w:tcPr>
            <w:tcW w:w="3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0"/>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84.47</w:t>
            </w:r>
          </w:p>
        </w:tc>
        <w:tc>
          <w:tcPr>
            <w:tcW w:w="365"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30202</w:t>
            </w:r>
          </w:p>
        </w:tc>
        <w:tc>
          <w:tcPr>
            <w:tcW w:w="66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印刷费</w:t>
            </w:r>
          </w:p>
        </w:tc>
        <w:tc>
          <w:tcPr>
            <w:tcW w:w="10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0"/>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93.50</w:t>
            </w:r>
          </w:p>
        </w:tc>
        <w:tc>
          <w:tcPr>
            <w:tcW w:w="36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30702</w:t>
            </w:r>
          </w:p>
        </w:tc>
        <w:tc>
          <w:tcPr>
            <w:tcW w:w="12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国外债务付息</w:t>
            </w:r>
          </w:p>
        </w:tc>
        <w:tc>
          <w:tcPr>
            <w:tcW w:w="926"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highlight w:val="none"/>
              </w:rPr>
            </w:pPr>
          </w:p>
        </w:tc>
      </w:tr>
      <w:tr>
        <w:tblPrEx>
          <w:tblCellMar>
            <w:top w:w="0" w:type="dxa"/>
            <w:left w:w="108" w:type="dxa"/>
            <w:bottom w:w="0" w:type="dxa"/>
            <w:right w:w="108" w:type="dxa"/>
          </w:tblCellMar>
        </w:tblPrEx>
        <w:trPr>
          <w:trHeight w:val="284" w:hRule="exact"/>
          <w:jc w:val="center"/>
        </w:trPr>
        <w:tc>
          <w:tcPr>
            <w:tcW w:w="348"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30103</w:t>
            </w:r>
          </w:p>
        </w:tc>
        <w:tc>
          <w:tcPr>
            <w:tcW w:w="10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奖金</w:t>
            </w:r>
          </w:p>
        </w:tc>
        <w:tc>
          <w:tcPr>
            <w:tcW w:w="3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0"/>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30.56</w:t>
            </w:r>
          </w:p>
        </w:tc>
        <w:tc>
          <w:tcPr>
            <w:tcW w:w="365"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30203</w:t>
            </w:r>
          </w:p>
        </w:tc>
        <w:tc>
          <w:tcPr>
            <w:tcW w:w="66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咨询费</w:t>
            </w:r>
          </w:p>
        </w:tc>
        <w:tc>
          <w:tcPr>
            <w:tcW w:w="1062"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color w:val="000000"/>
                <w:kern w:val="0"/>
                <w:sz w:val="21"/>
                <w:szCs w:val="21"/>
                <w:highlight w:val="none"/>
                <w:lang w:val="en-US" w:eastAsia="zh-CN"/>
              </w:rPr>
            </w:pPr>
          </w:p>
        </w:tc>
        <w:tc>
          <w:tcPr>
            <w:tcW w:w="36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310</w:t>
            </w:r>
          </w:p>
        </w:tc>
        <w:tc>
          <w:tcPr>
            <w:tcW w:w="12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资本性支出</w:t>
            </w:r>
          </w:p>
        </w:tc>
        <w:tc>
          <w:tcPr>
            <w:tcW w:w="926"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highlight w:val="none"/>
              </w:rPr>
            </w:pPr>
          </w:p>
        </w:tc>
      </w:tr>
      <w:tr>
        <w:tblPrEx>
          <w:tblCellMar>
            <w:top w:w="0" w:type="dxa"/>
            <w:left w:w="108" w:type="dxa"/>
            <w:bottom w:w="0" w:type="dxa"/>
            <w:right w:w="108" w:type="dxa"/>
          </w:tblCellMar>
        </w:tblPrEx>
        <w:trPr>
          <w:trHeight w:val="284" w:hRule="exact"/>
          <w:jc w:val="center"/>
        </w:trPr>
        <w:tc>
          <w:tcPr>
            <w:tcW w:w="348"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30106</w:t>
            </w:r>
          </w:p>
        </w:tc>
        <w:tc>
          <w:tcPr>
            <w:tcW w:w="10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伙食补助费</w:t>
            </w:r>
          </w:p>
        </w:tc>
        <w:tc>
          <w:tcPr>
            <w:tcW w:w="312" w:type="pct"/>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color w:val="000000"/>
                <w:kern w:val="0"/>
                <w:sz w:val="21"/>
                <w:szCs w:val="21"/>
                <w:highlight w:val="none"/>
              </w:rPr>
            </w:pPr>
          </w:p>
        </w:tc>
        <w:tc>
          <w:tcPr>
            <w:tcW w:w="365"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30204</w:t>
            </w:r>
          </w:p>
        </w:tc>
        <w:tc>
          <w:tcPr>
            <w:tcW w:w="66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手续费</w:t>
            </w:r>
          </w:p>
        </w:tc>
        <w:tc>
          <w:tcPr>
            <w:tcW w:w="1062"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color w:val="000000"/>
                <w:kern w:val="0"/>
                <w:sz w:val="21"/>
                <w:szCs w:val="21"/>
                <w:highlight w:val="none"/>
                <w:lang w:val="en-US" w:eastAsia="zh-CN"/>
              </w:rPr>
            </w:pPr>
          </w:p>
        </w:tc>
        <w:tc>
          <w:tcPr>
            <w:tcW w:w="36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31001</w:t>
            </w:r>
          </w:p>
        </w:tc>
        <w:tc>
          <w:tcPr>
            <w:tcW w:w="12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房屋建筑物购建</w:t>
            </w:r>
          </w:p>
        </w:tc>
        <w:tc>
          <w:tcPr>
            <w:tcW w:w="926"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highlight w:val="none"/>
              </w:rPr>
            </w:pPr>
          </w:p>
        </w:tc>
      </w:tr>
      <w:tr>
        <w:tblPrEx>
          <w:tblCellMar>
            <w:top w:w="0" w:type="dxa"/>
            <w:left w:w="108" w:type="dxa"/>
            <w:bottom w:w="0" w:type="dxa"/>
            <w:right w:w="108" w:type="dxa"/>
          </w:tblCellMar>
        </w:tblPrEx>
        <w:trPr>
          <w:trHeight w:val="284" w:hRule="exact"/>
          <w:jc w:val="center"/>
        </w:trPr>
        <w:tc>
          <w:tcPr>
            <w:tcW w:w="348"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30107</w:t>
            </w:r>
          </w:p>
        </w:tc>
        <w:tc>
          <w:tcPr>
            <w:tcW w:w="10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绩效工资</w:t>
            </w:r>
          </w:p>
        </w:tc>
        <w:tc>
          <w:tcPr>
            <w:tcW w:w="312" w:type="pct"/>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color w:val="000000"/>
                <w:kern w:val="0"/>
                <w:sz w:val="21"/>
                <w:szCs w:val="21"/>
                <w:highlight w:val="none"/>
              </w:rPr>
            </w:pPr>
          </w:p>
        </w:tc>
        <w:tc>
          <w:tcPr>
            <w:tcW w:w="365"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30205</w:t>
            </w:r>
          </w:p>
        </w:tc>
        <w:tc>
          <w:tcPr>
            <w:tcW w:w="66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水费</w:t>
            </w:r>
          </w:p>
        </w:tc>
        <w:tc>
          <w:tcPr>
            <w:tcW w:w="10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0"/>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3.00</w:t>
            </w:r>
          </w:p>
        </w:tc>
        <w:tc>
          <w:tcPr>
            <w:tcW w:w="36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31002</w:t>
            </w:r>
          </w:p>
        </w:tc>
        <w:tc>
          <w:tcPr>
            <w:tcW w:w="12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办公设备购置</w:t>
            </w:r>
          </w:p>
        </w:tc>
        <w:tc>
          <w:tcPr>
            <w:tcW w:w="926"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highlight w:val="none"/>
              </w:rPr>
            </w:pPr>
          </w:p>
        </w:tc>
      </w:tr>
      <w:tr>
        <w:tblPrEx>
          <w:tblCellMar>
            <w:top w:w="0" w:type="dxa"/>
            <w:left w:w="108" w:type="dxa"/>
            <w:bottom w:w="0" w:type="dxa"/>
            <w:right w:w="108" w:type="dxa"/>
          </w:tblCellMar>
        </w:tblPrEx>
        <w:trPr>
          <w:trHeight w:val="284" w:hRule="exact"/>
          <w:jc w:val="center"/>
        </w:trPr>
        <w:tc>
          <w:tcPr>
            <w:tcW w:w="348"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30108</w:t>
            </w:r>
          </w:p>
        </w:tc>
        <w:tc>
          <w:tcPr>
            <w:tcW w:w="10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机关事业单位基本养老保险缴费</w:t>
            </w:r>
          </w:p>
        </w:tc>
        <w:tc>
          <w:tcPr>
            <w:tcW w:w="3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0"/>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23.95</w:t>
            </w:r>
          </w:p>
        </w:tc>
        <w:tc>
          <w:tcPr>
            <w:tcW w:w="365"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30206</w:t>
            </w:r>
          </w:p>
        </w:tc>
        <w:tc>
          <w:tcPr>
            <w:tcW w:w="66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电费</w:t>
            </w:r>
          </w:p>
        </w:tc>
        <w:tc>
          <w:tcPr>
            <w:tcW w:w="1062"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color w:val="000000"/>
                <w:kern w:val="0"/>
                <w:sz w:val="21"/>
                <w:szCs w:val="21"/>
                <w:highlight w:val="none"/>
                <w:lang w:val="en-US" w:eastAsia="zh-CN"/>
              </w:rPr>
            </w:pPr>
          </w:p>
        </w:tc>
        <w:tc>
          <w:tcPr>
            <w:tcW w:w="36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31003</w:t>
            </w:r>
          </w:p>
        </w:tc>
        <w:tc>
          <w:tcPr>
            <w:tcW w:w="12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专用设备购置</w:t>
            </w:r>
          </w:p>
        </w:tc>
        <w:tc>
          <w:tcPr>
            <w:tcW w:w="926"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highlight w:val="none"/>
              </w:rPr>
            </w:pPr>
          </w:p>
        </w:tc>
      </w:tr>
      <w:tr>
        <w:tblPrEx>
          <w:tblCellMar>
            <w:top w:w="0" w:type="dxa"/>
            <w:left w:w="108" w:type="dxa"/>
            <w:bottom w:w="0" w:type="dxa"/>
            <w:right w:w="108" w:type="dxa"/>
          </w:tblCellMar>
        </w:tblPrEx>
        <w:trPr>
          <w:trHeight w:val="284" w:hRule="exact"/>
          <w:jc w:val="center"/>
        </w:trPr>
        <w:tc>
          <w:tcPr>
            <w:tcW w:w="348"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30109</w:t>
            </w:r>
          </w:p>
        </w:tc>
        <w:tc>
          <w:tcPr>
            <w:tcW w:w="10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职业年金缴费</w:t>
            </w:r>
          </w:p>
        </w:tc>
        <w:tc>
          <w:tcPr>
            <w:tcW w:w="312" w:type="pct"/>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color w:val="000000"/>
                <w:kern w:val="0"/>
                <w:sz w:val="21"/>
                <w:szCs w:val="21"/>
                <w:highlight w:val="none"/>
              </w:rPr>
            </w:pPr>
          </w:p>
        </w:tc>
        <w:tc>
          <w:tcPr>
            <w:tcW w:w="365"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30207</w:t>
            </w:r>
          </w:p>
        </w:tc>
        <w:tc>
          <w:tcPr>
            <w:tcW w:w="66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邮电费</w:t>
            </w:r>
          </w:p>
        </w:tc>
        <w:tc>
          <w:tcPr>
            <w:tcW w:w="10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0"/>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4.00</w:t>
            </w:r>
          </w:p>
        </w:tc>
        <w:tc>
          <w:tcPr>
            <w:tcW w:w="36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31005</w:t>
            </w:r>
          </w:p>
        </w:tc>
        <w:tc>
          <w:tcPr>
            <w:tcW w:w="12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基础设施建设</w:t>
            </w:r>
          </w:p>
        </w:tc>
        <w:tc>
          <w:tcPr>
            <w:tcW w:w="926"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highlight w:val="none"/>
              </w:rPr>
            </w:pPr>
          </w:p>
        </w:tc>
      </w:tr>
      <w:tr>
        <w:tblPrEx>
          <w:tblCellMar>
            <w:top w:w="0" w:type="dxa"/>
            <w:left w:w="108" w:type="dxa"/>
            <w:bottom w:w="0" w:type="dxa"/>
            <w:right w:w="108" w:type="dxa"/>
          </w:tblCellMar>
        </w:tblPrEx>
        <w:trPr>
          <w:trHeight w:val="284" w:hRule="exact"/>
          <w:jc w:val="center"/>
        </w:trPr>
        <w:tc>
          <w:tcPr>
            <w:tcW w:w="348"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30110</w:t>
            </w:r>
          </w:p>
        </w:tc>
        <w:tc>
          <w:tcPr>
            <w:tcW w:w="10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职工基本医疗保险缴费</w:t>
            </w:r>
          </w:p>
        </w:tc>
        <w:tc>
          <w:tcPr>
            <w:tcW w:w="3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0"/>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11.32</w:t>
            </w:r>
          </w:p>
        </w:tc>
        <w:tc>
          <w:tcPr>
            <w:tcW w:w="365"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30208</w:t>
            </w:r>
          </w:p>
        </w:tc>
        <w:tc>
          <w:tcPr>
            <w:tcW w:w="66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取暖费</w:t>
            </w:r>
          </w:p>
        </w:tc>
        <w:tc>
          <w:tcPr>
            <w:tcW w:w="1062"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color w:val="000000"/>
                <w:kern w:val="0"/>
                <w:sz w:val="21"/>
                <w:szCs w:val="21"/>
                <w:highlight w:val="none"/>
                <w:lang w:val="en-US" w:eastAsia="zh-CN"/>
              </w:rPr>
            </w:pPr>
          </w:p>
        </w:tc>
        <w:tc>
          <w:tcPr>
            <w:tcW w:w="36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31006</w:t>
            </w:r>
          </w:p>
        </w:tc>
        <w:tc>
          <w:tcPr>
            <w:tcW w:w="12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大型修缮</w:t>
            </w:r>
          </w:p>
        </w:tc>
        <w:tc>
          <w:tcPr>
            <w:tcW w:w="926"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highlight w:val="none"/>
              </w:rPr>
            </w:pPr>
          </w:p>
        </w:tc>
      </w:tr>
      <w:tr>
        <w:tblPrEx>
          <w:tblCellMar>
            <w:top w:w="0" w:type="dxa"/>
            <w:left w:w="108" w:type="dxa"/>
            <w:bottom w:w="0" w:type="dxa"/>
            <w:right w:w="108" w:type="dxa"/>
          </w:tblCellMar>
        </w:tblPrEx>
        <w:trPr>
          <w:trHeight w:val="284" w:hRule="exact"/>
          <w:jc w:val="center"/>
        </w:trPr>
        <w:tc>
          <w:tcPr>
            <w:tcW w:w="348"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30111</w:t>
            </w:r>
          </w:p>
        </w:tc>
        <w:tc>
          <w:tcPr>
            <w:tcW w:w="10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公务员医疗补助缴费</w:t>
            </w:r>
          </w:p>
        </w:tc>
        <w:tc>
          <w:tcPr>
            <w:tcW w:w="312" w:type="pct"/>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color w:val="000000"/>
                <w:kern w:val="0"/>
                <w:sz w:val="21"/>
                <w:szCs w:val="21"/>
                <w:highlight w:val="none"/>
              </w:rPr>
            </w:pPr>
          </w:p>
        </w:tc>
        <w:tc>
          <w:tcPr>
            <w:tcW w:w="365"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30209</w:t>
            </w:r>
          </w:p>
        </w:tc>
        <w:tc>
          <w:tcPr>
            <w:tcW w:w="66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物业管理费</w:t>
            </w:r>
          </w:p>
        </w:tc>
        <w:tc>
          <w:tcPr>
            <w:tcW w:w="1062"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color w:val="000000"/>
                <w:kern w:val="0"/>
                <w:sz w:val="21"/>
                <w:szCs w:val="21"/>
                <w:highlight w:val="none"/>
                <w:lang w:val="en-US" w:eastAsia="zh-CN"/>
              </w:rPr>
            </w:pPr>
          </w:p>
        </w:tc>
        <w:tc>
          <w:tcPr>
            <w:tcW w:w="36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31007</w:t>
            </w:r>
          </w:p>
        </w:tc>
        <w:tc>
          <w:tcPr>
            <w:tcW w:w="12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信息网络及软件购置更新</w:t>
            </w:r>
          </w:p>
        </w:tc>
        <w:tc>
          <w:tcPr>
            <w:tcW w:w="926"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highlight w:val="none"/>
              </w:rPr>
            </w:pPr>
          </w:p>
        </w:tc>
      </w:tr>
      <w:tr>
        <w:tblPrEx>
          <w:tblCellMar>
            <w:top w:w="0" w:type="dxa"/>
            <w:left w:w="108" w:type="dxa"/>
            <w:bottom w:w="0" w:type="dxa"/>
            <w:right w:w="108" w:type="dxa"/>
          </w:tblCellMar>
        </w:tblPrEx>
        <w:trPr>
          <w:trHeight w:val="284" w:hRule="exact"/>
          <w:jc w:val="center"/>
        </w:trPr>
        <w:tc>
          <w:tcPr>
            <w:tcW w:w="348"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30112</w:t>
            </w:r>
          </w:p>
        </w:tc>
        <w:tc>
          <w:tcPr>
            <w:tcW w:w="10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其他社会保障缴费</w:t>
            </w:r>
          </w:p>
        </w:tc>
        <w:tc>
          <w:tcPr>
            <w:tcW w:w="312" w:type="pct"/>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color w:val="000000"/>
                <w:kern w:val="0"/>
                <w:sz w:val="21"/>
                <w:szCs w:val="21"/>
                <w:highlight w:val="none"/>
              </w:rPr>
            </w:pPr>
          </w:p>
        </w:tc>
        <w:tc>
          <w:tcPr>
            <w:tcW w:w="365"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30211</w:t>
            </w:r>
          </w:p>
        </w:tc>
        <w:tc>
          <w:tcPr>
            <w:tcW w:w="66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差旅费</w:t>
            </w:r>
          </w:p>
        </w:tc>
        <w:tc>
          <w:tcPr>
            <w:tcW w:w="10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0"/>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10.00</w:t>
            </w:r>
          </w:p>
        </w:tc>
        <w:tc>
          <w:tcPr>
            <w:tcW w:w="36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31008</w:t>
            </w:r>
          </w:p>
        </w:tc>
        <w:tc>
          <w:tcPr>
            <w:tcW w:w="12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物资储备</w:t>
            </w:r>
          </w:p>
        </w:tc>
        <w:tc>
          <w:tcPr>
            <w:tcW w:w="926"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highlight w:val="none"/>
              </w:rPr>
            </w:pPr>
          </w:p>
        </w:tc>
      </w:tr>
      <w:tr>
        <w:tblPrEx>
          <w:tblCellMar>
            <w:top w:w="0" w:type="dxa"/>
            <w:left w:w="108" w:type="dxa"/>
            <w:bottom w:w="0" w:type="dxa"/>
            <w:right w:w="108" w:type="dxa"/>
          </w:tblCellMar>
        </w:tblPrEx>
        <w:trPr>
          <w:trHeight w:val="284" w:hRule="exact"/>
          <w:jc w:val="center"/>
        </w:trPr>
        <w:tc>
          <w:tcPr>
            <w:tcW w:w="348"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30113</w:t>
            </w:r>
          </w:p>
        </w:tc>
        <w:tc>
          <w:tcPr>
            <w:tcW w:w="10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住房公积金</w:t>
            </w:r>
          </w:p>
        </w:tc>
        <w:tc>
          <w:tcPr>
            <w:tcW w:w="3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0"/>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17.06</w:t>
            </w:r>
          </w:p>
        </w:tc>
        <w:tc>
          <w:tcPr>
            <w:tcW w:w="365"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30212</w:t>
            </w:r>
          </w:p>
        </w:tc>
        <w:tc>
          <w:tcPr>
            <w:tcW w:w="66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因公出国（境）费用</w:t>
            </w:r>
          </w:p>
        </w:tc>
        <w:tc>
          <w:tcPr>
            <w:tcW w:w="1062"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color w:val="000000"/>
                <w:kern w:val="0"/>
                <w:sz w:val="21"/>
                <w:szCs w:val="21"/>
                <w:highlight w:val="none"/>
                <w:lang w:val="en-US" w:eastAsia="zh-CN"/>
              </w:rPr>
            </w:pPr>
          </w:p>
        </w:tc>
        <w:tc>
          <w:tcPr>
            <w:tcW w:w="36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31009</w:t>
            </w:r>
          </w:p>
        </w:tc>
        <w:tc>
          <w:tcPr>
            <w:tcW w:w="12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土地补偿</w:t>
            </w:r>
          </w:p>
        </w:tc>
        <w:tc>
          <w:tcPr>
            <w:tcW w:w="926"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highlight w:val="none"/>
              </w:rPr>
            </w:pPr>
          </w:p>
        </w:tc>
      </w:tr>
      <w:tr>
        <w:tblPrEx>
          <w:tblCellMar>
            <w:top w:w="0" w:type="dxa"/>
            <w:left w:w="108" w:type="dxa"/>
            <w:bottom w:w="0" w:type="dxa"/>
            <w:right w:w="108" w:type="dxa"/>
          </w:tblCellMar>
        </w:tblPrEx>
        <w:trPr>
          <w:trHeight w:val="284" w:hRule="exact"/>
          <w:jc w:val="center"/>
        </w:trPr>
        <w:tc>
          <w:tcPr>
            <w:tcW w:w="348"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30114</w:t>
            </w:r>
          </w:p>
        </w:tc>
        <w:tc>
          <w:tcPr>
            <w:tcW w:w="10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医疗费</w:t>
            </w:r>
          </w:p>
        </w:tc>
        <w:tc>
          <w:tcPr>
            <w:tcW w:w="312" w:type="pct"/>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color w:val="000000"/>
                <w:kern w:val="0"/>
                <w:sz w:val="21"/>
                <w:szCs w:val="21"/>
                <w:highlight w:val="none"/>
              </w:rPr>
            </w:pPr>
          </w:p>
        </w:tc>
        <w:tc>
          <w:tcPr>
            <w:tcW w:w="365"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30213</w:t>
            </w:r>
          </w:p>
        </w:tc>
        <w:tc>
          <w:tcPr>
            <w:tcW w:w="66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维修（护）费</w:t>
            </w:r>
          </w:p>
        </w:tc>
        <w:tc>
          <w:tcPr>
            <w:tcW w:w="10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0"/>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18.60</w:t>
            </w:r>
          </w:p>
        </w:tc>
        <w:tc>
          <w:tcPr>
            <w:tcW w:w="36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31010</w:t>
            </w:r>
          </w:p>
        </w:tc>
        <w:tc>
          <w:tcPr>
            <w:tcW w:w="12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安置补助</w:t>
            </w:r>
          </w:p>
        </w:tc>
        <w:tc>
          <w:tcPr>
            <w:tcW w:w="926"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highlight w:val="none"/>
              </w:rPr>
            </w:pPr>
          </w:p>
        </w:tc>
      </w:tr>
      <w:tr>
        <w:tblPrEx>
          <w:tblCellMar>
            <w:top w:w="0" w:type="dxa"/>
            <w:left w:w="108" w:type="dxa"/>
            <w:bottom w:w="0" w:type="dxa"/>
            <w:right w:w="108" w:type="dxa"/>
          </w:tblCellMar>
        </w:tblPrEx>
        <w:trPr>
          <w:trHeight w:val="284" w:hRule="exact"/>
          <w:jc w:val="center"/>
        </w:trPr>
        <w:tc>
          <w:tcPr>
            <w:tcW w:w="348"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30199</w:t>
            </w:r>
          </w:p>
        </w:tc>
        <w:tc>
          <w:tcPr>
            <w:tcW w:w="10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其他工资福利支出</w:t>
            </w:r>
          </w:p>
        </w:tc>
        <w:tc>
          <w:tcPr>
            <w:tcW w:w="3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0"/>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4.07</w:t>
            </w:r>
          </w:p>
        </w:tc>
        <w:tc>
          <w:tcPr>
            <w:tcW w:w="365"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30214</w:t>
            </w:r>
          </w:p>
        </w:tc>
        <w:tc>
          <w:tcPr>
            <w:tcW w:w="66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租赁费</w:t>
            </w:r>
          </w:p>
        </w:tc>
        <w:tc>
          <w:tcPr>
            <w:tcW w:w="1062"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color w:val="000000"/>
                <w:kern w:val="0"/>
                <w:sz w:val="21"/>
                <w:szCs w:val="21"/>
                <w:highlight w:val="none"/>
                <w:lang w:val="en-US" w:eastAsia="zh-CN"/>
              </w:rPr>
            </w:pPr>
          </w:p>
        </w:tc>
        <w:tc>
          <w:tcPr>
            <w:tcW w:w="36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31011</w:t>
            </w:r>
          </w:p>
        </w:tc>
        <w:tc>
          <w:tcPr>
            <w:tcW w:w="12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地上附着物和青苗补偿</w:t>
            </w:r>
          </w:p>
        </w:tc>
        <w:tc>
          <w:tcPr>
            <w:tcW w:w="926"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highlight w:val="none"/>
              </w:rPr>
            </w:pPr>
          </w:p>
        </w:tc>
      </w:tr>
      <w:tr>
        <w:tblPrEx>
          <w:tblCellMar>
            <w:top w:w="0" w:type="dxa"/>
            <w:left w:w="108" w:type="dxa"/>
            <w:bottom w:w="0" w:type="dxa"/>
            <w:right w:w="108" w:type="dxa"/>
          </w:tblCellMar>
        </w:tblPrEx>
        <w:trPr>
          <w:trHeight w:val="284" w:hRule="exact"/>
          <w:jc w:val="center"/>
        </w:trPr>
        <w:tc>
          <w:tcPr>
            <w:tcW w:w="348"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303</w:t>
            </w:r>
          </w:p>
        </w:tc>
        <w:tc>
          <w:tcPr>
            <w:tcW w:w="10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对个人和家庭的补助</w:t>
            </w:r>
          </w:p>
        </w:tc>
        <w:tc>
          <w:tcPr>
            <w:tcW w:w="3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0"/>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5.40</w:t>
            </w:r>
          </w:p>
        </w:tc>
        <w:tc>
          <w:tcPr>
            <w:tcW w:w="365"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30215</w:t>
            </w:r>
          </w:p>
        </w:tc>
        <w:tc>
          <w:tcPr>
            <w:tcW w:w="66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会议费</w:t>
            </w:r>
          </w:p>
        </w:tc>
        <w:tc>
          <w:tcPr>
            <w:tcW w:w="10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0"/>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3.10</w:t>
            </w:r>
          </w:p>
        </w:tc>
        <w:tc>
          <w:tcPr>
            <w:tcW w:w="36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31012</w:t>
            </w:r>
          </w:p>
        </w:tc>
        <w:tc>
          <w:tcPr>
            <w:tcW w:w="12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拆迁补偿</w:t>
            </w:r>
          </w:p>
        </w:tc>
        <w:tc>
          <w:tcPr>
            <w:tcW w:w="926"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highlight w:val="none"/>
              </w:rPr>
            </w:pPr>
          </w:p>
        </w:tc>
      </w:tr>
      <w:tr>
        <w:tblPrEx>
          <w:tblCellMar>
            <w:top w:w="0" w:type="dxa"/>
            <w:left w:w="108" w:type="dxa"/>
            <w:bottom w:w="0" w:type="dxa"/>
            <w:right w:w="108" w:type="dxa"/>
          </w:tblCellMar>
        </w:tblPrEx>
        <w:trPr>
          <w:trHeight w:val="284" w:hRule="exact"/>
          <w:jc w:val="center"/>
        </w:trPr>
        <w:tc>
          <w:tcPr>
            <w:tcW w:w="348"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30301</w:t>
            </w:r>
          </w:p>
        </w:tc>
        <w:tc>
          <w:tcPr>
            <w:tcW w:w="10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离休费</w:t>
            </w:r>
          </w:p>
        </w:tc>
        <w:tc>
          <w:tcPr>
            <w:tcW w:w="312" w:type="pct"/>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color w:val="000000"/>
                <w:kern w:val="0"/>
                <w:sz w:val="21"/>
                <w:szCs w:val="21"/>
                <w:highlight w:val="none"/>
              </w:rPr>
            </w:pPr>
          </w:p>
        </w:tc>
        <w:tc>
          <w:tcPr>
            <w:tcW w:w="365"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30216</w:t>
            </w:r>
          </w:p>
        </w:tc>
        <w:tc>
          <w:tcPr>
            <w:tcW w:w="66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培训费</w:t>
            </w:r>
          </w:p>
        </w:tc>
        <w:tc>
          <w:tcPr>
            <w:tcW w:w="10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0"/>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1.00</w:t>
            </w:r>
          </w:p>
        </w:tc>
        <w:tc>
          <w:tcPr>
            <w:tcW w:w="36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31013</w:t>
            </w:r>
          </w:p>
        </w:tc>
        <w:tc>
          <w:tcPr>
            <w:tcW w:w="12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公务用车购置</w:t>
            </w:r>
          </w:p>
        </w:tc>
        <w:tc>
          <w:tcPr>
            <w:tcW w:w="926"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highlight w:val="none"/>
              </w:rPr>
            </w:pPr>
          </w:p>
        </w:tc>
      </w:tr>
      <w:tr>
        <w:tblPrEx>
          <w:tblCellMar>
            <w:top w:w="0" w:type="dxa"/>
            <w:left w:w="108" w:type="dxa"/>
            <w:bottom w:w="0" w:type="dxa"/>
            <w:right w:w="108" w:type="dxa"/>
          </w:tblCellMar>
        </w:tblPrEx>
        <w:trPr>
          <w:trHeight w:val="284" w:hRule="exact"/>
          <w:jc w:val="center"/>
        </w:trPr>
        <w:tc>
          <w:tcPr>
            <w:tcW w:w="348"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30302</w:t>
            </w:r>
          </w:p>
        </w:tc>
        <w:tc>
          <w:tcPr>
            <w:tcW w:w="10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退休费</w:t>
            </w:r>
          </w:p>
        </w:tc>
        <w:tc>
          <w:tcPr>
            <w:tcW w:w="312" w:type="pct"/>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color w:val="000000"/>
                <w:kern w:val="0"/>
                <w:sz w:val="21"/>
                <w:szCs w:val="21"/>
                <w:highlight w:val="none"/>
              </w:rPr>
            </w:pPr>
          </w:p>
        </w:tc>
        <w:tc>
          <w:tcPr>
            <w:tcW w:w="365"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30217</w:t>
            </w:r>
          </w:p>
        </w:tc>
        <w:tc>
          <w:tcPr>
            <w:tcW w:w="66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公务接待费</w:t>
            </w:r>
          </w:p>
        </w:tc>
        <w:tc>
          <w:tcPr>
            <w:tcW w:w="10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0"/>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6.00</w:t>
            </w:r>
          </w:p>
        </w:tc>
        <w:tc>
          <w:tcPr>
            <w:tcW w:w="36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31019</w:t>
            </w:r>
          </w:p>
        </w:tc>
        <w:tc>
          <w:tcPr>
            <w:tcW w:w="12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其他交通工具购置</w:t>
            </w:r>
          </w:p>
        </w:tc>
        <w:tc>
          <w:tcPr>
            <w:tcW w:w="926"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highlight w:val="none"/>
              </w:rPr>
            </w:pPr>
          </w:p>
        </w:tc>
      </w:tr>
      <w:tr>
        <w:tblPrEx>
          <w:tblCellMar>
            <w:top w:w="0" w:type="dxa"/>
            <w:left w:w="108" w:type="dxa"/>
            <w:bottom w:w="0" w:type="dxa"/>
            <w:right w:w="108" w:type="dxa"/>
          </w:tblCellMar>
        </w:tblPrEx>
        <w:trPr>
          <w:trHeight w:val="284" w:hRule="exact"/>
          <w:jc w:val="center"/>
        </w:trPr>
        <w:tc>
          <w:tcPr>
            <w:tcW w:w="348"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30303</w:t>
            </w:r>
          </w:p>
        </w:tc>
        <w:tc>
          <w:tcPr>
            <w:tcW w:w="10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退职（役）费</w:t>
            </w:r>
          </w:p>
        </w:tc>
        <w:tc>
          <w:tcPr>
            <w:tcW w:w="312" w:type="pct"/>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color w:val="000000"/>
                <w:kern w:val="0"/>
                <w:sz w:val="21"/>
                <w:szCs w:val="21"/>
                <w:highlight w:val="none"/>
              </w:rPr>
            </w:pPr>
          </w:p>
        </w:tc>
        <w:tc>
          <w:tcPr>
            <w:tcW w:w="365"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30218</w:t>
            </w:r>
          </w:p>
        </w:tc>
        <w:tc>
          <w:tcPr>
            <w:tcW w:w="66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专用材料费</w:t>
            </w:r>
          </w:p>
        </w:tc>
        <w:tc>
          <w:tcPr>
            <w:tcW w:w="10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0"/>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0.30</w:t>
            </w:r>
          </w:p>
        </w:tc>
        <w:tc>
          <w:tcPr>
            <w:tcW w:w="36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31021</w:t>
            </w:r>
          </w:p>
        </w:tc>
        <w:tc>
          <w:tcPr>
            <w:tcW w:w="12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文物和陈列品购置</w:t>
            </w:r>
          </w:p>
        </w:tc>
        <w:tc>
          <w:tcPr>
            <w:tcW w:w="926"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highlight w:val="none"/>
              </w:rPr>
            </w:pPr>
          </w:p>
        </w:tc>
      </w:tr>
      <w:tr>
        <w:tblPrEx>
          <w:tblCellMar>
            <w:top w:w="0" w:type="dxa"/>
            <w:left w:w="108" w:type="dxa"/>
            <w:bottom w:w="0" w:type="dxa"/>
            <w:right w:w="108" w:type="dxa"/>
          </w:tblCellMar>
        </w:tblPrEx>
        <w:trPr>
          <w:trHeight w:val="284" w:hRule="exact"/>
          <w:jc w:val="center"/>
        </w:trPr>
        <w:tc>
          <w:tcPr>
            <w:tcW w:w="348"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30304</w:t>
            </w:r>
          </w:p>
        </w:tc>
        <w:tc>
          <w:tcPr>
            <w:tcW w:w="10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抚恤金</w:t>
            </w:r>
          </w:p>
        </w:tc>
        <w:tc>
          <w:tcPr>
            <w:tcW w:w="3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0"/>
                <w:sz w:val="21"/>
                <w:szCs w:val="21"/>
                <w:highlight w:val="none"/>
                <w:lang w:val="en-US" w:eastAsia="zh-CN"/>
              </w:rPr>
            </w:pPr>
            <w:r>
              <w:rPr>
                <w:rFonts w:hint="default" w:ascii="Times New Roman" w:hAnsi="Times New Roman" w:cs="Times New Roman" w:eastAsiaTheme="minorEastAsia"/>
                <w:i w:val="0"/>
                <w:iCs w:val="0"/>
                <w:color w:val="000000"/>
                <w:kern w:val="0"/>
                <w:sz w:val="21"/>
                <w:szCs w:val="21"/>
                <w:highlight w:val="none"/>
                <w:u w:val="none"/>
                <w:lang w:val="en-US" w:eastAsia="zh-CN" w:bidi="ar"/>
              </w:rPr>
              <w:t>5.40</w:t>
            </w:r>
          </w:p>
        </w:tc>
        <w:tc>
          <w:tcPr>
            <w:tcW w:w="365"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30224</w:t>
            </w:r>
          </w:p>
        </w:tc>
        <w:tc>
          <w:tcPr>
            <w:tcW w:w="66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被装购置费</w:t>
            </w:r>
          </w:p>
        </w:tc>
        <w:tc>
          <w:tcPr>
            <w:tcW w:w="1062"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color w:val="000000"/>
                <w:kern w:val="0"/>
                <w:sz w:val="21"/>
                <w:szCs w:val="21"/>
                <w:highlight w:val="none"/>
                <w:lang w:val="en-US" w:eastAsia="zh-CN"/>
              </w:rPr>
            </w:pPr>
          </w:p>
        </w:tc>
        <w:tc>
          <w:tcPr>
            <w:tcW w:w="36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31022</w:t>
            </w:r>
          </w:p>
        </w:tc>
        <w:tc>
          <w:tcPr>
            <w:tcW w:w="12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无形资产购置</w:t>
            </w:r>
          </w:p>
        </w:tc>
        <w:tc>
          <w:tcPr>
            <w:tcW w:w="926"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highlight w:val="none"/>
              </w:rPr>
            </w:pPr>
          </w:p>
        </w:tc>
      </w:tr>
      <w:tr>
        <w:tblPrEx>
          <w:tblCellMar>
            <w:top w:w="0" w:type="dxa"/>
            <w:left w:w="108" w:type="dxa"/>
            <w:bottom w:w="0" w:type="dxa"/>
            <w:right w:w="108" w:type="dxa"/>
          </w:tblCellMar>
        </w:tblPrEx>
        <w:trPr>
          <w:trHeight w:val="284" w:hRule="exact"/>
          <w:jc w:val="center"/>
        </w:trPr>
        <w:tc>
          <w:tcPr>
            <w:tcW w:w="348"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30305</w:t>
            </w:r>
          </w:p>
        </w:tc>
        <w:tc>
          <w:tcPr>
            <w:tcW w:w="10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生活补助</w:t>
            </w:r>
          </w:p>
        </w:tc>
        <w:tc>
          <w:tcPr>
            <w:tcW w:w="312" w:type="pct"/>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color w:val="000000"/>
                <w:kern w:val="0"/>
                <w:sz w:val="21"/>
                <w:szCs w:val="21"/>
                <w:highlight w:val="none"/>
              </w:rPr>
            </w:pPr>
          </w:p>
        </w:tc>
        <w:tc>
          <w:tcPr>
            <w:tcW w:w="365"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30225</w:t>
            </w:r>
          </w:p>
        </w:tc>
        <w:tc>
          <w:tcPr>
            <w:tcW w:w="66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专用燃料费</w:t>
            </w:r>
          </w:p>
        </w:tc>
        <w:tc>
          <w:tcPr>
            <w:tcW w:w="1062"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color w:val="000000"/>
                <w:kern w:val="0"/>
                <w:sz w:val="21"/>
                <w:szCs w:val="21"/>
                <w:highlight w:val="none"/>
                <w:lang w:val="en-US" w:eastAsia="zh-CN"/>
              </w:rPr>
            </w:pPr>
          </w:p>
        </w:tc>
        <w:tc>
          <w:tcPr>
            <w:tcW w:w="36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31099</w:t>
            </w:r>
          </w:p>
        </w:tc>
        <w:tc>
          <w:tcPr>
            <w:tcW w:w="12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其他资本性支出</w:t>
            </w:r>
          </w:p>
        </w:tc>
        <w:tc>
          <w:tcPr>
            <w:tcW w:w="926" w:type="dxa"/>
            <w:gridSpan w:val="2"/>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color w:val="000000"/>
                <w:kern w:val="0"/>
                <w:sz w:val="21"/>
                <w:szCs w:val="21"/>
                <w:highlight w:val="none"/>
              </w:rPr>
            </w:pPr>
          </w:p>
        </w:tc>
      </w:tr>
      <w:tr>
        <w:tblPrEx>
          <w:tblCellMar>
            <w:top w:w="0" w:type="dxa"/>
            <w:left w:w="108" w:type="dxa"/>
            <w:bottom w:w="0" w:type="dxa"/>
            <w:right w:w="108" w:type="dxa"/>
          </w:tblCellMar>
        </w:tblPrEx>
        <w:trPr>
          <w:trHeight w:val="284" w:hRule="exact"/>
          <w:jc w:val="center"/>
        </w:trPr>
        <w:tc>
          <w:tcPr>
            <w:tcW w:w="348"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30306</w:t>
            </w:r>
          </w:p>
        </w:tc>
        <w:tc>
          <w:tcPr>
            <w:tcW w:w="10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救济费</w:t>
            </w:r>
          </w:p>
        </w:tc>
        <w:tc>
          <w:tcPr>
            <w:tcW w:w="312" w:type="pct"/>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color w:val="000000"/>
                <w:kern w:val="0"/>
                <w:sz w:val="21"/>
                <w:szCs w:val="21"/>
                <w:highlight w:val="none"/>
              </w:rPr>
            </w:pPr>
          </w:p>
        </w:tc>
        <w:tc>
          <w:tcPr>
            <w:tcW w:w="365"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30226</w:t>
            </w:r>
          </w:p>
        </w:tc>
        <w:tc>
          <w:tcPr>
            <w:tcW w:w="66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劳务费</w:t>
            </w:r>
          </w:p>
        </w:tc>
        <w:tc>
          <w:tcPr>
            <w:tcW w:w="10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0"/>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1.20</w:t>
            </w:r>
          </w:p>
        </w:tc>
        <w:tc>
          <w:tcPr>
            <w:tcW w:w="36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399</w:t>
            </w:r>
          </w:p>
        </w:tc>
        <w:tc>
          <w:tcPr>
            <w:tcW w:w="12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其他支出</w:t>
            </w:r>
          </w:p>
        </w:tc>
        <w:tc>
          <w:tcPr>
            <w:tcW w:w="926" w:type="dxa"/>
            <w:gridSpan w:val="2"/>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color w:val="000000"/>
                <w:kern w:val="0"/>
                <w:sz w:val="21"/>
                <w:szCs w:val="21"/>
                <w:highlight w:val="none"/>
              </w:rPr>
            </w:pPr>
          </w:p>
        </w:tc>
      </w:tr>
      <w:tr>
        <w:tblPrEx>
          <w:tblCellMar>
            <w:top w:w="0" w:type="dxa"/>
            <w:left w:w="108" w:type="dxa"/>
            <w:bottom w:w="0" w:type="dxa"/>
            <w:right w:w="108" w:type="dxa"/>
          </w:tblCellMar>
        </w:tblPrEx>
        <w:trPr>
          <w:trHeight w:val="284" w:hRule="exact"/>
          <w:jc w:val="center"/>
        </w:trPr>
        <w:tc>
          <w:tcPr>
            <w:tcW w:w="348"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30307</w:t>
            </w:r>
          </w:p>
        </w:tc>
        <w:tc>
          <w:tcPr>
            <w:tcW w:w="10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医疗费补助</w:t>
            </w:r>
          </w:p>
        </w:tc>
        <w:tc>
          <w:tcPr>
            <w:tcW w:w="312" w:type="pct"/>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color w:val="000000"/>
                <w:kern w:val="0"/>
                <w:sz w:val="21"/>
                <w:szCs w:val="21"/>
                <w:highlight w:val="none"/>
              </w:rPr>
            </w:pPr>
          </w:p>
        </w:tc>
        <w:tc>
          <w:tcPr>
            <w:tcW w:w="365"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30227</w:t>
            </w:r>
          </w:p>
        </w:tc>
        <w:tc>
          <w:tcPr>
            <w:tcW w:w="66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委托业务费</w:t>
            </w:r>
          </w:p>
        </w:tc>
        <w:tc>
          <w:tcPr>
            <w:tcW w:w="1062"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color w:val="000000"/>
                <w:kern w:val="0"/>
                <w:sz w:val="21"/>
                <w:szCs w:val="21"/>
                <w:highlight w:val="none"/>
                <w:lang w:val="en-US" w:eastAsia="zh-CN"/>
              </w:rPr>
            </w:pPr>
          </w:p>
        </w:tc>
        <w:tc>
          <w:tcPr>
            <w:tcW w:w="36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39906</w:t>
            </w:r>
          </w:p>
        </w:tc>
        <w:tc>
          <w:tcPr>
            <w:tcW w:w="12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赠与</w:t>
            </w:r>
          </w:p>
        </w:tc>
        <w:tc>
          <w:tcPr>
            <w:tcW w:w="926" w:type="dxa"/>
            <w:gridSpan w:val="2"/>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color w:val="000000"/>
                <w:kern w:val="0"/>
                <w:sz w:val="21"/>
                <w:szCs w:val="21"/>
                <w:highlight w:val="none"/>
              </w:rPr>
            </w:pPr>
          </w:p>
        </w:tc>
      </w:tr>
      <w:tr>
        <w:tblPrEx>
          <w:tblCellMar>
            <w:top w:w="0" w:type="dxa"/>
            <w:left w:w="108" w:type="dxa"/>
            <w:bottom w:w="0" w:type="dxa"/>
            <w:right w:w="108" w:type="dxa"/>
          </w:tblCellMar>
        </w:tblPrEx>
        <w:trPr>
          <w:trHeight w:val="284" w:hRule="exact"/>
          <w:jc w:val="center"/>
        </w:trPr>
        <w:tc>
          <w:tcPr>
            <w:tcW w:w="348"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30308</w:t>
            </w:r>
          </w:p>
        </w:tc>
        <w:tc>
          <w:tcPr>
            <w:tcW w:w="10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助学金</w:t>
            </w:r>
          </w:p>
        </w:tc>
        <w:tc>
          <w:tcPr>
            <w:tcW w:w="312" w:type="pct"/>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color w:val="000000"/>
                <w:kern w:val="0"/>
                <w:sz w:val="21"/>
                <w:szCs w:val="21"/>
                <w:highlight w:val="none"/>
              </w:rPr>
            </w:pPr>
          </w:p>
        </w:tc>
        <w:tc>
          <w:tcPr>
            <w:tcW w:w="365"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30228</w:t>
            </w:r>
          </w:p>
        </w:tc>
        <w:tc>
          <w:tcPr>
            <w:tcW w:w="66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工会经费</w:t>
            </w:r>
          </w:p>
        </w:tc>
        <w:tc>
          <w:tcPr>
            <w:tcW w:w="10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0"/>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6.00</w:t>
            </w:r>
          </w:p>
        </w:tc>
        <w:tc>
          <w:tcPr>
            <w:tcW w:w="36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39907</w:t>
            </w:r>
          </w:p>
        </w:tc>
        <w:tc>
          <w:tcPr>
            <w:tcW w:w="12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国家赔偿费用支出</w:t>
            </w:r>
          </w:p>
        </w:tc>
        <w:tc>
          <w:tcPr>
            <w:tcW w:w="926" w:type="dxa"/>
            <w:gridSpan w:val="2"/>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color w:val="000000"/>
                <w:kern w:val="0"/>
                <w:sz w:val="21"/>
                <w:szCs w:val="21"/>
                <w:highlight w:val="none"/>
              </w:rPr>
            </w:pPr>
          </w:p>
        </w:tc>
      </w:tr>
      <w:tr>
        <w:tblPrEx>
          <w:tblCellMar>
            <w:top w:w="0" w:type="dxa"/>
            <w:left w:w="108" w:type="dxa"/>
            <w:bottom w:w="0" w:type="dxa"/>
            <w:right w:w="108" w:type="dxa"/>
          </w:tblCellMar>
        </w:tblPrEx>
        <w:trPr>
          <w:trHeight w:val="284" w:hRule="exact"/>
          <w:jc w:val="center"/>
        </w:trPr>
        <w:tc>
          <w:tcPr>
            <w:tcW w:w="348"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30309</w:t>
            </w:r>
          </w:p>
        </w:tc>
        <w:tc>
          <w:tcPr>
            <w:tcW w:w="10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奖励金</w:t>
            </w:r>
          </w:p>
        </w:tc>
        <w:tc>
          <w:tcPr>
            <w:tcW w:w="312" w:type="pct"/>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color w:val="000000"/>
                <w:kern w:val="0"/>
                <w:sz w:val="21"/>
                <w:szCs w:val="21"/>
                <w:highlight w:val="none"/>
              </w:rPr>
            </w:pPr>
          </w:p>
        </w:tc>
        <w:tc>
          <w:tcPr>
            <w:tcW w:w="365"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30229</w:t>
            </w:r>
          </w:p>
        </w:tc>
        <w:tc>
          <w:tcPr>
            <w:tcW w:w="66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福利费</w:t>
            </w:r>
          </w:p>
        </w:tc>
        <w:tc>
          <w:tcPr>
            <w:tcW w:w="10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0"/>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3.00</w:t>
            </w:r>
          </w:p>
        </w:tc>
        <w:tc>
          <w:tcPr>
            <w:tcW w:w="36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39908</w:t>
            </w:r>
          </w:p>
        </w:tc>
        <w:tc>
          <w:tcPr>
            <w:tcW w:w="12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对民间非营利组织和群众性自治组织补贴</w:t>
            </w:r>
          </w:p>
        </w:tc>
        <w:tc>
          <w:tcPr>
            <w:tcW w:w="926" w:type="dxa"/>
            <w:gridSpan w:val="2"/>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color w:val="000000"/>
                <w:kern w:val="0"/>
                <w:sz w:val="21"/>
                <w:szCs w:val="21"/>
                <w:highlight w:val="none"/>
              </w:rPr>
            </w:pPr>
          </w:p>
        </w:tc>
      </w:tr>
      <w:tr>
        <w:tblPrEx>
          <w:tblCellMar>
            <w:top w:w="0" w:type="dxa"/>
            <w:left w:w="108" w:type="dxa"/>
            <w:bottom w:w="0" w:type="dxa"/>
            <w:right w:w="108" w:type="dxa"/>
          </w:tblCellMar>
        </w:tblPrEx>
        <w:trPr>
          <w:trHeight w:val="284" w:hRule="exact"/>
          <w:jc w:val="center"/>
        </w:trPr>
        <w:tc>
          <w:tcPr>
            <w:tcW w:w="348"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30310</w:t>
            </w:r>
          </w:p>
        </w:tc>
        <w:tc>
          <w:tcPr>
            <w:tcW w:w="10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个人农业生产补贴</w:t>
            </w:r>
          </w:p>
        </w:tc>
        <w:tc>
          <w:tcPr>
            <w:tcW w:w="312" w:type="pct"/>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color w:val="000000"/>
                <w:kern w:val="0"/>
                <w:sz w:val="21"/>
                <w:szCs w:val="21"/>
                <w:highlight w:val="none"/>
              </w:rPr>
            </w:pPr>
          </w:p>
        </w:tc>
        <w:tc>
          <w:tcPr>
            <w:tcW w:w="365"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30231</w:t>
            </w:r>
          </w:p>
        </w:tc>
        <w:tc>
          <w:tcPr>
            <w:tcW w:w="66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公务用车运行维护费</w:t>
            </w:r>
          </w:p>
        </w:tc>
        <w:tc>
          <w:tcPr>
            <w:tcW w:w="1062"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color w:val="000000"/>
                <w:kern w:val="0"/>
                <w:sz w:val="21"/>
                <w:szCs w:val="21"/>
                <w:highlight w:val="none"/>
                <w:lang w:val="en-US" w:eastAsia="zh-CN"/>
              </w:rPr>
            </w:pPr>
          </w:p>
        </w:tc>
        <w:tc>
          <w:tcPr>
            <w:tcW w:w="36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39999</w:t>
            </w:r>
          </w:p>
        </w:tc>
        <w:tc>
          <w:tcPr>
            <w:tcW w:w="12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其他支出</w:t>
            </w:r>
          </w:p>
        </w:tc>
        <w:tc>
          <w:tcPr>
            <w:tcW w:w="926" w:type="dxa"/>
            <w:gridSpan w:val="2"/>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color w:val="000000"/>
                <w:kern w:val="0"/>
                <w:sz w:val="21"/>
                <w:szCs w:val="21"/>
                <w:highlight w:val="none"/>
              </w:rPr>
            </w:pPr>
          </w:p>
        </w:tc>
      </w:tr>
      <w:tr>
        <w:tblPrEx>
          <w:tblCellMar>
            <w:top w:w="0" w:type="dxa"/>
            <w:left w:w="108" w:type="dxa"/>
            <w:bottom w:w="0" w:type="dxa"/>
            <w:right w:w="108" w:type="dxa"/>
          </w:tblCellMar>
        </w:tblPrEx>
        <w:trPr>
          <w:trHeight w:val="284" w:hRule="exact"/>
          <w:jc w:val="center"/>
        </w:trPr>
        <w:tc>
          <w:tcPr>
            <w:tcW w:w="348"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30311</w:t>
            </w:r>
          </w:p>
        </w:tc>
        <w:tc>
          <w:tcPr>
            <w:tcW w:w="10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代缴社会保险费</w:t>
            </w:r>
          </w:p>
        </w:tc>
        <w:tc>
          <w:tcPr>
            <w:tcW w:w="312" w:type="pct"/>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color w:val="000000"/>
                <w:kern w:val="0"/>
                <w:sz w:val="21"/>
                <w:szCs w:val="21"/>
                <w:highlight w:val="none"/>
              </w:rPr>
            </w:pPr>
          </w:p>
        </w:tc>
        <w:tc>
          <w:tcPr>
            <w:tcW w:w="365"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30239</w:t>
            </w:r>
          </w:p>
        </w:tc>
        <w:tc>
          <w:tcPr>
            <w:tcW w:w="66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其他交通费用</w:t>
            </w:r>
          </w:p>
        </w:tc>
        <w:tc>
          <w:tcPr>
            <w:tcW w:w="10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0"/>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4.00</w:t>
            </w:r>
          </w:p>
        </w:tc>
        <w:tc>
          <w:tcPr>
            <w:tcW w:w="36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w:t>
            </w:r>
          </w:p>
        </w:tc>
        <w:tc>
          <w:tcPr>
            <w:tcW w:w="12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w:t>
            </w:r>
          </w:p>
        </w:tc>
        <w:tc>
          <w:tcPr>
            <w:tcW w:w="926" w:type="dxa"/>
            <w:gridSpan w:val="2"/>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color w:val="000000"/>
                <w:kern w:val="0"/>
                <w:sz w:val="21"/>
                <w:szCs w:val="21"/>
                <w:highlight w:val="none"/>
              </w:rPr>
            </w:pPr>
          </w:p>
        </w:tc>
      </w:tr>
      <w:tr>
        <w:tblPrEx>
          <w:tblCellMar>
            <w:top w:w="0" w:type="dxa"/>
            <w:left w:w="108" w:type="dxa"/>
            <w:bottom w:w="0" w:type="dxa"/>
            <w:right w:w="108" w:type="dxa"/>
          </w:tblCellMar>
        </w:tblPrEx>
        <w:trPr>
          <w:trHeight w:val="284" w:hRule="exact"/>
          <w:jc w:val="center"/>
        </w:trPr>
        <w:tc>
          <w:tcPr>
            <w:tcW w:w="348"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30399</w:t>
            </w:r>
          </w:p>
        </w:tc>
        <w:tc>
          <w:tcPr>
            <w:tcW w:w="10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其他对个人和家庭的补助</w:t>
            </w:r>
          </w:p>
        </w:tc>
        <w:tc>
          <w:tcPr>
            <w:tcW w:w="312" w:type="pct"/>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color w:val="000000"/>
                <w:kern w:val="0"/>
                <w:sz w:val="21"/>
                <w:szCs w:val="21"/>
                <w:highlight w:val="none"/>
              </w:rPr>
            </w:pPr>
          </w:p>
        </w:tc>
        <w:tc>
          <w:tcPr>
            <w:tcW w:w="365"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30240</w:t>
            </w:r>
          </w:p>
        </w:tc>
        <w:tc>
          <w:tcPr>
            <w:tcW w:w="66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税金及附加费用</w:t>
            </w:r>
          </w:p>
        </w:tc>
        <w:tc>
          <w:tcPr>
            <w:tcW w:w="1062"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color w:val="000000"/>
                <w:kern w:val="0"/>
                <w:sz w:val="21"/>
                <w:szCs w:val="21"/>
                <w:highlight w:val="none"/>
                <w:lang w:val="en-US" w:eastAsia="zh-CN"/>
              </w:rPr>
            </w:pPr>
          </w:p>
        </w:tc>
        <w:tc>
          <w:tcPr>
            <w:tcW w:w="36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w:t>
            </w:r>
          </w:p>
        </w:tc>
        <w:tc>
          <w:tcPr>
            <w:tcW w:w="12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w:t>
            </w:r>
          </w:p>
        </w:tc>
        <w:tc>
          <w:tcPr>
            <w:tcW w:w="926" w:type="dxa"/>
            <w:gridSpan w:val="2"/>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color w:val="000000"/>
                <w:kern w:val="0"/>
                <w:sz w:val="21"/>
                <w:szCs w:val="21"/>
                <w:highlight w:val="none"/>
              </w:rPr>
            </w:pPr>
          </w:p>
        </w:tc>
      </w:tr>
      <w:tr>
        <w:tblPrEx>
          <w:tblCellMar>
            <w:top w:w="0" w:type="dxa"/>
            <w:left w:w="108" w:type="dxa"/>
            <w:bottom w:w="0" w:type="dxa"/>
            <w:right w:w="108" w:type="dxa"/>
          </w:tblCellMar>
        </w:tblPrEx>
        <w:trPr>
          <w:trHeight w:val="284" w:hRule="exact"/>
          <w:jc w:val="center"/>
        </w:trPr>
        <w:tc>
          <w:tcPr>
            <w:tcW w:w="348"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w:t>
            </w:r>
          </w:p>
        </w:tc>
        <w:tc>
          <w:tcPr>
            <w:tcW w:w="109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w:t>
            </w:r>
          </w:p>
        </w:tc>
        <w:tc>
          <w:tcPr>
            <w:tcW w:w="312" w:type="pct"/>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color w:val="000000"/>
                <w:kern w:val="0"/>
                <w:sz w:val="21"/>
                <w:szCs w:val="21"/>
                <w:highlight w:val="none"/>
              </w:rPr>
            </w:pPr>
          </w:p>
        </w:tc>
        <w:tc>
          <w:tcPr>
            <w:tcW w:w="365"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30299</w:t>
            </w:r>
          </w:p>
        </w:tc>
        <w:tc>
          <w:tcPr>
            <w:tcW w:w="66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xml:space="preserve">  其他商品和服务支出</w:t>
            </w:r>
          </w:p>
        </w:tc>
        <w:tc>
          <w:tcPr>
            <w:tcW w:w="10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0"/>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13.12</w:t>
            </w:r>
          </w:p>
        </w:tc>
        <w:tc>
          <w:tcPr>
            <w:tcW w:w="36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w:t>
            </w:r>
          </w:p>
        </w:tc>
        <w:tc>
          <w:tcPr>
            <w:tcW w:w="12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　</w:t>
            </w:r>
          </w:p>
        </w:tc>
        <w:tc>
          <w:tcPr>
            <w:tcW w:w="926" w:type="dxa"/>
            <w:gridSpan w:val="2"/>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eastAsiaTheme="minorEastAsia"/>
                <w:color w:val="000000"/>
                <w:kern w:val="0"/>
                <w:sz w:val="21"/>
                <w:szCs w:val="21"/>
                <w:highlight w:val="none"/>
              </w:rPr>
            </w:pPr>
          </w:p>
        </w:tc>
      </w:tr>
      <w:tr>
        <w:tblPrEx>
          <w:tblCellMar>
            <w:top w:w="0" w:type="dxa"/>
            <w:left w:w="108" w:type="dxa"/>
            <w:bottom w:w="0" w:type="dxa"/>
            <w:right w:w="108" w:type="dxa"/>
          </w:tblCellMar>
        </w:tblPrEx>
        <w:trPr>
          <w:trHeight w:val="284" w:hRule="exact"/>
          <w:jc w:val="center"/>
        </w:trPr>
        <w:tc>
          <w:tcPr>
            <w:tcW w:w="1445"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人员经费合计</w:t>
            </w:r>
          </w:p>
        </w:tc>
        <w:tc>
          <w:tcPr>
            <w:tcW w:w="3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b/>
                <w:bCs/>
                <w:i w:val="0"/>
                <w:iCs w:val="0"/>
                <w:color w:val="000000"/>
                <w:kern w:val="0"/>
                <w:sz w:val="21"/>
                <w:szCs w:val="21"/>
                <w:highlight w:val="none"/>
                <w:u w:val="none"/>
                <w:lang w:val="en-US" w:eastAsia="zh-CN" w:bidi="ar"/>
              </w:rPr>
              <w:t>271.35</w:t>
            </w:r>
          </w:p>
        </w:tc>
        <w:tc>
          <w:tcPr>
            <w:tcW w:w="2945" w:type="pct"/>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公用经费合计</w:t>
            </w:r>
          </w:p>
        </w:tc>
        <w:tc>
          <w:tcPr>
            <w:tcW w:w="92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0"/>
                <w:sz w:val="21"/>
                <w:szCs w:val="21"/>
                <w:highlight w:val="none"/>
                <w:lang w:val="en-US" w:eastAsia="zh-CN"/>
              </w:rPr>
            </w:pPr>
            <w:r>
              <w:rPr>
                <w:rFonts w:hint="default" w:ascii="Times New Roman" w:hAnsi="Times New Roman" w:eastAsia="宋体" w:cs="Times New Roman"/>
                <w:b/>
                <w:bCs/>
                <w:i w:val="0"/>
                <w:iCs w:val="0"/>
                <w:color w:val="000000"/>
                <w:kern w:val="0"/>
                <w:sz w:val="21"/>
                <w:szCs w:val="21"/>
                <w:highlight w:val="none"/>
                <w:u w:val="none"/>
                <w:lang w:val="en-US" w:eastAsia="zh-CN" w:bidi="ar"/>
              </w:rPr>
              <w:t>236.82</w:t>
            </w:r>
          </w:p>
        </w:tc>
      </w:tr>
      <w:tr>
        <w:tblPrEx>
          <w:tblCellMar>
            <w:top w:w="0" w:type="dxa"/>
            <w:left w:w="108" w:type="dxa"/>
            <w:bottom w:w="0" w:type="dxa"/>
            <w:right w:w="108" w:type="dxa"/>
          </w:tblCellMar>
        </w:tblPrEx>
        <w:trPr>
          <w:trHeight w:val="284" w:hRule="exact"/>
          <w:jc w:val="center"/>
        </w:trPr>
        <w:tc>
          <w:tcPr>
            <w:tcW w:w="5000" w:type="pct"/>
            <w:gridSpan w:val="14"/>
            <w:tcBorders>
              <w:top w:val="nil"/>
              <w:left w:val="nil"/>
              <w:bottom w:val="nil"/>
              <w:right w:val="nil"/>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注：本表反映部门本年度一般公共预算财政拨款基本支出明细情况。</w:t>
            </w:r>
          </w:p>
        </w:tc>
      </w:tr>
    </w:tbl>
    <w:p>
      <w:pPr>
        <w:widowControl/>
        <w:jc w:val="center"/>
        <w:rPr>
          <w:rFonts w:hint="eastAsia" w:cs="Times New Roman" w:asciiTheme="minorEastAsia" w:hAnsiTheme="minorEastAsia"/>
          <w:color w:val="000000"/>
          <w:kern w:val="0"/>
          <w:sz w:val="21"/>
          <w:szCs w:val="21"/>
          <w:highlight w:val="none"/>
        </w:rPr>
      </w:pPr>
    </w:p>
    <w:p>
      <w:pPr>
        <w:widowControl/>
        <w:jc w:val="center"/>
        <w:rPr>
          <w:rFonts w:cs="Times New Roman" w:asciiTheme="minorEastAsia" w:hAnsiTheme="minorEastAsia"/>
          <w:color w:val="000000"/>
          <w:kern w:val="0"/>
          <w:szCs w:val="21"/>
          <w:highlight w:val="none"/>
        </w:rPr>
      </w:pPr>
      <w:r>
        <w:rPr>
          <w:rFonts w:hint="eastAsia" w:cs="Times New Roman" w:asciiTheme="minorEastAsia" w:hAnsiTheme="minorEastAsia"/>
          <w:color w:val="000000"/>
          <w:kern w:val="0"/>
          <w:sz w:val="36"/>
          <w:szCs w:val="36"/>
          <w:highlight w:val="none"/>
        </w:rPr>
        <w:t>一般公共预算财政拨款“三公”经费支出决算表</w:t>
      </w:r>
      <w:r>
        <w:rPr>
          <w:rFonts w:cs="Times New Roman" w:asciiTheme="minorEastAsia" w:hAnsiTheme="minorEastAsia"/>
          <w:color w:val="000000"/>
          <w:kern w:val="0"/>
          <w:szCs w:val="21"/>
          <w:highlight w:val="none"/>
        </w:rPr>
        <w:t xml:space="preserve">                                                                                                              </w:t>
      </w:r>
      <w:r>
        <w:rPr>
          <w:rFonts w:hint="eastAsia" w:cs="Times New Roman" w:asciiTheme="minorEastAsia" w:hAnsiTheme="minorEastAsia"/>
          <w:color w:val="000000"/>
          <w:kern w:val="0"/>
          <w:szCs w:val="21"/>
          <w:highlight w:val="none"/>
        </w:rPr>
        <w:t xml:space="preserve">         </w:t>
      </w:r>
      <w:r>
        <w:rPr>
          <w:rFonts w:cs="Times New Roman" w:asciiTheme="minorEastAsia" w:hAnsiTheme="minorEastAsia"/>
          <w:color w:val="000000"/>
          <w:kern w:val="0"/>
          <w:szCs w:val="21"/>
          <w:highlight w:val="none"/>
        </w:rPr>
        <w:t xml:space="preserve">       </w:t>
      </w:r>
    </w:p>
    <w:tbl>
      <w:tblPr>
        <w:tblStyle w:val="9"/>
        <w:tblW w:w="4941" w:type="pct"/>
        <w:jc w:val="center"/>
        <w:tblLayout w:type="autofit"/>
        <w:tblCellMar>
          <w:top w:w="0" w:type="dxa"/>
          <w:left w:w="108" w:type="dxa"/>
          <w:bottom w:w="0" w:type="dxa"/>
          <w:right w:w="108" w:type="dxa"/>
        </w:tblCellMar>
      </w:tblPr>
      <w:tblGrid>
        <w:gridCol w:w="1182"/>
        <w:gridCol w:w="1296"/>
        <w:gridCol w:w="1296"/>
        <w:gridCol w:w="1296"/>
        <w:gridCol w:w="1305"/>
        <w:gridCol w:w="1324"/>
        <w:gridCol w:w="1296"/>
        <w:gridCol w:w="1296"/>
        <w:gridCol w:w="1296"/>
        <w:gridCol w:w="1296"/>
        <w:gridCol w:w="1305"/>
        <w:gridCol w:w="1242"/>
      </w:tblGrid>
      <w:tr>
        <w:tblPrEx>
          <w:tblCellMar>
            <w:top w:w="0" w:type="dxa"/>
            <w:left w:w="108" w:type="dxa"/>
            <w:bottom w:w="0" w:type="dxa"/>
            <w:right w:w="108" w:type="dxa"/>
          </w:tblCellMar>
        </w:tblPrEx>
        <w:trPr>
          <w:trHeight w:val="397" w:hRule="atLeast"/>
          <w:jc w:val="center"/>
        </w:trPr>
        <w:tc>
          <w:tcPr>
            <w:tcW w:w="2493" w:type="pct"/>
            <w:gridSpan w:val="6"/>
            <w:tcBorders>
              <w:top w:val="nil"/>
              <w:left w:val="nil"/>
              <w:bottom w:val="nil"/>
              <w:right w:val="nil"/>
            </w:tcBorders>
            <w:shd w:val="clear" w:color="auto" w:fill="auto"/>
            <w:vAlign w:val="center"/>
          </w:tcPr>
          <w:p>
            <w:pPr>
              <w:widowControl/>
              <w:jc w:val="center"/>
              <w:rPr>
                <w:rFonts w:hint="default" w:ascii="Times New Roman" w:hAnsi="Times New Roman" w:cs="Times New Roman" w:eastAsiaTheme="minorEastAsia"/>
                <w:kern w:val="0"/>
                <w:sz w:val="21"/>
                <w:szCs w:val="21"/>
                <w:highlight w:val="none"/>
              </w:rPr>
            </w:pPr>
          </w:p>
        </w:tc>
        <w:tc>
          <w:tcPr>
            <w:tcW w:w="2506" w:type="pct"/>
            <w:gridSpan w:val="6"/>
            <w:tcBorders>
              <w:top w:val="nil"/>
              <w:left w:val="nil"/>
              <w:bottom w:val="nil"/>
              <w:right w:val="nil"/>
            </w:tcBorders>
            <w:shd w:val="clear" w:color="auto" w:fill="auto"/>
            <w:vAlign w:val="center"/>
          </w:tcPr>
          <w:p>
            <w:pPr>
              <w:widowControl/>
              <w:jc w:val="righ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color w:val="000000"/>
                <w:kern w:val="0"/>
                <w:sz w:val="21"/>
                <w:szCs w:val="21"/>
                <w:highlight w:val="none"/>
              </w:rPr>
              <w:t>公开07表</w:t>
            </w:r>
          </w:p>
        </w:tc>
      </w:tr>
      <w:tr>
        <w:tblPrEx>
          <w:tblCellMar>
            <w:top w:w="0" w:type="dxa"/>
            <w:left w:w="108" w:type="dxa"/>
            <w:bottom w:w="0" w:type="dxa"/>
            <w:right w:w="108" w:type="dxa"/>
          </w:tblCellMar>
        </w:tblPrEx>
        <w:trPr>
          <w:trHeight w:val="397" w:hRule="atLeast"/>
          <w:jc w:val="center"/>
        </w:trPr>
        <w:tc>
          <w:tcPr>
            <w:tcW w:w="2493" w:type="pct"/>
            <w:gridSpan w:val="6"/>
            <w:tcBorders>
              <w:top w:val="nil"/>
              <w:left w:val="nil"/>
              <w:bottom w:val="single" w:color="auto" w:sz="4" w:space="0"/>
              <w:right w:val="nil"/>
            </w:tcBorders>
            <w:shd w:val="clear" w:color="auto" w:fill="auto"/>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color w:val="000000"/>
                <w:kern w:val="0"/>
                <w:sz w:val="21"/>
                <w:szCs w:val="21"/>
                <w:highlight w:val="none"/>
              </w:rPr>
              <w:t>部门：</w:t>
            </w:r>
            <w:r>
              <w:rPr>
                <w:rFonts w:hint="default" w:ascii="Times New Roman" w:hAnsi="Times New Roman" w:cs="Times New Roman" w:eastAsiaTheme="minorEastAsia"/>
                <w:color w:val="000000"/>
                <w:kern w:val="0"/>
                <w:sz w:val="21"/>
                <w:szCs w:val="21"/>
                <w:highlight w:val="none"/>
                <w:lang w:eastAsia="zh-CN"/>
              </w:rPr>
              <w:t>中共祁阳市委政法委员会</w:t>
            </w:r>
            <w:r>
              <w:rPr>
                <w:rFonts w:hint="default" w:ascii="Times New Roman" w:hAnsi="Times New Roman" w:cs="Times New Roman" w:eastAsiaTheme="minorEastAsia"/>
                <w:sz w:val="21"/>
                <w:szCs w:val="21"/>
                <w:highlight w:val="none"/>
              </w:rPr>
              <w:t>　</w:t>
            </w:r>
          </w:p>
        </w:tc>
        <w:tc>
          <w:tcPr>
            <w:tcW w:w="2506" w:type="pct"/>
            <w:gridSpan w:val="6"/>
            <w:tcBorders>
              <w:top w:val="nil"/>
              <w:left w:val="nil"/>
              <w:bottom w:val="single" w:color="auto" w:sz="4" w:space="0"/>
              <w:right w:val="nil"/>
            </w:tcBorders>
            <w:shd w:val="clear" w:color="auto" w:fill="auto"/>
            <w:vAlign w:val="center"/>
          </w:tcPr>
          <w:p>
            <w:pPr>
              <w:widowControl/>
              <w:jc w:val="righ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color w:val="000000"/>
                <w:kern w:val="0"/>
                <w:sz w:val="21"/>
                <w:szCs w:val="21"/>
                <w:highlight w:val="none"/>
              </w:rPr>
              <w:t>单位：万元</w:t>
            </w:r>
          </w:p>
        </w:tc>
      </w:tr>
      <w:tr>
        <w:tblPrEx>
          <w:tblCellMar>
            <w:top w:w="0" w:type="dxa"/>
            <w:left w:w="108" w:type="dxa"/>
            <w:bottom w:w="0" w:type="dxa"/>
            <w:right w:w="108" w:type="dxa"/>
          </w:tblCellMar>
        </w:tblPrEx>
        <w:trPr>
          <w:trHeight w:val="397" w:hRule="atLeast"/>
          <w:jc w:val="center"/>
        </w:trPr>
        <w:tc>
          <w:tcPr>
            <w:tcW w:w="2493"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预算数</w:t>
            </w:r>
          </w:p>
        </w:tc>
        <w:tc>
          <w:tcPr>
            <w:tcW w:w="2506"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决算数</w:t>
            </w:r>
          </w:p>
        </w:tc>
      </w:tr>
      <w:tr>
        <w:tblPrEx>
          <w:tblCellMar>
            <w:top w:w="0" w:type="dxa"/>
            <w:left w:w="108" w:type="dxa"/>
            <w:bottom w:w="0" w:type="dxa"/>
            <w:right w:w="108" w:type="dxa"/>
          </w:tblCellMar>
        </w:tblPrEx>
        <w:trPr>
          <w:trHeight w:val="397" w:hRule="atLeast"/>
          <w:jc w:val="center"/>
        </w:trPr>
        <w:tc>
          <w:tcPr>
            <w:tcW w:w="383" w:type="pct"/>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合计</w:t>
            </w:r>
          </w:p>
        </w:tc>
        <w:tc>
          <w:tcPr>
            <w:tcW w:w="4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因公出国（境）费</w:t>
            </w:r>
          </w:p>
        </w:tc>
        <w:tc>
          <w:tcPr>
            <w:tcW w:w="1263"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公务用车购置及运行费</w:t>
            </w:r>
          </w:p>
        </w:tc>
        <w:tc>
          <w:tcPr>
            <w:tcW w:w="42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公务</w:t>
            </w:r>
          </w:p>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接待费</w:t>
            </w:r>
          </w:p>
        </w:tc>
        <w:tc>
          <w:tcPr>
            <w:tcW w:w="420" w:type="pct"/>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合计</w:t>
            </w:r>
          </w:p>
        </w:tc>
        <w:tc>
          <w:tcPr>
            <w:tcW w:w="4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因公出国（境）费</w:t>
            </w:r>
          </w:p>
        </w:tc>
        <w:tc>
          <w:tcPr>
            <w:tcW w:w="1263"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公务用车购置及运行费</w:t>
            </w:r>
          </w:p>
        </w:tc>
        <w:tc>
          <w:tcPr>
            <w:tcW w:w="401" w:type="pct"/>
            <w:vMerge w:val="restart"/>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公务</w:t>
            </w:r>
          </w:p>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接待费</w:t>
            </w:r>
          </w:p>
        </w:tc>
      </w:tr>
      <w:tr>
        <w:tblPrEx>
          <w:tblCellMar>
            <w:top w:w="0" w:type="dxa"/>
            <w:left w:w="108" w:type="dxa"/>
            <w:bottom w:w="0" w:type="dxa"/>
            <w:right w:w="108" w:type="dxa"/>
          </w:tblCellMar>
        </w:tblPrEx>
        <w:trPr>
          <w:trHeight w:val="397" w:hRule="atLeast"/>
          <w:jc w:val="center"/>
        </w:trPr>
        <w:tc>
          <w:tcPr>
            <w:tcW w:w="383" w:type="pct"/>
            <w:vMerge w:val="continue"/>
            <w:tcBorders>
              <w:top w:val="single" w:color="auto" w:sz="4" w:space="0"/>
              <w:left w:val="single" w:color="auto" w:sz="8" w:space="0"/>
              <w:bottom w:val="single" w:color="000000"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highlight w:val="none"/>
              </w:rPr>
            </w:pPr>
          </w:p>
        </w:tc>
        <w:tc>
          <w:tcPr>
            <w:tcW w:w="420"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highlight w:val="none"/>
              </w:rPr>
            </w:pPr>
          </w:p>
        </w:tc>
        <w:tc>
          <w:tcPr>
            <w:tcW w:w="42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小计</w:t>
            </w:r>
          </w:p>
        </w:tc>
        <w:tc>
          <w:tcPr>
            <w:tcW w:w="42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cs="Times New Roman" w:eastAsiaTheme="minorEastAsia"/>
                <w:kern w:val="0"/>
                <w:sz w:val="21"/>
                <w:szCs w:val="21"/>
                <w:highlight w:val="none"/>
                <w:lang w:eastAsia="zh-CN"/>
              </w:rPr>
            </w:pPr>
            <w:r>
              <w:rPr>
                <w:rFonts w:hint="default" w:ascii="Times New Roman" w:hAnsi="Times New Roman" w:cs="Times New Roman" w:eastAsiaTheme="minorEastAsia"/>
                <w:kern w:val="0"/>
                <w:sz w:val="21"/>
                <w:szCs w:val="21"/>
                <w:highlight w:val="none"/>
              </w:rPr>
              <w:t>公务用车</w:t>
            </w:r>
          </w:p>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购置费</w:t>
            </w:r>
          </w:p>
        </w:tc>
        <w:tc>
          <w:tcPr>
            <w:tcW w:w="42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cs="Times New Roman" w:eastAsiaTheme="minorEastAsia"/>
                <w:kern w:val="0"/>
                <w:sz w:val="21"/>
                <w:szCs w:val="21"/>
                <w:highlight w:val="none"/>
                <w:lang w:eastAsia="zh-CN"/>
              </w:rPr>
            </w:pPr>
            <w:r>
              <w:rPr>
                <w:rFonts w:hint="default" w:ascii="Times New Roman" w:hAnsi="Times New Roman" w:cs="Times New Roman" w:eastAsiaTheme="minorEastAsia"/>
                <w:kern w:val="0"/>
                <w:sz w:val="21"/>
                <w:szCs w:val="21"/>
                <w:highlight w:val="none"/>
              </w:rPr>
              <w:t>公务用车</w:t>
            </w:r>
          </w:p>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运行费</w:t>
            </w:r>
          </w:p>
        </w:tc>
        <w:tc>
          <w:tcPr>
            <w:tcW w:w="42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highlight w:val="none"/>
              </w:rPr>
            </w:pPr>
          </w:p>
        </w:tc>
        <w:tc>
          <w:tcPr>
            <w:tcW w:w="420" w:type="pct"/>
            <w:vMerge w:val="continue"/>
            <w:tcBorders>
              <w:top w:val="single" w:color="auto" w:sz="4" w:space="0"/>
              <w:left w:val="nil"/>
              <w:bottom w:val="single" w:color="000000"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highlight w:val="none"/>
              </w:rPr>
            </w:pPr>
          </w:p>
        </w:tc>
        <w:tc>
          <w:tcPr>
            <w:tcW w:w="420"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highlight w:val="none"/>
              </w:rPr>
            </w:pPr>
          </w:p>
        </w:tc>
        <w:tc>
          <w:tcPr>
            <w:tcW w:w="42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小计</w:t>
            </w:r>
          </w:p>
        </w:tc>
        <w:tc>
          <w:tcPr>
            <w:tcW w:w="42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cs="Times New Roman" w:eastAsiaTheme="minorEastAsia"/>
                <w:kern w:val="0"/>
                <w:sz w:val="21"/>
                <w:szCs w:val="21"/>
                <w:highlight w:val="none"/>
                <w:lang w:eastAsia="zh-CN"/>
              </w:rPr>
            </w:pPr>
            <w:r>
              <w:rPr>
                <w:rFonts w:hint="default" w:ascii="Times New Roman" w:hAnsi="Times New Roman" w:cs="Times New Roman" w:eastAsiaTheme="minorEastAsia"/>
                <w:kern w:val="0"/>
                <w:sz w:val="21"/>
                <w:szCs w:val="21"/>
                <w:highlight w:val="none"/>
              </w:rPr>
              <w:t>公务用车</w:t>
            </w:r>
          </w:p>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购置费</w:t>
            </w:r>
          </w:p>
        </w:tc>
        <w:tc>
          <w:tcPr>
            <w:tcW w:w="42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cs="Times New Roman" w:eastAsiaTheme="minorEastAsia"/>
                <w:kern w:val="0"/>
                <w:sz w:val="21"/>
                <w:szCs w:val="21"/>
                <w:highlight w:val="none"/>
                <w:lang w:eastAsia="zh-CN"/>
              </w:rPr>
            </w:pPr>
            <w:r>
              <w:rPr>
                <w:rFonts w:hint="default" w:ascii="Times New Roman" w:hAnsi="Times New Roman" w:cs="Times New Roman" w:eastAsiaTheme="minorEastAsia"/>
                <w:kern w:val="0"/>
                <w:sz w:val="21"/>
                <w:szCs w:val="21"/>
                <w:highlight w:val="none"/>
              </w:rPr>
              <w:t>公务用车</w:t>
            </w:r>
          </w:p>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运行费</w:t>
            </w:r>
          </w:p>
        </w:tc>
        <w:tc>
          <w:tcPr>
            <w:tcW w:w="401" w:type="pct"/>
            <w:vMerge w:val="continue"/>
            <w:tcBorders>
              <w:top w:val="single" w:color="auto" w:sz="4" w:space="0"/>
              <w:left w:val="single" w:color="auto" w:sz="4" w:space="0"/>
              <w:bottom w:val="single" w:color="000000" w:sz="4" w:space="0"/>
              <w:right w:val="single" w:color="auto" w:sz="8" w:space="0"/>
            </w:tcBorders>
            <w:vAlign w:val="center"/>
          </w:tcPr>
          <w:p>
            <w:pPr>
              <w:widowControl/>
              <w:jc w:val="left"/>
              <w:rPr>
                <w:rFonts w:hint="default" w:ascii="Times New Roman" w:hAnsi="Times New Roman" w:cs="Times New Roman" w:eastAsiaTheme="minorEastAsia"/>
                <w:kern w:val="0"/>
                <w:sz w:val="21"/>
                <w:szCs w:val="21"/>
                <w:highlight w:val="none"/>
              </w:rPr>
            </w:pPr>
          </w:p>
        </w:tc>
      </w:tr>
      <w:tr>
        <w:tblPrEx>
          <w:tblCellMar>
            <w:top w:w="0" w:type="dxa"/>
            <w:left w:w="108" w:type="dxa"/>
            <w:bottom w:w="0" w:type="dxa"/>
            <w:right w:w="108" w:type="dxa"/>
          </w:tblCellMar>
        </w:tblPrEx>
        <w:trPr>
          <w:trHeight w:val="397" w:hRule="atLeast"/>
          <w:jc w:val="center"/>
        </w:trPr>
        <w:tc>
          <w:tcPr>
            <w:tcW w:w="383"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1</w:t>
            </w:r>
          </w:p>
        </w:tc>
        <w:tc>
          <w:tcPr>
            <w:tcW w:w="420"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2</w:t>
            </w:r>
          </w:p>
        </w:tc>
        <w:tc>
          <w:tcPr>
            <w:tcW w:w="420"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3</w:t>
            </w:r>
          </w:p>
        </w:tc>
        <w:tc>
          <w:tcPr>
            <w:tcW w:w="420"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4</w:t>
            </w:r>
          </w:p>
        </w:tc>
        <w:tc>
          <w:tcPr>
            <w:tcW w:w="421"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5</w:t>
            </w:r>
          </w:p>
        </w:tc>
        <w:tc>
          <w:tcPr>
            <w:tcW w:w="424"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6</w:t>
            </w:r>
          </w:p>
        </w:tc>
        <w:tc>
          <w:tcPr>
            <w:tcW w:w="420"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7</w:t>
            </w:r>
          </w:p>
        </w:tc>
        <w:tc>
          <w:tcPr>
            <w:tcW w:w="420"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8</w:t>
            </w:r>
          </w:p>
        </w:tc>
        <w:tc>
          <w:tcPr>
            <w:tcW w:w="420"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9</w:t>
            </w:r>
          </w:p>
        </w:tc>
        <w:tc>
          <w:tcPr>
            <w:tcW w:w="420"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10</w:t>
            </w:r>
          </w:p>
        </w:tc>
        <w:tc>
          <w:tcPr>
            <w:tcW w:w="421"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11</w:t>
            </w:r>
          </w:p>
        </w:tc>
        <w:tc>
          <w:tcPr>
            <w:tcW w:w="401"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12</w:t>
            </w:r>
          </w:p>
        </w:tc>
      </w:tr>
      <w:tr>
        <w:tblPrEx>
          <w:tblCellMar>
            <w:top w:w="0" w:type="dxa"/>
            <w:left w:w="108" w:type="dxa"/>
            <w:bottom w:w="0" w:type="dxa"/>
            <w:right w:w="108" w:type="dxa"/>
          </w:tblCellMar>
        </w:tblPrEx>
        <w:trPr>
          <w:trHeight w:val="397" w:hRule="atLeast"/>
          <w:jc w:val="center"/>
        </w:trPr>
        <w:tc>
          <w:tcPr>
            <w:tcW w:w="1182"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8.10</w:t>
            </w:r>
          </w:p>
        </w:tc>
        <w:tc>
          <w:tcPr>
            <w:tcW w:w="1296" w:type="dxa"/>
            <w:tcBorders>
              <w:top w:val="nil"/>
              <w:left w:val="nil"/>
              <w:bottom w:val="single" w:color="auto" w:sz="8" w:space="0"/>
              <w:right w:val="single" w:color="auto" w:sz="4" w:space="0"/>
            </w:tcBorders>
            <w:shd w:val="clear" w:color="auto" w:fill="auto"/>
            <w:vAlign w:val="center"/>
          </w:tcPr>
          <w:p>
            <w:pPr>
              <w:jc w:val="center"/>
              <w:rPr>
                <w:rFonts w:hint="default" w:ascii="Times New Roman" w:hAnsi="Times New Roman" w:cs="Times New Roman" w:eastAsiaTheme="minorEastAsia"/>
                <w:kern w:val="0"/>
                <w:sz w:val="21"/>
                <w:szCs w:val="21"/>
                <w:highlight w:val="none"/>
                <w:lang w:val="en-US" w:eastAsia="zh-CN"/>
              </w:rPr>
            </w:pPr>
          </w:p>
        </w:tc>
        <w:tc>
          <w:tcPr>
            <w:tcW w:w="1296" w:type="dxa"/>
            <w:tcBorders>
              <w:top w:val="nil"/>
              <w:left w:val="nil"/>
              <w:bottom w:val="single" w:color="auto" w:sz="8" w:space="0"/>
              <w:right w:val="single" w:color="auto" w:sz="4" w:space="0"/>
            </w:tcBorders>
            <w:shd w:val="clear" w:color="auto" w:fill="auto"/>
            <w:vAlign w:val="center"/>
          </w:tcPr>
          <w:p>
            <w:pPr>
              <w:jc w:val="center"/>
              <w:rPr>
                <w:rFonts w:hint="default" w:ascii="Times New Roman" w:hAnsi="Times New Roman" w:cs="Times New Roman" w:eastAsiaTheme="minorEastAsia"/>
                <w:kern w:val="0"/>
                <w:sz w:val="21"/>
                <w:szCs w:val="21"/>
                <w:highlight w:val="none"/>
                <w:lang w:val="en-US" w:eastAsia="zh-CN"/>
              </w:rPr>
            </w:pPr>
          </w:p>
        </w:tc>
        <w:tc>
          <w:tcPr>
            <w:tcW w:w="1296" w:type="dxa"/>
            <w:tcBorders>
              <w:top w:val="nil"/>
              <w:left w:val="nil"/>
              <w:bottom w:val="single" w:color="auto" w:sz="8" w:space="0"/>
              <w:right w:val="single" w:color="auto" w:sz="4" w:space="0"/>
            </w:tcBorders>
            <w:shd w:val="clear" w:color="auto" w:fill="auto"/>
            <w:vAlign w:val="center"/>
          </w:tcPr>
          <w:p>
            <w:pPr>
              <w:jc w:val="center"/>
              <w:rPr>
                <w:rFonts w:hint="default" w:ascii="Times New Roman" w:hAnsi="Times New Roman" w:cs="Times New Roman" w:eastAsiaTheme="minorEastAsia"/>
                <w:kern w:val="0"/>
                <w:sz w:val="21"/>
                <w:szCs w:val="21"/>
                <w:highlight w:val="none"/>
                <w:lang w:val="en-US" w:eastAsia="zh-CN"/>
              </w:rPr>
            </w:pPr>
          </w:p>
        </w:tc>
        <w:tc>
          <w:tcPr>
            <w:tcW w:w="1305" w:type="dxa"/>
            <w:tcBorders>
              <w:top w:val="nil"/>
              <w:left w:val="nil"/>
              <w:bottom w:val="single" w:color="auto" w:sz="8" w:space="0"/>
              <w:right w:val="single" w:color="auto" w:sz="4" w:space="0"/>
            </w:tcBorders>
            <w:shd w:val="clear" w:color="auto" w:fill="auto"/>
            <w:vAlign w:val="center"/>
          </w:tcPr>
          <w:p>
            <w:pPr>
              <w:jc w:val="center"/>
              <w:rPr>
                <w:rFonts w:hint="default" w:ascii="Times New Roman" w:hAnsi="Times New Roman" w:cs="Times New Roman" w:eastAsiaTheme="minorEastAsia"/>
                <w:kern w:val="0"/>
                <w:sz w:val="21"/>
                <w:szCs w:val="21"/>
                <w:highlight w:val="none"/>
                <w:lang w:val="en-US" w:eastAsia="zh-CN"/>
              </w:rPr>
            </w:pPr>
          </w:p>
        </w:tc>
        <w:tc>
          <w:tcPr>
            <w:tcW w:w="1324"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8.10</w:t>
            </w:r>
          </w:p>
        </w:tc>
        <w:tc>
          <w:tcPr>
            <w:tcW w:w="129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6.00</w:t>
            </w:r>
          </w:p>
        </w:tc>
        <w:tc>
          <w:tcPr>
            <w:tcW w:w="1296" w:type="dxa"/>
            <w:tcBorders>
              <w:top w:val="nil"/>
              <w:left w:val="nil"/>
              <w:bottom w:val="single" w:color="auto" w:sz="8" w:space="0"/>
              <w:right w:val="single" w:color="auto" w:sz="4" w:space="0"/>
            </w:tcBorders>
            <w:shd w:val="clear" w:color="auto" w:fill="auto"/>
            <w:vAlign w:val="center"/>
          </w:tcPr>
          <w:p>
            <w:pPr>
              <w:jc w:val="center"/>
              <w:rPr>
                <w:rFonts w:hint="default" w:ascii="Times New Roman" w:hAnsi="Times New Roman" w:cs="Times New Roman" w:eastAsiaTheme="minorEastAsia"/>
                <w:kern w:val="0"/>
                <w:sz w:val="21"/>
                <w:szCs w:val="21"/>
                <w:highlight w:val="none"/>
                <w:lang w:val="en-US" w:eastAsia="zh-CN"/>
              </w:rPr>
            </w:pPr>
          </w:p>
        </w:tc>
        <w:tc>
          <w:tcPr>
            <w:tcW w:w="1296" w:type="dxa"/>
            <w:tcBorders>
              <w:top w:val="nil"/>
              <w:left w:val="nil"/>
              <w:bottom w:val="single" w:color="auto" w:sz="8" w:space="0"/>
              <w:right w:val="single" w:color="auto" w:sz="4" w:space="0"/>
            </w:tcBorders>
            <w:shd w:val="clear" w:color="auto" w:fill="auto"/>
            <w:vAlign w:val="center"/>
          </w:tcPr>
          <w:p>
            <w:pPr>
              <w:jc w:val="center"/>
              <w:rPr>
                <w:rFonts w:hint="default" w:ascii="Times New Roman" w:hAnsi="Times New Roman" w:cs="Times New Roman" w:eastAsiaTheme="minorEastAsia"/>
                <w:kern w:val="0"/>
                <w:sz w:val="21"/>
                <w:szCs w:val="21"/>
                <w:highlight w:val="none"/>
                <w:lang w:val="en-US" w:eastAsia="zh-CN"/>
              </w:rPr>
            </w:pPr>
          </w:p>
        </w:tc>
        <w:tc>
          <w:tcPr>
            <w:tcW w:w="1296" w:type="dxa"/>
            <w:tcBorders>
              <w:top w:val="nil"/>
              <w:left w:val="nil"/>
              <w:bottom w:val="single" w:color="auto" w:sz="8" w:space="0"/>
              <w:right w:val="single" w:color="auto" w:sz="4" w:space="0"/>
            </w:tcBorders>
            <w:shd w:val="clear" w:color="auto" w:fill="auto"/>
            <w:vAlign w:val="center"/>
          </w:tcPr>
          <w:p>
            <w:pPr>
              <w:jc w:val="center"/>
              <w:rPr>
                <w:rFonts w:hint="default" w:ascii="Times New Roman" w:hAnsi="Times New Roman" w:cs="Times New Roman" w:eastAsiaTheme="minorEastAsia"/>
                <w:kern w:val="0"/>
                <w:sz w:val="21"/>
                <w:szCs w:val="21"/>
                <w:highlight w:val="none"/>
                <w:lang w:val="en-US" w:eastAsia="zh-CN"/>
              </w:rPr>
            </w:pPr>
          </w:p>
        </w:tc>
        <w:tc>
          <w:tcPr>
            <w:tcW w:w="1305" w:type="dxa"/>
            <w:tcBorders>
              <w:top w:val="nil"/>
              <w:left w:val="nil"/>
              <w:bottom w:val="single" w:color="auto" w:sz="8" w:space="0"/>
              <w:right w:val="nil"/>
            </w:tcBorders>
            <w:shd w:val="clear" w:color="auto" w:fill="auto"/>
            <w:vAlign w:val="center"/>
          </w:tcPr>
          <w:p>
            <w:pPr>
              <w:jc w:val="center"/>
              <w:rPr>
                <w:rFonts w:hint="default" w:ascii="Times New Roman" w:hAnsi="Times New Roman" w:cs="Times New Roman" w:eastAsiaTheme="minorEastAsia"/>
                <w:kern w:val="0"/>
                <w:sz w:val="21"/>
                <w:szCs w:val="21"/>
                <w:highlight w:val="none"/>
                <w:lang w:val="en-US" w:eastAsia="zh-CN"/>
              </w:rPr>
            </w:pPr>
          </w:p>
        </w:tc>
        <w:tc>
          <w:tcPr>
            <w:tcW w:w="1242"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6.00</w:t>
            </w:r>
          </w:p>
        </w:tc>
      </w:tr>
    </w:tbl>
    <w:p>
      <w:pPr>
        <w:widowControl/>
        <w:jc w:val="left"/>
        <w:rPr>
          <w:rFonts w:cs="宋体" w:asciiTheme="minorEastAsia" w:hAnsiTheme="minorEastAsia"/>
          <w:kern w:val="0"/>
          <w:sz w:val="24"/>
          <w:szCs w:val="24"/>
          <w:highlight w:val="none"/>
        </w:rPr>
      </w:pPr>
      <w:r>
        <w:rPr>
          <w:rFonts w:hint="default" w:ascii="Times New Roman" w:hAnsi="Times New Roman" w:cs="Times New Roman" w:eastAsiaTheme="minorEastAsia"/>
          <w:kern w:val="0"/>
          <w:sz w:val="21"/>
          <w:szCs w:val="21"/>
          <w:highlight w:val="none"/>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default" w:ascii="Times New Roman" w:hAnsi="Times New Roman" w:cs="Times New Roman" w:eastAsiaTheme="minorEastAsia"/>
          <w:kern w:val="0"/>
          <w:sz w:val="21"/>
          <w:szCs w:val="21"/>
          <w:highlight w:val="none"/>
        </w:rPr>
        <w:br w:type="page"/>
      </w:r>
    </w:p>
    <w:p>
      <w:pPr>
        <w:autoSpaceDE w:val="0"/>
        <w:autoSpaceDN w:val="0"/>
        <w:adjustRightInd w:val="0"/>
        <w:ind w:left="315" w:leftChars="150"/>
        <w:jc w:val="left"/>
        <w:rPr>
          <w:rFonts w:cs="宋体" w:asciiTheme="minorEastAsia" w:hAnsiTheme="minorEastAsia"/>
          <w:kern w:val="0"/>
          <w:sz w:val="21"/>
          <w:szCs w:val="21"/>
          <w:highlight w:val="none"/>
        </w:rPr>
      </w:pPr>
    </w:p>
    <w:p>
      <w:pPr>
        <w:widowControl/>
        <w:jc w:val="center"/>
        <w:rPr>
          <w:rFonts w:cs="Times New Roman" w:asciiTheme="minorEastAsia" w:hAnsiTheme="minorEastAsia"/>
          <w:color w:val="000000"/>
          <w:kern w:val="0"/>
          <w:szCs w:val="21"/>
          <w:highlight w:val="none"/>
        </w:rPr>
      </w:pPr>
      <w:r>
        <w:rPr>
          <w:rFonts w:cs="Times New Roman" w:asciiTheme="minorEastAsia" w:hAnsiTheme="minorEastAsia"/>
          <w:kern w:val="0"/>
          <w:sz w:val="36"/>
          <w:szCs w:val="36"/>
          <w:highlight w:val="none"/>
        </w:rPr>
        <w:t>政府性基金预算财政拨款收入支出决算表</w:t>
      </w:r>
      <w:r>
        <w:rPr>
          <w:rFonts w:cs="Times New Roman" w:asciiTheme="minorEastAsia" w:hAnsiTheme="minorEastAsia"/>
          <w:color w:val="000000"/>
          <w:kern w:val="0"/>
          <w:szCs w:val="21"/>
          <w:highlight w:val="none"/>
        </w:rPr>
        <w:t xml:space="preserve">                                                                                                                 </w:t>
      </w:r>
    </w:p>
    <w:tbl>
      <w:tblPr>
        <w:tblStyle w:val="9"/>
        <w:tblW w:w="4942"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64"/>
        <w:gridCol w:w="3932"/>
        <w:gridCol w:w="1719"/>
        <w:gridCol w:w="1719"/>
        <w:gridCol w:w="1713"/>
        <w:gridCol w:w="1719"/>
        <w:gridCol w:w="1732"/>
        <w:gridCol w:w="173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51" w:type="pct"/>
            <w:gridSpan w:val="2"/>
            <w:tcBorders>
              <w:top w:val="nil"/>
              <w:left w:val="nil"/>
              <w:bottom w:val="nil"/>
              <w:right w:val="nil"/>
            </w:tcBorders>
            <w:shd w:val="clear" w:color="auto" w:fill="auto"/>
            <w:vAlign w:val="center"/>
          </w:tcPr>
          <w:p>
            <w:pPr>
              <w:widowControl/>
              <w:jc w:val="center"/>
              <w:rPr>
                <w:rFonts w:hint="default" w:ascii="Times New Roman" w:hAnsi="Times New Roman" w:cs="Times New Roman" w:eastAsiaTheme="minorEastAsia"/>
                <w:b/>
                <w:kern w:val="0"/>
                <w:sz w:val="21"/>
                <w:szCs w:val="21"/>
                <w:highlight w:val="none"/>
              </w:rPr>
            </w:pPr>
          </w:p>
        </w:tc>
        <w:tc>
          <w:tcPr>
            <w:tcW w:w="557" w:type="pct"/>
            <w:tcBorders>
              <w:top w:val="nil"/>
              <w:left w:val="nil"/>
              <w:bottom w:val="nil"/>
              <w:right w:val="nil"/>
            </w:tcBorders>
            <w:shd w:val="clear" w:color="auto" w:fill="auto"/>
            <w:vAlign w:val="center"/>
          </w:tcPr>
          <w:p>
            <w:pPr>
              <w:widowControl/>
              <w:jc w:val="center"/>
              <w:rPr>
                <w:rFonts w:hint="default" w:ascii="Times New Roman" w:hAnsi="Times New Roman" w:cs="Times New Roman" w:eastAsiaTheme="minorEastAsia"/>
                <w:b/>
                <w:kern w:val="0"/>
                <w:sz w:val="21"/>
                <w:szCs w:val="21"/>
                <w:highlight w:val="none"/>
              </w:rPr>
            </w:pPr>
          </w:p>
        </w:tc>
        <w:tc>
          <w:tcPr>
            <w:tcW w:w="557" w:type="pct"/>
            <w:tcBorders>
              <w:top w:val="nil"/>
              <w:left w:val="nil"/>
              <w:bottom w:val="nil"/>
              <w:right w:val="nil"/>
            </w:tcBorders>
            <w:shd w:val="clear" w:color="auto" w:fill="auto"/>
            <w:vAlign w:val="center"/>
          </w:tcPr>
          <w:p>
            <w:pPr>
              <w:widowControl/>
              <w:jc w:val="center"/>
              <w:rPr>
                <w:rFonts w:hint="default" w:ascii="Times New Roman" w:hAnsi="Times New Roman" w:cs="Times New Roman" w:eastAsiaTheme="minorEastAsia"/>
                <w:b/>
                <w:kern w:val="0"/>
                <w:sz w:val="21"/>
                <w:szCs w:val="21"/>
                <w:highlight w:val="none"/>
              </w:rPr>
            </w:pPr>
          </w:p>
        </w:tc>
        <w:tc>
          <w:tcPr>
            <w:tcW w:w="1673" w:type="pct"/>
            <w:gridSpan w:val="3"/>
            <w:tcBorders>
              <w:top w:val="nil"/>
              <w:left w:val="nil"/>
              <w:bottom w:val="nil"/>
              <w:right w:val="nil"/>
            </w:tcBorders>
            <w:shd w:val="clear" w:color="auto" w:fill="auto"/>
            <w:vAlign w:val="center"/>
          </w:tcPr>
          <w:p>
            <w:pPr>
              <w:widowControl/>
              <w:jc w:val="center"/>
              <w:rPr>
                <w:rFonts w:hint="default" w:ascii="Times New Roman" w:hAnsi="Times New Roman" w:cs="Times New Roman" w:eastAsiaTheme="minorEastAsia"/>
                <w:b/>
                <w:kern w:val="0"/>
                <w:sz w:val="21"/>
                <w:szCs w:val="21"/>
                <w:highlight w:val="none"/>
              </w:rPr>
            </w:pPr>
          </w:p>
        </w:tc>
        <w:tc>
          <w:tcPr>
            <w:tcW w:w="561" w:type="pct"/>
            <w:tcBorders>
              <w:top w:val="nil"/>
              <w:left w:val="nil"/>
              <w:bottom w:val="nil"/>
              <w:right w:val="nil"/>
            </w:tcBorders>
            <w:shd w:val="clear" w:color="auto" w:fill="auto"/>
            <w:vAlign w:val="center"/>
          </w:tcPr>
          <w:p>
            <w:pPr>
              <w:widowControl/>
              <w:jc w:val="right"/>
              <w:rPr>
                <w:rFonts w:hint="default" w:ascii="Times New Roman" w:hAnsi="Times New Roman" w:cs="Times New Roman" w:eastAsiaTheme="minorEastAsia"/>
                <w:b/>
                <w:kern w:val="0"/>
                <w:sz w:val="21"/>
                <w:szCs w:val="21"/>
                <w:highlight w:val="none"/>
              </w:rPr>
            </w:pPr>
            <w:r>
              <w:rPr>
                <w:rFonts w:hint="default" w:ascii="Times New Roman" w:hAnsi="Times New Roman" w:cs="Times New Roman" w:eastAsiaTheme="minorEastAsia"/>
                <w:color w:val="000000"/>
                <w:kern w:val="0"/>
                <w:sz w:val="21"/>
                <w:szCs w:val="21"/>
                <w:highlight w:val="none"/>
              </w:rPr>
              <w:t>公开08表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51" w:type="pct"/>
            <w:gridSpan w:val="2"/>
            <w:tcBorders>
              <w:top w:val="nil"/>
              <w:left w:val="nil"/>
              <w:bottom w:val="single" w:color="auto" w:sz="4" w:space="0"/>
              <w:right w:val="nil"/>
            </w:tcBorders>
            <w:shd w:val="clear" w:color="auto" w:fill="auto"/>
            <w:vAlign w:val="center"/>
          </w:tcPr>
          <w:p>
            <w:pPr>
              <w:widowControl/>
              <w:jc w:val="left"/>
              <w:rPr>
                <w:rFonts w:hint="default" w:ascii="Times New Roman" w:hAnsi="Times New Roman" w:cs="Times New Roman" w:eastAsiaTheme="minorEastAsia"/>
                <w:b/>
                <w:kern w:val="0"/>
                <w:sz w:val="21"/>
                <w:szCs w:val="21"/>
                <w:highlight w:val="none"/>
              </w:rPr>
            </w:pPr>
            <w:r>
              <w:rPr>
                <w:rFonts w:hint="default" w:ascii="Times New Roman" w:hAnsi="Times New Roman" w:cs="Times New Roman" w:eastAsiaTheme="minorEastAsia"/>
                <w:color w:val="000000"/>
                <w:kern w:val="0"/>
                <w:sz w:val="21"/>
                <w:szCs w:val="21"/>
                <w:highlight w:val="none"/>
              </w:rPr>
              <w:t>部门：</w:t>
            </w:r>
            <w:r>
              <w:rPr>
                <w:rFonts w:hint="default" w:ascii="Times New Roman" w:hAnsi="Times New Roman" w:cs="Times New Roman" w:eastAsiaTheme="minorEastAsia"/>
                <w:color w:val="000000"/>
                <w:kern w:val="0"/>
                <w:sz w:val="21"/>
                <w:szCs w:val="21"/>
                <w:highlight w:val="none"/>
                <w:lang w:eastAsia="zh-CN"/>
              </w:rPr>
              <w:t>中共祁阳市委政法委员会</w:t>
            </w:r>
          </w:p>
        </w:tc>
        <w:tc>
          <w:tcPr>
            <w:tcW w:w="557" w:type="pct"/>
            <w:tcBorders>
              <w:top w:val="nil"/>
              <w:left w:val="nil"/>
              <w:bottom w:val="single" w:color="auto" w:sz="4" w:space="0"/>
              <w:right w:val="nil"/>
            </w:tcBorders>
            <w:shd w:val="clear" w:color="auto" w:fill="auto"/>
            <w:vAlign w:val="center"/>
          </w:tcPr>
          <w:p>
            <w:pPr>
              <w:widowControl/>
              <w:jc w:val="center"/>
              <w:rPr>
                <w:rFonts w:hint="default" w:ascii="Times New Roman" w:hAnsi="Times New Roman" w:cs="Times New Roman" w:eastAsiaTheme="minorEastAsia"/>
                <w:b/>
                <w:kern w:val="0"/>
                <w:sz w:val="21"/>
                <w:szCs w:val="21"/>
                <w:highlight w:val="none"/>
              </w:rPr>
            </w:pPr>
          </w:p>
        </w:tc>
        <w:tc>
          <w:tcPr>
            <w:tcW w:w="557" w:type="pct"/>
            <w:tcBorders>
              <w:top w:val="nil"/>
              <w:left w:val="nil"/>
              <w:bottom w:val="single" w:color="auto" w:sz="4" w:space="0"/>
              <w:right w:val="nil"/>
            </w:tcBorders>
            <w:shd w:val="clear" w:color="auto" w:fill="auto"/>
            <w:vAlign w:val="center"/>
          </w:tcPr>
          <w:p>
            <w:pPr>
              <w:widowControl/>
              <w:jc w:val="center"/>
              <w:rPr>
                <w:rFonts w:hint="default" w:ascii="Times New Roman" w:hAnsi="Times New Roman" w:cs="Times New Roman" w:eastAsiaTheme="minorEastAsia"/>
                <w:b/>
                <w:kern w:val="0"/>
                <w:sz w:val="21"/>
                <w:szCs w:val="21"/>
                <w:highlight w:val="none"/>
              </w:rPr>
            </w:pPr>
          </w:p>
        </w:tc>
        <w:tc>
          <w:tcPr>
            <w:tcW w:w="1673" w:type="pct"/>
            <w:gridSpan w:val="3"/>
            <w:tcBorders>
              <w:top w:val="nil"/>
              <w:left w:val="nil"/>
              <w:bottom w:val="single" w:color="auto" w:sz="4" w:space="0"/>
              <w:right w:val="nil"/>
            </w:tcBorders>
            <w:shd w:val="clear" w:color="auto" w:fill="auto"/>
            <w:vAlign w:val="center"/>
          </w:tcPr>
          <w:p>
            <w:pPr>
              <w:widowControl/>
              <w:jc w:val="center"/>
              <w:rPr>
                <w:rFonts w:hint="default" w:ascii="Times New Roman" w:hAnsi="Times New Roman" w:cs="Times New Roman" w:eastAsiaTheme="minorEastAsia"/>
                <w:b/>
                <w:kern w:val="0"/>
                <w:sz w:val="21"/>
                <w:szCs w:val="21"/>
                <w:highlight w:val="none"/>
              </w:rPr>
            </w:pPr>
          </w:p>
        </w:tc>
        <w:tc>
          <w:tcPr>
            <w:tcW w:w="561" w:type="pct"/>
            <w:tcBorders>
              <w:top w:val="nil"/>
              <w:left w:val="nil"/>
              <w:bottom w:val="single" w:color="auto" w:sz="4" w:space="0"/>
              <w:right w:val="nil"/>
            </w:tcBorders>
            <w:shd w:val="clear" w:color="auto" w:fill="auto"/>
            <w:vAlign w:val="center"/>
          </w:tcPr>
          <w:p>
            <w:pPr>
              <w:widowControl/>
              <w:jc w:val="right"/>
              <w:rPr>
                <w:rFonts w:hint="default" w:ascii="Times New Roman" w:hAnsi="Times New Roman" w:cs="Times New Roman" w:eastAsiaTheme="minorEastAsia"/>
                <w:b/>
                <w:kern w:val="0"/>
                <w:sz w:val="21"/>
                <w:szCs w:val="21"/>
                <w:highlight w:val="none"/>
              </w:rPr>
            </w:pPr>
            <w:r>
              <w:rPr>
                <w:rFonts w:hint="default" w:ascii="Times New Roman" w:hAnsi="Times New Roman" w:cs="Times New Roman" w:eastAsiaTheme="minorEastAsia"/>
                <w:color w:val="000000"/>
                <w:kern w:val="0"/>
                <w:sz w:val="21"/>
                <w:szCs w:val="21"/>
                <w:highlight w:val="none"/>
              </w:rPr>
              <w:t>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5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val="0"/>
                <w:bCs/>
                <w:kern w:val="0"/>
                <w:sz w:val="21"/>
                <w:szCs w:val="21"/>
                <w:highlight w:val="none"/>
              </w:rPr>
            </w:pPr>
            <w:r>
              <w:rPr>
                <w:rFonts w:hint="default" w:ascii="Times New Roman" w:hAnsi="Times New Roman" w:cs="Times New Roman" w:eastAsiaTheme="minorEastAsia"/>
                <w:b w:val="0"/>
                <w:bCs/>
                <w:kern w:val="0"/>
                <w:sz w:val="21"/>
                <w:szCs w:val="21"/>
                <w:highlight w:val="none"/>
              </w:rPr>
              <w:t xml:space="preserve">项 </w:t>
            </w:r>
            <w:r>
              <w:rPr>
                <w:rFonts w:hint="default" w:ascii="Times New Roman" w:hAnsi="Times New Roman" w:cs="Times New Roman" w:eastAsiaTheme="minorEastAsia"/>
                <w:b w:val="0"/>
                <w:bCs/>
                <w:color w:val="000000"/>
                <w:kern w:val="0"/>
                <w:sz w:val="21"/>
                <w:szCs w:val="21"/>
                <w:highlight w:val="none"/>
              </w:rPr>
              <w:t xml:space="preserve">   </w:t>
            </w:r>
            <w:r>
              <w:rPr>
                <w:rFonts w:hint="default" w:ascii="Times New Roman" w:hAnsi="Times New Roman" w:cs="Times New Roman" w:eastAsiaTheme="minorEastAsia"/>
                <w:b w:val="0"/>
                <w:bCs/>
                <w:kern w:val="0"/>
                <w:sz w:val="21"/>
                <w:szCs w:val="21"/>
                <w:highlight w:val="none"/>
              </w:rPr>
              <w:t>目</w:t>
            </w:r>
          </w:p>
        </w:tc>
        <w:tc>
          <w:tcPr>
            <w:tcW w:w="55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val="0"/>
                <w:bCs/>
                <w:kern w:val="0"/>
                <w:sz w:val="21"/>
                <w:szCs w:val="21"/>
                <w:highlight w:val="none"/>
              </w:rPr>
            </w:pPr>
            <w:r>
              <w:rPr>
                <w:rFonts w:hint="default" w:ascii="Times New Roman" w:hAnsi="Times New Roman" w:cs="Times New Roman" w:eastAsiaTheme="minorEastAsia"/>
                <w:b w:val="0"/>
                <w:bCs/>
                <w:kern w:val="0"/>
                <w:sz w:val="21"/>
                <w:szCs w:val="21"/>
                <w:highlight w:val="none"/>
              </w:rPr>
              <w:t>年初结转和结余</w:t>
            </w:r>
          </w:p>
        </w:tc>
        <w:tc>
          <w:tcPr>
            <w:tcW w:w="55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val="0"/>
                <w:bCs/>
                <w:kern w:val="0"/>
                <w:sz w:val="21"/>
                <w:szCs w:val="21"/>
                <w:highlight w:val="none"/>
              </w:rPr>
            </w:pPr>
            <w:r>
              <w:rPr>
                <w:rFonts w:hint="default" w:ascii="Times New Roman" w:hAnsi="Times New Roman" w:cs="Times New Roman" w:eastAsiaTheme="minorEastAsia"/>
                <w:b w:val="0"/>
                <w:bCs/>
                <w:kern w:val="0"/>
                <w:sz w:val="21"/>
                <w:szCs w:val="21"/>
                <w:highlight w:val="none"/>
              </w:rPr>
              <w:t>本年收入</w:t>
            </w:r>
          </w:p>
        </w:tc>
        <w:tc>
          <w:tcPr>
            <w:tcW w:w="167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val="0"/>
                <w:bCs/>
                <w:kern w:val="0"/>
                <w:sz w:val="21"/>
                <w:szCs w:val="21"/>
                <w:highlight w:val="none"/>
              </w:rPr>
            </w:pPr>
            <w:r>
              <w:rPr>
                <w:rFonts w:hint="default" w:ascii="Times New Roman" w:hAnsi="Times New Roman" w:cs="Times New Roman" w:eastAsiaTheme="minorEastAsia"/>
                <w:b w:val="0"/>
                <w:bCs/>
                <w:kern w:val="0"/>
                <w:sz w:val="21"/>
                <w:szCs w:val="21"/>
                <w:highlight w:val="none"/>
              </w:rPr>
              <w:t>本年支出</w:t>
            </w:r>
          </w:p>
        </w:tc>
        <w:tc>
          <w:tcPr>
            <w:tcW w:w="56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val="0"/>
                <w:bCs/>
                <w:kern w:val="0"/>
                <w:sz w:val="21"/>
                <w:szCs w:val="21"/>
                <w:highlight w:val="none"/>
              </w:rPr>
            </w:pPr>
            <w:r>
              <w:rPr>
                <w:rFonts w:hint="default" w:ascii="Times New Roman" w:hAnsi="Times New Roman" w:cs="Times New Roman" w:eastAsiaTheme="minorEastAsia"/>
                <w:b w:val="0"/>
                <w:bCs/>
                <w:kern w:val="0"/>
                <w:sz w:val="21"/>
                <w:szCs w:val="21"/>
                <w:highlight w:val="none"/>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vMerge w:val="restart"/>
            <w:tcBorders>
              <w:top w:val="single" w:color="auto" w:sz="4" w:space="0"/>
              <w:bottom w:val="single" w:color="auto" w:sz="4" w:space="0"/>
            </w:tcBorders>
            <w:shd w:val="clear" w:color="auto" w:fill="auto"/>
            <w:vAlign w:val="center"/>
          </w:tcPr>
          <w:p>
            <w:pPr>
              <w:widowControl/>
              <w:jc w:val="center"/>
              <w:rPr>
                <w:rFonts w:hint="default" w:ascii="Times New Roman" w:hAnsi="Times New Roman" w:cs="Times New Roman" w:eastAsiaTheme="minorEastAsia"/>
                <w:b w:val="0"/>
                <w:bCs/>
                <w:kern w:val="0"/>
                <w:sz w:val="21"/>
                <w:szCs w:val="21"/>
                <w:highlight w:val="none"/>
              </w:rPr>
            </w:pPr>
            <w:r>
              <w:rPr>
                <w:rFonts w:hint="default" w:ascii="Times New Roman" w:hAnsi="Times New Roman" w:cs="Times New Roman" w:eastAsiaTheme="minorEastAsia"/>
                <w:b w:val="0"/>
                <w:bCs/>
                <w:kern w:val="0"/>
                <w:sz w:val="21"/>
                <w:szCs w:val="21"/>
                <w:highlight w:val="none"/>
              </w:rPr>
              <w:t>功能分类科目编码</w:t>
            </w:r>
          </w:p>
        </w:tc>
        <w:tc>
          <w:tcPr>
            <w:tcW w:w="1273" w:type="pct"/>
            <w:vMerge w:val="restart"/>
            <w:tcBorders>
              <w:top w:val="single" w:color="auto" w:sz="4" w:space="0"/>
              <w:bottom w:val="single" w:color="auto" w:sz="4" w:space="0"/>
            </w:tcBorders>
            <w:shd w:val="clear" w:color="auto" w:fill="auto"/>
            <w:vAlign w:val="center"/>
          </w:tcPr>
          <w:p>
            <w:pPr>
              <w:widowControl/>
              <w:jc w:val="center"/>
              <w:rPr>
                <w:rFonts w:hint="default" w:ascii="Times New Roman" w:hAnsi="Times New Roman" w:cs="Times New Roman" w:eastAsiaTheme="minorEastAsia"/>
                <w:b w:val="0"/>
                <w:bCs/>
                <w:kern w:val="0"/>
                <w:sz w:val="21"/>
                <w:szCs w:val="21"/>
                <w:highlight w:val="none"/>
              </w:rPr>
            </w:pPr>
            <w:r>
              <w:rPr>
                <w:rFonts w:hint="default" w:ascii="Times New Roman" w:hAnsi="Times New Roman" w:cs="Times New Roman" w:eastAsiaTheme="minorEastAsia"/>
                <w:b w:val="0"/>
                <w:bCs/>
                <w:kern w:val="0"/>
                <w:sz w:val="21"/>
                <w:szCs w:val="21"/>
                <w:highlight w:val="none"/>
              </w:rPr>
              <w:t>科目名称</w:t>
            </w:r>
          </w:p>
        </w:tc>
        <w:tc>
          <w:tcPr>
            <w:tcW w:w="557" w:type="pct"/>
            <w:vMerge w:val="continue"/>
            <w:tcBorders>
              <w:top w:val="single" w:color="auto" w:sz="4" w:space="0"/>
              <w:bottom w:val="single" w:color="auto" w:sz="4" w:space="0"/>
            </w:tcBorders>
            <w:vAlign w:val="center"/>
          </w:tcPr>
          <w:p>
            <w:pPr>
              <w:widowControl/>
              <w:jc w:val="left"/>
              <w:rPr>
                <w:rFonts w:hint="default" w:ascii="Times New Roman" w:hAnsi="Times New Roman" w:cs="Times New Roman" w:eastAsiaTheme="minorEastAsia"/>
                <w:b w:val="0"/>
                <w:bCs/>
                <w:kern w:val="0"/>
                <w:sz w:val="21"/>
                <w:szCs w:val="21"/>
                <w:highlight w:val="none"/>
              </w:rPr>
            </w:pPr>
          </w:p>
        </w:tc>
        <w:tc>
          <w:tcPr>
            <w:tcW w:w="557" w:type="pct"/>
            <w:vMerge w:val="continue"/>
            <w:tcBorders>
              <w:top w:val="single" w:color="auto" w:sz="4" w:space="0"/>
              <w:bottom w:val="single" w:color="auto" w:sz="4" w:space="0"/>
            </w:tcBorders>
            <w:vAlign w:val="center"/>
          </w:tcPr>
          <w:p>
            <w:pPr>
              <w:widowControl/>
              <w:jc w:val="left"/>
              <w:rPr>
                <w:rFonts w:hint="default" w:ascii="Times New Roman" w:hAnsi="Times New Roman" w:cs="Times New Roman" w:eastAsiaTheme="minorEastAsia"/>
                <w:b w:val="0"/>
                <w:bCs/>
                <w:kern w:val="0"/>
                <w:sz w:val="21"/>
                <w:szCs w:val="21"/>
                <w:highlight w:val="none"/>
              </w:rPr>
            </w:pPr>
          </w:p>
        </w:tc>
        <w:tc>
          <w:tcPr>
            <w:tcW w:w="555" w:type="pct"/>
            <w:vMerge w:val="restart"/>
            <w:tcBorders>
              <w:top w:val="single" w:color="auto" w:sz="4" w:space="0"/>
              <w:bottom w:val="single" w:color="auto" w:sz="4" w:space="0"/>
            </w:tcBorders>
            <w:shd w:val="clear" w:color="auto" w:fill="auto"/>
            <w:vAlign w:val="center"/>
          </w:tcPr>
          <w:p>
            <w:pPr>
              <w:widowControl/>
              <w:jc w:val="center"/>
              <w:rPr>
                <w:rFonts w:hint="default" w:ascii="Times New Roman" w:hAnsi="Times New Roman" w:cs="Times New Roman" w:eastAsiaTheme="minorEastAsia"/>
                <w:b w:val="0"/>
                <w:bCs/>
                <w:kern w:val="0"/>
                <w:sz w:val="21"/>
                <w:szCs w:val="21"/>
                <w:highlight w:val="none"/>
              </w:rPr>
            </w:pPr>
            <w:r>
              <w:rPr>
                <w:rFonts w:hint="default" w:ascii="Times New Roman" w:hAnsi="Times New Roman" w:cs="Times New Roman" w:eastAsiaTheme="minorEastAsia"/>
                <w:b w:val="0"/>
                <w:bCs/>
                <w:kern w:val="0"/>
                <w:sz w:val="21"/>
                <w:szCs w:val="21"/>
                <w:highlight w:val="none"/>
              </w:rPr>
              <w:t>小计</w:t>
            </w:r>
          </w:p>
        </w:tc>
        <w:tc>
          <w:tcPr>
            <w:tcW w:w="557" w:type="pct"/>
            <w:vMerge w:val="restart"/>
            <w:tcBorders>
              <w:top w:val="single" w:color="auto" w:sz="4" w:space="0"/>
              <w:bottom w:val="single" w:color="auto" w:sz="4" w:space="0"/>
            </w:tcBorders>
            <w:shd w:val="clear" w:color="auto" w:fill="auto"/>
            <w:vAlign w:val="center"/>
          </w:tcPr>
          <w:p>
            <w:pPr>
              <w:widowControl/>
              <w:jc w:val="center"/>
              <w:rPr>
                <w:rFonts w:hint="default" w:ascii="Times New Roman" w:hAnsi="Times New Roman" w:cs="Times New Roman" w:eastAsiaTheme="minorEastAsia"/>
                <w:b w:val="0"/>
                <w:bCs/>
                <w:kern w:val="0"/>
                <w:sz w:val="21"/>
                <w:szCs w:val="21"/>
                <w:highlight w:val="none"/>
              </w:rPr>
            </w:pPr>
            <w:r>
              <w:rPr>
                <w:rFonts w:hint="default" w:ascii="Times New Roman" w:hAnsi="Times New Roman" w:cs="Times New Roman" w:eastAsiaTheme="minorEastAsia"/>
                <w:b w:val="0"/>
                <w:bCs/>
                <w:kern w:val="0"/>
                <w:sz w:val="21"/>
                <w:szCs w:val="21"/>
                <w:highlight w:val="none"/>
              </w:rPr>
              <w:t xml:space="preserve">基本支出  </w:t>
            </w:r>
          </w:p>
        </w:tc>
        <w:tc>
          <w:tcPr>
            <w:tcW w:w="560" w:type="pct"/>
            <w:vMerge w:val="restart"/>
            <w:tcBorders>
              <w:top w:val="single" w:color="auto" w:sz="4" w:space="0"/>
              <w:bottom w:val="single" w:color="auto" w:sz="4" w:space="0"/>
            </w:tcBorders>
            <w:shd w:val="clear" w:color="auto" w:fill="auto"/>
            <w:vAlign w:val="center"/>
          </w:tcPr>
          <w:p>
            <w:pPr>
              <w:widowControl/>
              <w:jc w:val="center"/>
              <w:rPr>
                <w:rFonts w:hint="default" w:ascii="Times New Roman" w:hAnsi="Times New Roman" w:cs="Times New Roman" w:eastAsiaTheme="minorEastAsia"/>
                <w:b w:val="0"/>
                <w:bCs/>
                <w:kern w:val="0"/>
                <w:sz w:val="21"/>
                <w:szCs w:val="21"/>
                <w:highlight w:val="none"/>
              </w:rPr>
            </w:pPr>
            <w:r>
              <w:rPr>
                <w:rFonts w:hint="default" w:ascii="Times New Roman" w:hAnsi="Times New Roman" w:cs="Times New Roman" w:eastAsiaTheme="minorEastAsia"/>
                <w:b w:val="0"/>
                <w:bCs/>
                <w:kern w:val="0"/>
                <w:sz w:val="21"/>
                <w:szCs w:val="21"/>
                <w:highlight w:val="none"/>
              </w:rPr>
              <w:t>项目支出</w:t>
            </w:r>
          </w:p>
        </w:tc>
        <w:tc>
          <w:tcPr>
            <w:tcW w:w="561" w:type="pct"/>
            <w:vMerge w:val="continue"/>
            <w:tcBorders>
              <w:top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b w:val="0"/>
                <w:bCs/>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vMerge w:val="continue"/>
            <w:tcBorders>
              <w:top w:val="single" w:color="auto" w:sz="4" w:space="0"/>
              <w:bottom w:val="single" w:color="auto" w:sz="4" w:space="0"/>
            </w:tcBorders>
            <w:vAlign w:val="center"/>
          </w:tcPr>
          <w:p>
            <w:pPr>
              <w:widowControl/>
              <w:jc w:val="left"/>
              <w:rPr>
                <w:rFonts w:hint="default" w:ascii="Times New Roman" w:hAnsi="Times New Roman" w:cs="Times New Roman" w:eastAsiaTheme="minorEastAsia"/>
                <w:kern w:val="0"/>
                <w:sz w:val="21"/>
                <w:szCs w:val="21"/>
                <w:highlight w:val="none"/>
              </w:rPr>
            </w:pPr>
          </w:p>
        </w:tc>
        <w:tc>
          <w:tcPr>
            <w:tcW w:w="1273" w:type="pct"/>
            <w:vMerge w:val="continue"/>
            <w:tcBorders>
              <w:top w:val="single" w:color="auto" w:sz="4" w:space="0"/>
              <w:bottom w:val="single" w:color="auto" w:sz="4" w:space="0"/>
            </w:tcBorders>
            <w:vAlign w:val="center"/>
          </w:tcPr>
          <w:p>
            <w:pPr>
              <w:widowControl/>
              <w:jc w:val="left"/>
              <w:rPr>
                <w:rFonts w:hint="default" w:ascii="Times New Roman" w:hAnsi="Times New Roman" w:cs="Times New Roman" w:eastAsiaTheme="minorEastAsia"/>
                <w:kern w:val="0"/>
                <w:sz w:val="21"/>
                <w:szCs w:val="21"/>
                <w:highlight w:val="none"/>
              </w:rPr>
            </w:pPr>
          </w:p>
        </w:tc>
        <w:tc>
          <w:tcPr>
            <w:tcW w:w="557" w:type="pct"/>
            <w:vMerge w:val="continue"/>
            <w:tcBorders>
              <w:top w:val="single" w:color="auto" w:sz="4" w:space="0"/>
              <w:bottom w:val="single" w:color="auto" w:sz="4" w:space="0"/>
            </w:tcBorders>
            <w:vAlign w:val="center"/>
          </w:tcPr>
          <w:p>
            <w:pPr>
              <w:widowControl/>
              <w:jc w:val="left"/>
              <w:rPr>
                <w:rFonts w:hint="default" w:ascii="Times New Roman" w:hAnsi="Times New Roman" w:cs="Times New Roman" w:eastAsiaTheme="minorEastAsia"/>
                <w:kern w:val="0"/>
                <w:sz w:val="21"/>
                <w:szCs w:val="21"/>
                <w:highlight w:val="none"/>
              </w:rPr>
            </w:pPr>
          </w:p>
        </w:tc>
        <w:tc>
          <w:tcPr>
            <w:tcW w:w="557" w:type="pct"/>
            <w:vMerge w:val="continue"/>
            <w:tcBorders>
              <w:top w:val="single" w:color="auto" w:sz="4" w:space="0"/>
              <w:bottom w:val="single" w:color="auto" w:sz="4" w:space="0"/>
            </w:tcBorders>
            <w:vAlign w:val="center"/>
          </w:tcPr>
          <w:p>
            <w:pPr>
              <w:widowControl/>
              <w:jc w:val="left"/>
              <w:rPr>
                <w:rFonts w:hint="default" w:ascii="Times New Roman" w:hAnsi="Times New Roman" w:cs="Times New Roman" w:eastAsiaTheme="minorEastAsia"/>
                <w:kern w:val="0"/>
                <w:sz w:val="21"/>
                <w:szCs w:val="21"/>
                <w:highlight w:val="none"/>
              </w:rPr>
            </w:pPr>
          </w:p>
        </w:tc>
        <w:tc>
          <w:tcPr>
            <w:tcW w:w="555" w:type="pct"/>
            <w:vMerge w:val="continue"/>
            <w:tcBorders>
              <w:top w:val="single" w:color="auto" w:sz="4" w:space="0"/>
              <w:bottom w:val="single" w:color="auto" w:sz="4" w:space="0"/>
            </w:tcBorders>
            <w:vAlign w:val="center"/>
          </w:tcPr>
          <w:p>
            <w:pPr>
              <w:widowControl/>
              <w:jc w:val="left"/>
              <w:rPr>
                <w:rFonts w:hint="default" w:ascii="Times New Roman" w:hAnsi="Times New Roman" w:cs="Times New Roman" w:eastAsiaTheme="minorEastAsia"/>
                <w:kern w:val="0"/>
                <w:sz w:val="21"/>
                <w:szCs w:val="21"/>
                <w:highlight w:val="none"/>
              </w:rPr>
            </w:pPr>
          </w:p>
        </w:tc>
        <w:tc>
          <w:tcPr>
            <w:tcW w:w="557" w:type="pct"/>
            <w:vMerge w:val="continue"/>
            <w:tcBorders>
              <w:top w:val="single" w:color="auto" w:sz="4" w:space="0"/>
              <w:bottom w:val="single" w:color="auto" w:sz="4" w:space="0"/>
            </w:tcBorders>
            <w:vAlign w:val="center"/>
          </w:tcPr>
          <w:p>
            <w:pPr>
              <w:widowControl/>
              <w:jc w:val="left"/>
              <w:rPr>
                <w:rFonts w:hint="default" w:ascii="Times New Roman" w:hAnsi="Times New Roman" w:cs="Times New Roman" w:eastAsiaTheme="minorEastAsia"/>
                <w:kern w:val="0"/>
                <w:sz w:val="21"/>
                <w:szCs w:val="21"/>
                <w:highlight w:val="none"/>
              </w:rPr>
            </w:pPr>
          </w:p>
        </w:tc>
        <w:tc>
          <w:tcPr>
            <w:tcW w:w="560" w:type="pct"/>
            <w:vMerge w:val="continue"/>
            <w:tcBorders>
              <w:top w:val="single" w:color="auto" w:sz="4" w:space="0"/>
              <w:bottom w:val="single" w:color="auto" w:sz="4" w:space="0"/>
            </w:tcBorders>
            <w:vAlign w:val="center"/>
          </w:tcPr>
          <w:p>
            <w:pPr>
              <w:widowControl/>
              <w:jc w:val="left"/>
              <w:rPr>
                <w:rFonts w:hint="default" w:ascii="Times New Roman" w:hAnsi="Times New Roman" w:cs="Times New Roman" w:eastAsiaTheme="minorEastAsia"/>
                <w:kern w:val="0"/>
                <w:sz w:val="21"/>
                <w:szCs w:val="21"/>
                <w:highlight w:val="none"/>
              </w:rPr>
            </w:pPr>
          </w:p>
        </w:tc>
        <w:tc>
          <w:tcPr>
            <w:tcW w:w="561" w:type="pct"/>
            <w:vMerge w:val="continue"/>
            <w:tcBorders>
              <w:top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vMerge w:val="continue"/>
            <w:tcBorders>
              <w:top w:val="single" w:color="auto" w:sz="4" w:space="0"/>
              <w:bottom w:val="single" w:color="auto" w:sz="4" w:space="0"/>
            </w:tcBorders>
            <w:vAlign w:val="center"/>
          </w:tcPr>
          <w:p>
            <w:pPr>
              <w:widowControl/>
              <w:jc w:val="left"/>
              <w:rPr>
                <w:rFonts w:hint="default" w:ascii="Times New Roman" w:hAnsi="Times New Roman" w:cs="Times New Roman" w:eastAsiaTheme="minorEastAsia"/>
                <w:kern w:val="0"/>
                <w:sz w:val="21"/>
                <w:szCs w:val="21"/>
                <w:highlight w:val="none"/>
              </w:rPr>
            </w:pPr>
          </w:p>
        </w:tc>
        <w:tc>
          <w:tcPr>
            <w:tcW w:w="1273" w:type="pct"/>
            <w:vMerge w:val="continue"/>
            <w:tcBorders>
              <w:top w:val="single" w:color="auto" w:sz="4" w:space="0"/>
              <w:bottom w:val="single" w:color="auto" w:sz="4" w:space="0"/>
            </w:tcBorders>
            <w:vAlign w:val="center"/>
          </w:tcPr>
          <w:p>
            <w:pPr>
              <w:widowControl/>
              <w:jc w:val="left"/>
              <w:rPr>
                <w:rFonts w:hint="default" w:ascii="Times New Roman" w:hAnsi="Times New Roman" w:cs="Times New Roman" w:eastAsiaTheme="minorEastAsia"/>
                <w:kern w:val="0"/>
                <w:sz w:val="21"/>
                <w:szCs w:val="21"/>
                <w:highlight w:val="none"/>
              </w:rPr>
            </w:pPr>
          </w:p>
        </w:tc>
        <w:tc>
          <w:tcPr>
            <w:tcW w:w="557" w:type="pct"/>
            <w:vMerge w:val="continue"/>
            <w:tcBorders>
              <w:top w:val="single" w:color="auto" w:sz="4" w:space="0"/>
              <w:bottom w:val="single" w:color="auto" w:sz="4" w:space="0"/>
            </w:tcBorders>
            <w:vAlign w:val="center"/>
          </w:tcPr>
          <w:p>
            <w:pPr>
              <w:widowControl/>
              <w:jc w:val="left"/>
              <w:rPr>
                <w:rFonts w:hint="default" w:ascii="Times New Roman" w:hAnsi="Times New Roman" w:cs="Times New Roman" w:eastAsiaTheme="minorEastAsia"/>
                <w:kern w:val="0"/>
                <w:sz w:val="21"/>
                <w:szCs w:val="21"/>
                <w:highlight w:val="none"/>
              </w:rPr>
            </w:pPr>
          </w:p>
        </w:tc>
        <w:tc>
          <w:tcPr>
            <w:tcW w:w="557" w:type="pct"/>
            <w:vMerge w:val="continue"/>
            <w:tcBorders>
              <w:top w:val="single" w:color="auto" w:sz="4" w:space="0"/>
              <w:bottom w:val="single" w:color="auto" w:sz="4" w:space="0"/>
            </w:tcBorders>
            <w:vAlign w:val="center"/>
          </w:tcPr>
          <w:p>
            <w:pPr>
              <w:widowControl/>
              <w:jc w:val="left"/>
              <w:rPr>
                <w:rFonts w:hint="default" w:ascii="Times New Roman" w:hAnsi="Times New Roman" w:cs="Times New Roman" w:eastAsiaTheme="minorEastAsia"/>
                <w:kern w:val="0"/>
                <w:sz w:val="21"/>
                <w:szCs w:val="21"/>
                <w:highlight w:val="none"/>
              </w:rPr>
            </w:pPr>
          </w:p>
        </w:tc>
        <w:tc>
          <w:tcPr>
            <w:tcW w:w="555" w:type="pct"/>
            <w:vMerge w:val="continue"/>
            <w:tcBorders>
              <w:top w:val="single" w:color="auto" w:sz="4" w:space="0"/>
              <w:bottom w:val="single" w:color="auto" w:sz="4" w:space="0"/>
            </w:tcBorders>
            <w:vAlign w:val="center"/>
          </w:tcPr>
          <w:p>
            <w:pPr>
              <w:widowControl/>
              <w:jc w:val="left"/>
              <w:rPr>
                <w:rFonts w:hint="default" w:ascii="Times New Roman" w:hAnsi="Times New Roman" w:cs="Times New Roman" w:eastAsiaTheme="minorEastAsia"/>
                <w:kern w:val="0"/>
                <w:sz w:val="21"/>
                <w:szCs w:val="21"/>
                <w:highlight w:val="none"/>
              </w:rPr>
            </w:pPr>
          </w:p>
        </w:tc>
        <w:tc>
          <w:tcPr>
            <w:tcW w:w="557" w:type="pct"/>
            <w:vMerge w:val="continue"/>
            <w:tcBorders>
              <w:top w:val="single" w:color="auto" w:sz="4" w:space="0"/>
              <w:bottom w:val="single" w:color="auto" w:sz="4" w:space="0"/>
            </w:tcBorders>
            <w:vAlign w:val="center"/>
          </w:tcPr>
          <w:p>
            <w:pPr>
              <w:widowControl/>
              <w:jc w:val="left"/>
              <w:rPr>
                <w:rFonts w:hint="default" w:ascii="Times New Roman" w:hAnsi="Times New Roman" w:cs="Times New Roman" w:eastAsiaTheme="minorEastAsia"/>
                <w:kern w:val="0"/>
                <w:sz w:val="21"/>
                <w:szCs w:val="21"/>
                <w:highlight w:val="none"/>
              </w:rPr>
            </w:pPr>
          </w:p>
        </w:tc>
        <w:tc>
          <w:tcPr>
            <w:tcW w:w="560" w:type="pct"/>
            <w:vMerge w:val="continue"/>
            <w:tcBorders>
              <w:top w:val="single" w:color="auto" w:sz="4" w:space="0"/>
              <w:bottom w:val="single" w:color="auto" w:sz="4" w:space="0"/>
            </w:tcBorders>
            <w:vAlign w:val="center"/>
          </w:tcPr>
          <w:p>
            <w:pPr>
              <w:widowControl/>
              <w:jc w:val="left"/>
              <w:rPr>
                <w:rFonts w:hint="default" w:ascii="Times New Roman" w:hAnsi="Times New Roman" w:cs="Times New Roman" w:eastAsiaTheme="minorEastAsia"/>
                <w:kern w:val="0"/>
                <w:sz w:val="21"/>
                <w:szCs w:val="21"/>
                <w:highlight w:val="none"/>
              </w:rPr>
            </w:pPr>
          </w:p>
        </w:tc>
        <w:tc>
          <w:tcPr>
            <w:tcW w:w="561" w:type="pct"/>
            <w:vMerge w:val="continue"/>
            <w:tcBorders>
              <w:top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51" w:type="pct"/>
            <w:gridSpan w:val="2"/>
            <w:tcBorders>
              <w:top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栏次</w:t>
            </w:r>
          </w:p>
        </w:tc>
        <w:tc>
          <w:tcPr>
            <w:tcW w:w="557" w:type="pct"/>
            <w:tcBorders>
              <w:top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1</w:t>
            </w:r>
          </w:p>
        </w:tc>
        <w:tc>
          <w:tcPr>
            <w:tcW w:w="557" w:type="pct"/>
            <w:tcBorders>
              <w:top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2</w:t>
            </w:r>
          </w:p>
        </w:tc>
        <w:tc>
          <w:tcPr>
            <w:tcW w:w="555" w:type="pct"/>
            <w:tcBorders>
              <w:top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3</w:t>
            </w:r>
          </w:p>
        </w:tc>
        <w:tc>
          <w:tcPr>
            <w:tcW w:w="557" w:type="pct"/>
            <w:tcBorders>
              <w:top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4</w:t>
            </w:r>
          </w:p>
        </w:tc>
        <w:tc>
          <w:tcPr>
            <w:tcW w:w="560" w:type="pct"/>
            <w:tcBorders>
              <w:top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5</w:t>
            </w:r>
          </w:p>
        </w:tc>
        <w:tc>
          <w:tcPr>
            <w:tcW w:w="561" w:type="pct"/>
            <w:tcBorders>
              <w:top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51" w:type="pct"/>
            <w:gridSpan w:val="2"/>
            <w:shd w:val="clear" w:color="auto" w:fill="auto"/>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合计</w:t>
            </w:r>
          </w:p>
        </w:tc>
        <w:tc>
          <w:tcPr>
            <w:tcW w:w="3348" w:type="pct"/>
            <w:gridSpan w:val="6"/>
            <w:shd w:val="clear" w:color="auto" w:fill="auto"/>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color w:val="auto"/>
                <w:kern w:val="0"/>
                <w:sz w:val="21"/>
                <w:szCs w:val="21"/>
                <w:highlight w:val="none"/>
                <w:lang w:eastAsia="zh-CN"/>
              </w:rPr>
              <w:t>本</w:t>
            </w:r>
            <w:r>
              <w:rPr>
                <w:rFonts w:hint="default" w:ascii="Times New Roman" w:hAnsi="Times New Roman" w:cs="Times New Roman" w:eastAsiaTheme="minorEastAsia"/>
                <w:color w:val="auto"/>
                <w:kern w:val="0"/>
                <w:sz w:val="21"/>
                <w:szCs w:val="21"/>
                <w:highlight w:val="none"/>
              </w:rPr>
              <w:t>单位没有政府性基金收入，也没有使用政府性基金安排的支出，故本表无数据</w:t>
            </w:r>
            <w:r>
              <w:rPr>
                <w:rFonts w:hint="default" w:ascii="Times New Roman" w:hAnsi="Times New Roman" w:cs="Times New Roman" w:eastAsiaTheme="minorEastAsia"/>
                <w:color w:val="auto"/>
                <w:kern w:val="0"/>
                <w:sz w:val="21"/>
                <w:szCs w:val="21"/>
                <w:highlight w:val="none"/>
                <w:lang w:eastAsia="zh-CN"/>
              </w:rPr>
              <w:t>。</w:t>
            </w:r>
            <w:r>
              <w:rPr>
                <w:rFonts w:hint="default" w:ascii="Times New Roman" w:hAnsi="Times New Roman" w:cs="Times New Roman" w:eastAsiaTheme="minorEastAsia"/>
                <w:kern w:val="0"/>
                <w:sz w:val="21"/>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shd w:val="clear" w:color="auto" w:fill="auto"/>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1273" w:type="pct"/>
            <w:shd w:val="clear" w:color="auto" w:fill="auto"/>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557" w:type="pct"/>
            <w:shd w:val="clear" w:color="auto" w:fill="auto"/>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557" w:type="pct"/>
            <w:shd w:val="clear" w:color="auto" w:fill="auto"/>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555" w:type="pct"/>
            <w:shd w:val="clear" w:color="auto" w:fill="auto"/>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557" w:type="pct"/>
            <w:shd w:val="clear" w:color="auto" w:fill="auto"/>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560" w:type="pct"/>
            <w:shd w:val="clear" w:color="auto" w:fill="auto"/>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561" w:type="pct"/>
            <w:shd w:val="clear" w:color="auto" w:fill="auto"/>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shd w:val="clear" w:color="auto" w:fill="auto"/>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1273" w:type="pct"/>
            <w:shd w:val="clear" w:color="auto" w:fill="auto"/>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557" w:type="pct"/>
            <w:shd w:val="clear" w:color="auto" w:fill="auto"/>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557" w:type="pct"/>
            <w:shd w:val="clear" w:color="auto" w:fill="auto"/>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555" w:type="pct"/>
            <w:shd w:val="clear" w:color="auto" w:fill="auto"/>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557" w:type="pct"/>
            <w:shd w:val="clear" w:color="auto" w:fill="auto"/>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560" w:type="pct"/>
            <w:shd w:val="clear" w:color="auto" w:fill="auto"/>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561" w:type="pct"/>
            <w:shd w:val="clear" w:color="auto" w:fill="auto"/>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shd w:val="clear" w:color="auto" w:fill="auto"/>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1273" w:type="pct"/>
            <w:shd w:val="clear" w:color="auto" w:fill="auto"/>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557" w:type="pct"/>
            <w:shd w:val="clear" w:color="auto" w:fill="auto"/>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557" w:type="pct"/>
            <w:shd w:val="clear" w:color="auto" w:fill="auto"/>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555" w:type="pct"/>
            <w:shd w:val="clear" w:color="auto" w:fill="auto"/>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557" w:type="pct"/>
            <w:shd w:val="clear" w:color="auto" w:fill="auto"/>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560" w:type="pct"/>
            <w:shd w:val="clear" w:color="auto" w:fill="auto"/>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561" w:type="pct"/>
            <w:shd w:val="clear" w:color="auto" w:fill="auto"/>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shd w:val="clear" w:color="auto" w:fill="auto"/>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1273" w:type="pct"/>
            <w:shd w:val="clear" w:color="auto" w:fill="auto"/>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557" w:type="pct"/>
            <w:shd w:val="clear" w:color="auto" w:fill="auto"/>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557" w:type="pct"/>
            <w:shd w:val="clear" w:color="auto" w:fill="auto"/>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555" w:type="pct"/>
            <w:shd w:val="clear" w:color="auto" w:fill="auto"/>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557" w:type="pct"/>
            <w:shd w:val="clear" w:color="auto" w:fill="auto"/>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560" w:type="pct"/>
            <w:shd w:val="clear" w:color="auto" w:fill="auto"/>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561" w:type="pct"/>
            <w:shd w:val="clear" w:color="auto" w:fill="auto"/>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shd w:val="clear" w:color="auto" w:fill="auto"/>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1273" w:type="pct"/>
            <w:shd w:val="clear" w:color="auto" w:fill="auto"/>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557" w:type="pct"/>
            <w:shd w:val="clear" w:color="auto" w:fill="auto"/>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557" w:type="pct"/>
            <w:shd w:val="clear" w:color="auto" w:fill="auto"/>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555" w:type="pct"/>
            <w:shd w:val="clear" w:color="auto" w:fill="auto"/>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557" w:type="pct"/>
            <w:shd w:val="clear" w:color="auto" w:fill="auto"/>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560" w:type="pct"/>
            <w:shd w:val="clear" w:color="auto" w:fill="auto"/>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561" w:type="pct"/>
            <w:shd w:val="clear" w:color="auto" w:fill="auto"/>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shd w:val="clear" w:color="auto" w:fill="auto"/>
            <w:vAlign w:val="center"/>
          </w:tcPr>
          <w:p>
            <w:pPr>
              <w:widowControl/>
              <w:jc w:val="center"/>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1273" w:type="pct"/>
            <w:shd w:val="clear" w:color="auto" w:fill="auto"/>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557" w:type="pct"/>
            <w:shd w:val="clear" w:color="auto" w:fill="auto"/>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557" w:type="pct"/>
            <w:shd w:val="clear" w:color="auto" w:fill="auto"/>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555" w:type="pct"/>
            <w:shd w:val="clear" w:color="auto" w:fill="auto"/>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557" w:type="pct"/>
            <w:shd w:val="clear" w:color="auto" w:fill="auto"/>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560" w:type="pct"/>
            <w:shd w:val="clear" w:color="auto" w:fill="auto"/>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c>
          <w:tcPr>
            <w:tcW w:w="561" w:type="pct"/>
            <w:shd w:val="clear" w:color="auto" w:fill="auto"/>
            <w:vAlign w:val="center"/>
          </w:tcPr>
          <w:p>
            <w:pPr>
              <w:widowControl/>
              <w:jc w:val="left"/>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　</w:t>
            </w:r>
          </w:p>
        </w:tc>
      </w:tr>
    </w:tbl>
    <w:p>
      <w:pPr>
        <w:widowControl/>
        <w:jc w:val="left"/>
        <w:rPr>
          <w:rFonts w:hint="default" w:ascii="Times New Roman" w:hAnsi="Times New Roman" w:cs="Times New Roman" w:eastAsiaTheme="minorEastAsia"/>
          <w:kern w:val="0"/>
          <w:sz w:val="21"/>
          <w:szCs w:val="21"/>
          <w:highlight w:val="none"/>
          <w:lang w:eastAsia="zh-CN"/>
        </w:rPr>
      </w:pPr>
      <w:r>
        <w:rPr>
          <w:rFonts w:hint="default" w:ascii="Times New Roman" w:hAnsi="Times New Roman" w:cs="Times New Roman" w:eastAsiaTheme="minorEastAsia"/>
          <w:kern w:val="0"/>
          <w:sz w:val="21"/>
          <w:szCs w:val="21"/>
          <w:highlight w:val="none"/>
        </w:rPr>
        <w:t>注：本表反映部门本年度政府性基金预算财政拨款收入、支出及结转和结余情况</w:t>
      </w:r>
      <w:r>
        <w:rPr>
          <w:rFonts w:hint="default" w:ascii="Times New Roman" w:hAnsi="Times New Roman" w:cs="Times New Roman" w:eastAsiaTheme="minorEastAsia"/>
          <w:kern w:val="0"/>
          <w:sz w:val="21"/>
          <w:szCs w:val="21"/>
          <w:highlight w:val="none"/>
          <w:lang w:eastAsia="zh-CN"/>
        </w:rPr>
        <w:t>。</w:t>
      </w:r>
    </w:p>
    <w:p>
      <w:pPr>
        <w:widowControl/>
        <w:jc w:val="left"/>
        <w:rPr>
          <w:rFonts w:asciiTheme="minorEastAsia" w:hAnsiTheme="minorEastAsia"/>
          <w:szCs w:val="21"/>
          <w:highlight w:val="none"/>
        </w:rPr>
      </w:pPr>
      <w:r>
        <w:rPr>
          <w:rFonts w:asciiTheme="minorEastAsia" w:hAnsiTheme="minorEastAsia"/>
          <w:szCs w:val="21"/>
          <w:highlight w:val="none"/>
        </w:rPr>
        <w:br w:type="page"/>
      </w:r>
    </w:p>
    <w:tbl>
      <w:tblPr>
        <w:tblStyle w:val="9"/>
        <w:tblW w:w="4918" w:type="pct"/>
        <w:tblInd w:w="114" w:type="dxa"/>
        <w:tblLayout w:type="autofit"/>
        <w:tblCellMar>
          <w:top w:w="0" w:type="dxa"/>
          <w:left w:w="108" w:type="dxa"/>
          <w:bottom w:w="0" w:type="dxa"/>
          <w:right w:w="108" w:type="dxa"/>
        </w:tblCellMar>
      </w:tblPr>
      <w:tblGrid>
        <w:gridCol w:w="1330"/>
        <w:gridCol w:w="4165"/>
        <w:gridCol w:w="3320"/>
        <w:gridCol w:w="3320"/>
        <w:gridCol w:w="3223"/>
      </w:tblGrid>
      <w:tr>
        <w:tblPrEx>
          <w:tblCellMar>
            <w:top w:w="0" w:type="dxa"/>
            <w:left w:w="108" w:type="dxa"/>
            <w:bottom w:w="0" w:type="dxa"/>
            <w:right w:w="108" w:type="dxa"/>
          </w:tblCellMar>
        </w:tblPrEx>
        <w:trPr>
          <w:trHeight w:val="720" w:hRule="atLeast"/>
        </w:trPr>
        <w:tc>
          <w:tcPr>
            <w:tcW w:w="5000" w:type="pct"/>
            <w:gridSpan w:val="5"/>
            <w:tcBorders>
              <w:top w:val="nil"/>
              <w:left w:val="nil"/>
              <w:bottom w:val="nil"/>
              <w:right w:val="nil"/>
            </w:tcBorders>
            <w:shd w:val="clear" w:color="000000" w:fill="FFFFFF"/>
            <w:vAlign w:val="center"/>
          </w:tcPr>
          <w:p>
            <w:pPr>
              <w:widowControl/>
              <w:jc w:val="center"/>
              <w:rPr>
                <w:rFonts w:cs="宋体" w:asciiTheme="minorEastAsia" w:hAnsiTheme="minorEastAsia"/>
                <w:kern w:val="0"/>
                <w:sz w:val="32"/>
                <w:szCs w:val="32"/>
                <w:highlight w:val="none"/>
              </w:rPr>
            </w:pPr>
            <w:r>
              <w:rPr>
                <w:rFonts w:hint="eastAsia" w:cs="宋体" w:asciiTheme="minorEastAsia" w:hAnsiTheme="minorEastAsia"/>
                <w:kern w:val="0"/>
                <w:sz w:val="32"/>
                <w:szCs w:val="32"/>
                <w:highlight w:val="none"/>
              </w:rPr>
              <w:t>国有资本经营预算财政拨款支出决算表</w:t>
            </w:r>
          </w:p>
        </w:tc>
      </w:tr>
      <w:tr>
        <w:tblPrEx>
          <w:tblCellMar>
            <w:top w:w="0" w:type="dxa"/>
            <w:left w:w="108" w:type="dxa"/>
            <w:bottom w:w="0" w:type="dxa"/>
            <w:right w:w="108" w:type="dxa"/>
          </w:tblCellMar>
        </w:tblPrEx>
        <w:trPr>
          <w:trHeight w:val="285" w:hRule="atLeast"/>
        </w:trPr>
        <w:tc>
          <w:tcPr>
            <w:tcW w:w="1789" w:type="pct"/>
            <w:gridSpan w:val="2"/>
            <w:tcBorders>
              <w:top w:val="nil"/>
              <w:left w:val="nil"/>
              <w:bottom w:val="nil"/>
              <w:right w:val="nil"/>
            </w:tcBorders>
            <w:shd w:val="clear" w:color="000000" w:fill="FFFFFF"/>
            <w:vAlign w:val="center"/>
          </w:tcPr>
          <w:p>
            <w:pPr>
              <w:widowControl/>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081" w:type="pct"/>
            <w:tcBorders>
              <w:top w:val="nil"/>
              <w:left w:val="nil"/>
              <w:bottom w:val="nil"/>
              <w:right w:val="nil"/>
            </w:tcBorders>
            <w:shd w:val="clear" w:color="000000" w:fill="FFFFFF"/>
            <w:vAlign w:val="center"/>
          </w:tcPr>
          <w:p>
            <w:pPr>
              <w:widowControl/>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081" w:type="pct"/>
            <w:tcBorders>
              <w:top w:val="nil"/>
              <w:left w:val="nil"/>
              <w:bottom w:val="nil"/>
              <w:right w:val="nil"/>
            </w:tcBorders>
            <w:shd w:val="clear" w:color="000000" w:fill="FFFFFF"/>
            <w:vAlign w:val="center"/>
          </w:tcPr>
          <w:p>
            <w:pPr>
              <w:widowControl/>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046"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公开09表</w:t>
            </w:r>
          </w:p>
        </w:tc>
      </w:tr>
      <w:tr>
        <w:tblPrEx>
          <w:tblCellMar>
            <w:top w:w="0" w:type="dxa"/>
            <w:left w:w="108" w:type="dxa"/>
            <w:bottom w:w="0" w:type="dxa"/>
            <w:right w:w="108" w:type="dxa"/>
          </w:tblCellMar>
        </w:tblPrEx>
        <w:trPr>
          <w:trHeight w:val="285" w:hRule="atLeast"/>
        </w:trPr>
        <w:tc>
          <w:tcPr>
            <w:tcW w:w="1789" w:type="pct"/>
            <w:gridSpan w:val="2"/>
            <w:tcBorders>
              <w:top w:val="nil"/>
              <w:left w:val="nil"/>
              <w:bottom w:val="nil"/>
              <w:right w:val="nil"/>
            </w:tcBorders>
            <w:shd w:val="clear" w:color="000000" w:fill="FFFFFF"/>
            <w:noWrap/>
            <w:vAlign w:val="center"/>
          </w:tcPr>
          <w:p>
            <w:pPr>
              <w:widowControl/>
              <w:jc w:val="left"/>
              <w:rPr>
                <w:rFonts w:hint="default" w:ascii="Times New Roman" w:hAnsi="Times New Roman" w:cs="Times New Roman"/>
                <w:kern w:val="0"/>
                <w:sz w:val="21"/>
                <w:szCs w:val="21"/>
                <w:highlight w:val="none"/>
              </w:rPr>
            </w:pPr>
            <w:r>
              <w:rPr>
                <w:rFonts w:hint="default" w:ascii="Times New Roman" w:hAnsi="Times New Roman" w:cs="Times New Roman"/>
                <w:color w:val="000000"/>
                <w:kern w:val="0"/>
                <w:sz w:val="21"/>
                <w:szCs w:val="21"/>
                <w:highlight w:val="none"/>
              </w:rPr>
              <w:t>部门：</w:t>
            </w:r>
            <w:r>
              <w:rPr>
                <w:rFonts w:hint="default" w:ascii="Times New Roman" w:hAnsi="Times New Roman" w:cs="Times New Roman" w:eastAsiaTheme="minorEastAsia"/>
                <w:color w:val="000000"/>
                <w:kern w:val="0"/>
                <w:sz w:val="21"/>
                <w:szCs w:val="21"/>
                <w:highlight w:val="none"/>
                <w:lang w:eastAsia="zh-CN"/>
              </w:rPr>
              <w:t>中共祁阳市委政法委员会</w:t>
            </w:r>
          </w:p>
        </w:tc>
        <w:tc>
          <w:tcPr>
            <w:tcW w:w="1081" w:type="pct"/>
            <w:tcBorders>
              <w:top w:val="nil"/>
              <w:left w:val="nil"/>
              <w:bottom w:val="single" w:color="auto" w:sz="8" w:space="0"/>
              <w:right w:val="nil"/>
            </w:tcBorders>
            <w:shd w:val="clear" w:color="000000" w:fill="FFFFFF"/>
            <w:vAlign w:val="center"/>
          </w:tcPr>
          <w:p>
            <w:pPr>
              <w:widowControl/>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081" w:type="pct"/>
            <w:tcBorders>
              <w:top w:val="nil"/>
              <w:left w:val="nil"/>
              <w:bottom w:val="single" w:color="auto" w:sz="8" w:space="0"/>
              <w:right w:val="nil"/>
            </w:tcBorders>
            <w:shd w:val="clear" w:color="000000" w:fill="FFFFFF"/>
            <w:vAlign w:val="center"/>
          </w:tcPr>
          <w:p>
            <w:pPr>
              <w:widowControl/>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046"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单位：万元</w:t>
            </w:r>
          </w:p>
        </w:tc>
      </w:tr>
      <w:tr>
        <w:tblPrEx>
          <w:tblCellMar>
            <w:top w:w="0" w:type="dxa"/>
            <w:left w:w="108" w:type="dxa"/>
            <w:bottom w:w="0" w:type="dxa"/>
            <w:right w:w="108" w:type="dxa"/>
          </w:tblCellMar>
        </w:tblPrEx>
        <w:trPr>
          <w:trHeight w:val="402" w:hRule="atLeast"/>
        </w:trPr>
        <w:tc>
          <w:tcPr>
            <w:tcW w:w="1789" w:type="pct"/>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xml:space="preserve">项 </w:t>
            </w:r>
            <w:r>
              <w:rPr>
                <w:rFonts w:hint="default" w:ascii="Times New Roman" w:hAnsi="Times New Roman" w:cs="Times New Roman"/>
                <w:color w:val="000000"/>
                <w:kern w:val="0"/>
                <w:sz w:val="21"/>
                <w:szCs w:val="21"/>
                <w:highlight w:val="none"/>
              </w:rPr>
              <w:t xml:space="preserve">   </w:t>
            </w:r>
            <w:r>
              <w:rPr>
                <w:rFonts w:hint="default" w:ascii="Times New Roman" w:hAnsi="Times New Roman" w:cs="Times New Roman"/>
                <w:kern w:val="0"/>
                <w:sz w:val="21"/>
                <w:szCs w:val="21"/>
                <w:highlight w:val="none"/>
              </w:rPr>
              <w:t>目</w:t>
            </w:r>
          </w:p>
        </w:tc>
        <w:tc>
          <w:tcPr>
            <w:tcW w:w="3210" w:type="pct"/>
            <w:gridSpan w:val="3"/>
            <w:tcBorders>
              <w:top w:val="single" w:color="auto" w:sz="8"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本年支出</w:t>
            </w:r>
          </w:p>
        </w:tc>
      </w:tr>
      <w:tr>
        <w:tblPrEx>
          <w:tblCellMar>
            <w:top w:w="0" w:type="dxa"/>
            <w:left w:w="108" w:type="dxa"/>
            <w:bottom w:w="0" w:type="dxa"/>
            <w:right w:w="108" w:type="dxa"/>
          </w:tblCellMar>
        </w:tblPrEx>
        <w:trPr>
          <w:trHeight w:val="402" w:hRule="atLeast"/>
        </w:trPr>
        <w:tc>
          <w:tcPr>
            <w:tcW w:w="433" w:type="pct"/>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功能分类科目编码</w:t>
            </w:r>
          </w:p>
        </w:tc>
        <w:tc>
          <w:tcPr>
            <w:tcW w:w="135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科目名称</w:t>
            </w:r>
          </w:p>
        </w:tc>
        <w:tc>
          <w:tcPr>
            <w:tcW w:w="1081"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合计</w:t>
            </w:r>
          </w:p>
        </w:tc>
        <w:tc>
          <w:tcPr>
            <w:tcW w:w="1081"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xml:space="preserve">基本支出  </w:t>
            </w:r>
          </w:p>
        </w:tc>
        <w:tc>
          <w:tcPr>
            <w:tcW w:w="104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项目支出</w:t>
            </w:r>
          </w:p>
        </w:tc>
      </w:tr>
      <w:tr>
        <w:tblPrEx>
          <w:tblCellMar>
            <w:top w:w="0" w:type="dxa"/>
            <w:left w:w="108" w:type="dxa"/>
            <w:bottom w:w="0" w:type="dxa"/>
            <w:right w:w="108" w:type="dxa"/>
          </w:tblCellMar>
        </w:tblPrEx>
        <w:trPr>
          <w:trHeight w:val="402" w:hRule="atLeast"/>
        </w:trPr>
        <w:tc>
          <w:tcPr>
            <w:tcW w:w="433" w:type="pct"/>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highlight w:val="none"/>
              </w:rPr>
            </w:pPr>
          </w:p>
        </w:tc>
        <w:tc>
          <w:tcPr>
            <w:tcW w:w="1356" w:type="pct"/>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highlight w:val="none"/>
              </w:rPr>
            </w:pPr>
          </w:p>
        </w:tc>
        <w:tc>
          <w:tcPr>
            <w:tcW w:w="1081" w:type="pct"/>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cs="Times New Roman"/>
                <w:kern w:val="0"/>
                <w:sz w:val="21"/>
                <w:szCs w:val="21"/>
                <w:highlight w:val="none"/>
              </w:rPr>
            </w:pPr>
          </w:p>
        </w:tc>
        <w:tc>
          <w:tcPr>
            <w:tcW w:w="1081" w:type="pct"/>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cs="Times New Roman"/>
                <w:kern w:val="0"/>
                <w:sz w:val="21"/>
                <w:szCs w:val="21"/>
                <w:highlight w:val="none"/>
              </w:rPr>
            </w:pPr>
          </w:p>
        </w:tc>
        <w:tc>
          <w:tcPr>
            <w:tcW w:w="1046" w:type="pct"/>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cs="Times New Roman"/>
                <w:kern w:val="0"/>
                <w:sz w:val="21"/>
                <w:szCs w:val="21"/>
                <w:highlight w:val="none"/>
              </w:rPr>
            </w:pPr>
          </w:p>
        </w:tc>
      </w:tr>
      <w:tr>
        <w:tblPrEx>
          <w:tblCellMar>
            <w:top w:w="0" w:type="dxa"/>
            <w:left w:w="108" w:type="dxa"/>
            <w:bottom w:w="0" w:type="dxa"/>
            <w:right w:w="108" w:type="dxa"/>
          </w:tblCellMar>
        </w:tblPrEx>
        <w:trPr>
          <w:trHeight w:val="402" w:hRule="atLeast"/>
        </w:trPr>
        <w:tc>
          <w:tcPr>
            <w:tcW w:w="433" w:type="pct"/>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highlight w:val="none"/>
              </w:rPr>
            </w:pPr>
          </w:p>
        </w:tc>
        <w:tc>
          <w:tcPr>
            <w:tcW w:w="1356" w:type="pct"/>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highlight w:val="none"/>
              </w:rPr>
            </w:pPr>
          </w:p>
        </w:tc>
        <w:tc>
          <w:tcPr>
            <w:tcW w:w="1081" w:type="pct"/>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cs="Times New Roman"/>
                <w:kern w:val="0"/>
                <w:sz w:val="21"/>
                <w:szCs w:val="21"/>
                <w:highlight w:val="none"/>
              </w:rPr>
            </w:pPr>
          </w:p>
        </w:tc>
        <w:tc>
          <w:tcPr>
            <w:tcW w:w="1081" w:type="pct"/>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cs="Times New Roman"/>
                <w:kern w:val="0"/>
                <w:sz w:val="21"/>
                <w:szCs w:val="21"/>
                <w:highlight w:val="none"/>
              </w:rPr>
            </w:pPr>
          </w:p>
        </w:tc>
        <w:tc>
          <w:tcPr>
            <w:tcW w:w="1046" w:type="pct"/>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cs="Times New Roman"/>
                <w:kern w:val="0"/>
                <w:sz w:val="21"/>
                <w:szCs w:val="21"/>
                <w:highlight w:val="none"/>
              </w:rPr>
            </w:pPr>
          </w:p>
        </w:tc>
      </w:tr>
      <w:tr>
        <w:tblPrEx>
          <w:tblCellMar>
            <w:top w:w="0" w:type="dxa"/>
            <w:left w:w="108" w:type="dxa"/>
            <w:bottom w:w="0" w:type="dxa"/>
            <w:right w:w="108" w:type="dxa"/>
          </w:tblCellMar>
        </w:tblPrEx>
        <w:trPr>
          <w:trHeight w:val="402" w:hRule="atLeast"/>
        </w:trPr>
        <w:tc>
          <w:tcPr>
            <w:tcW w:w="1789" w:type="pct"/>
            <w:gridSpan w:val="2"/>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栏次</w:t>
            </w: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1</w:t>
            </w: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2</w:t>
            </w:r>
          </w:p>
        </w:tc>
        <w:tc>
          <w:tcPr>
            <w:tcW w:w="1046"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3</w:t>
            </w:r>
          </w:p>
        </w:tc>
      </w:tr>
      <w:tr>
        <w:tblPrEx>
          <w:tblCellMar>
            <w:top w:w="0" w:type="dxa"/>
            <w:left w:w="108" w:type="dxa"/>
            <w:bottom w:w="0" w:type="dxa"/>
            <w:right w:w="108" w:type="dxa"/>
          </w:tblCellMar>
        </w:tblPrEx>
        <w:trPr>
          <w:trHeight w:val="402" w:hRule="atLeast"/>
        </w:trPr>
        <w:tc>
          <w:tcPr>
            <w:tcW w:w="1789" w:type="pct"/>
            <w:gridSpan w:val="2"/>
            <w:tcBorders>
              <w:top w:val="nil"/>
              <w:left w:val="single" w:color="auto" w:sz="8" w:space="0"/>
              <w:bottom w:val="single" w:color="auto" w:sz="4" w:space="0"/>
              <w:right w:val="single" w:color="000000" w:sz="4" w:space="0"/>
            </w:tcBorders>
            <w:shd w:val="clear" w:color="auto" w:fill="auto"/>
            <w:vAlign w:val="center"/>
          </w:tcPr>
          <w:p>
            <w:pPr>
              <w:widowControl/>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合计</w:t>
            </w:r>
          </w:p>
        </w:tc>
        <w:tc>
          <w:tcPr>
            <w:tcW w:w="3210" w:type="pct"/>
            <w:gridSpan w:val="3"/>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本单位无国有资本经营预算财政拨款支出，故本表无数据</w:t>
            </w:r>
            <w:r>
              <w:rPr>
                <w:rFonts w:hint="default" w:ascii="Times New Roman" w:hAnsi="Times New Roman" w:cs="Times New Roman"/>
                <w:kern w:val="0"/>
                <w:sz w:val="21"/>
                <w:szCs w:val="21"/>
                <w:highlight w:val="none"/>
                <w:lang w:eastAsia="zh-CN"/>
              </w:rPr>
              <w:t>。</w:t>
            </w:r>
          </w:p>
        </w:tc>
      </w:tr>
      <w:tr>
        <w:tblPrEx>
          <w:tblCellMar>
            <w:top w:w="0" w:type="dxa"/>
            <w:left w:w="108" w:type="dxa"/>
            <w:bottom w:w="0" w:type="dxa"/>
            <w:right w:w="108" w:type="dxa"/>
          </w:tblCellMar>
        </w:tblPrEx>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356" w:type="pct"/>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046" w:type="pct"/>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r>
      <w:tr>
        <w:tblPrEx>
          <w:tblCellMar>
            <w:top w:w="0" w:type="dxa"/>
            <w:left w:w="108" w:type="dxa"/>
            <w:bottom w:w="0" w:type="dxa"/>
            <w:right w:w="108" w:type="dxa"/>
          </w:tblCellMar>
        </w:tblPrEx>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356" w:type="pct"/>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046" w:type="pct"/>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r>
      <w:tr>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356" w:type="pct"/>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046" w:type="pct"/>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r>
      <w:tr>
        <w:tblPrEx>
          <w:tblCellMar>
            <w:top w:w="0" w:type="dxa"/>
            <w:left w:w="108" w:type="dxa"/>
            <w:bottom w:w="0" w:type="dxa"/>
            <w:right w:w="108" w:type="dxa"/>
          </w:tblCellMar>
        </w:tblPrEx>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356" w:type="pct"/>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046" w:type="pct"/>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r>
      <w:tr>
        <w:tblPrEx>
          <w:tblCellMar>
            <w:top w:w="0" w:type="dxa"/>
            <w:left w:w="108" w:type="dxa"/>
            <w:bottom w:w="0" w:type="dxa"/>
            <w:right w:w="108" w:type="dxa"/>
          </w:tblCellMar>
        </w:tblPrEx>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356" w:type="pct"/>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046" w:type="pct"/>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r>
      <w:tr>
        <w:trPr>
          <w:trHeight w:val="402" w:hRule="atLeast"/>
        </w:trPr>
        <w:tc>
          <w:tcPr>
            <w:tcW w:w="433" w:type="pct"/>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356" w:type="pct"/>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081" w:type="pct"/>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081" w:type="pct"/>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046" w:type="pct"/>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r>
      <w:tr>
        <w:tblPrEx>
          <w:tblCellMar>
            <w:top w:w="0" w:type="dxa"/>
            <w:left w:w="108" w:type="dxa"/>
            <w:bottom w:w="0" w:type="dxa"/>
            <w:right w:w="108" w:type="dxa"/>
          </w:tblCellMar>
        </w:tblPrEx>
        <w:trPr>
          <w:trHeight w:val="720" w:hRule="atLeast"/>
        </w:trPr>
        <w:tc>
          <w:tcPr>
            <w:tcW w:w="5000" w:type="pct"/>
            <w:gridSpan w:val="5"/>
            <w:tcBorders>
              <w:top w:val="single" w:color="auto" w:sz="8" w:space="0"/>
              <w:left w:val="nil"/>
              <w:bottom w:val="nil"/>
              <w:right w:val="nil"/>
            </w:tcBorders>
            <w:shd w:val="clear" w:color="auto" w:fill="auto"/>
            <w:vAlign w:val="center"/>
          </w:tcPr>
          <w:p>
            <w:pPr>
              <w:widowControl/>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注：本表反映部门本年度国有资本经营预算财政拨款支出情况。</w:t>
            </w:r>
          </w:p>
          <w:p>
            <w:pPr>
              <w:widowControl/>
              <w:ind w:firstLine="420" w:firstLineChars="200"/>
              <w:jc w:val="left"/>
              <w:rPr>
                <w:rFonts w:hint="default" w:ascii="Times New Roman" w:hAnsi="Times New Roman" w:cs="Times New Roman" w:eastAsiaTheme="minorEastAsia"/>
                <w:kern w:val="0"/>
                <w:sz w:val="21"/>
                <w:szCs w:val="21"/>
                <w:highlight w:val="none"/>
                <w:lang w:eastAsia="zh-CN"/>
              </w:rPr>
            </w:pPr>
            <w:r>
              <w:rPr>
                <w:rFonts w:hint="default" w:ascii="Times New Roman" w:hAnsi="Times New Roman" w:cs="Times New Roman"/>
                <w:kern w:val="0"/>
                <w:sz w:val="21"/>
                <w:szCs w:val="21"/>
                <w:highlight w:val="none"/>
              </w:rPr>
              <w:t>本单位无国有资本经营预算财政拨款支出，故本表无数据</w:t>
            </w:r>
            <w:r>
              <w:rPr>
                <w:rFonts w:hint="default" w:ascii="Times New Roman" w:hAnsi="Times New Roman" w:cs="Times New Roman"/>
                <w:kern w:val="0"/>
                <w:sz w:val="21"/>
                <w:szCs w:val="21"/>
                <w:highlight w:val="none"/>
                <w:lang w:eastAsia="zh-CN"/>
              </w:rPr>
              <w:t>。</w:t>
            </w:r>
          </w:p>
        </w:tc>
      </w:tr>
    </w:tbl>
    <w:p>
      <w:pPr>
        <w:pStyle w:val="14"/>
        <w:rPr>
          <w:rFonts w:asciiTheme="minorEastAsia" w:hAnsiTheme="minorEastAsia" w:eastAsiaTheme="minorEastAsia"/>
          <w:sz w:val="72"/>
          <w:szCs w:val="72"/>
          <w:highlight w:val="none"/>
        </w:rPr>
        <w:sectPr>
          <w:pgSz w:w="16838" w:h="11906" w:orient="landscape"/>
          <w:pgMar w:top="720" w:right="720" w:bottom="720" w:left="720" w:header="851" w:footer="992" w:gutter="0"/>
          <w:cols w:space="425" w:num="1"/>
          <w:docGrid w:type="lines" w:linePitch="312" w:charSpace="0"/>
        </w:sectPr>
      </w:pPr>
    </w:p>
    <w:p>
      <w:pPr>
        <w:pStyle w:val="14"/>
        <w:jc w:val="both"/>
        <w:rPr>
          <w:rFonts w:asciiTheme="minorEastAsia" w:hAnsiTheme="minorEastAsia" w:eastAsiaTheme="minorEastAsia"/>
          <w:sz w:val="72"/>
          <w:szCs w:val="72"/>
          <w:highlight w:val="none"/>
        </w:rPr>
      </w:pPr>
    </w:p>
    <w:p>
      <w:pPr>
        <w:pStyle w:val="14"/>
        <w:jc w:val="center"/>
        <w:rPr>
          <w:rFonts w:hint="eastAsia" w:asciiTheme="minorEastAsia" w:hAnsiTheme="minorEastAsia" w:eastAsiaTheme="minorEastAsia"/>
          <w:sz w:val="72"/>
          <w:szCs w:val="72"/>
          <w:highlight w:val="none"/>
        </w:rPr>
      </w:pPr>
    </w:p>
    <w:p>
      <w:pPr>
        <w:pStyle w:val="14"/>
        <w:jc w:val="center"/>
        <w:rPr>
          <w:rFonts w:hint="eastAsia" w:asciiTheme="minorEastAsia" w:hAnsiTheme="minorEastAsia" w:eastAsiaTheme="minorEastAsia"/>
          <w:sz w:val="72"/>
          <w:szCs w:val="72"/>
          <w:highlight w:val="none"/>
        </w:rPr>
      </w:pPr>
    </w:p>
    <w:p>
      <w:pPr>
        <w:pStyle w:val="14"/>
        <w:jc w:val="center"/>
        <w:rPr>
          <w:rFonts w:hint="eastAsia" w:asciiTheme="minorEastAsia" w:hAnsiTheme="minorEastAsia" w:eastAsiaTheme="minorEastAsia"/>
          <w:sz w:val="72"/>
          <w:szCs w:val="72"/>
          <w:highlight w:val="none"/>
        </w:rPr>
      </w:pPr>
    </w:p>
    <w:p>
      <w:pPr>
        <w:pStyle w:val="14"/>
        <w:jc w:val="center"/>
        <w:rPr>
          <w:rFonts w:hint="eastAsia" w:asciiTheme="minorEastAsia" w:hAnsiTheme="minorEastAsia" w:eastAsiaTheme="minorEastAsia"/>
          <w:sz w:val="72"/>
          <w:szCs w:val="72"/>
          <w:highlight w:val="none"/>
        </w:rPr>
      </w:pPr>
    </w:p>
    <w:p>
      <w:pPr>
        <w:pStyle w:val="14"/>
        <w:jc w:val="center"/>
        <w:rPr>
          <w:rFonts w:hint="eastAsia" w:asciiTheme="minorEastAsia" w:hAnsiTheme="minorEastAsia" w:eastAsiaTheme="minorEastAsia"/>
          <w:sz w:val="72"/>
          <w:szCs w:val="72"/>
          <w:highlight w:val="none"/>
        </w:rPr>
      </w:pPr>
    </w:p>
    <w:p>
      <w:pPr>
        <w:pStyle w:val="14"/>
        <w:jc w:val="center"/>
        <w:rPr>
          <w:rFonts w:hint="eastAsia" w:asciiTheme="minorEastAsia" w:hAnsiTheme="minorEastAsia" w:eastAsiaTheme="minorEastAsia"/>
          <w:sz w:val="72"/>
          <w:szCs w:val="72"/>
          <w:highlight w:val="none"/>
        </w:rPr>
      </w:pPr>
    </w:p>
    <w:p>
      <w:pPr>
        <w:pStyle w:val="14"/>
        <w:jc w:val="center"/>
        <w:rPr>
          <w:rFonts w:hint="eastAsia" w:asciiTheme="minorEastAsia" w:hAnsiTheme="minorEastAsia" w:eastAsiaTheme="minorEastAsia"/>
          <w:sz w:val="72"/>
          <w:szCs w:val="72"/>
          <w:highlight w:val="none"/>
        </w:rPr>
      </w:pPr>
      <w:r>
        <w:rPr>
          <w:rFonts w:hint="eastAsia" w:asciiTheme="minorEastAsia" w:hAnsiTheme="minorEastAsia" w:eastAsiaTheme="minorEastAsia"/>
          <w:sz w:val="72"/>
          <w:szCs w:val="72"/>
          <w:highlight w:val="none"/>
        </w:rPr>
        <w:t>第三部分</w:t>
      </w:r>
    </w:p>
    <w:p>
      <w:pPr>
        <w:pStyle w:val="14"/>
        <w:jc w:val="center"/>
        <w:rPr>
          <w:rFonts w:hint="eastAsia" w:asciiTheme="minorEastAsia" w:hAnsiTheme="minorEastAsia" w:eastAsiaTheme="minorEastAsia"/>
          <w:sz w:val="72"/>
          <w:szCs w:val="72"/>
          <w:highlight w:val="none"/>
        </w:rPr>
      </w:pPr>
    </w:p>
    <w:p>
      <w:pPr>
        <w:pStyle w:val="14"/>
        <w:jc w:val="center"/>
        <w:rPr>
          <w:rFonts w:asciiTheme="minorEastAsia" w:hAnsiTheme="minorEastAsia" w:eastAsiaTheme="minorEastAsia"/>
          <w:sz w:val="70"/>
          <w:szCs w:val="70"/>
          <w:highlight w:val="none"/>
        </w:rPr>
      </w:pPr>
      <w:r>
        <w:rPr>
          <w:rFonts w:asciiTheme="minorEastAsia" w:hAnsiTheme="minorEastAsia" w:eastAsiaTheme="minorEastAsia"/>
          <w:sz w:val="70"/>
          <w:szCs w:val="70"/>
          <w:highlight w:val="none"/>
        </w:rPr>
        <w:t>20</w:t>
      </w:r>
      <w:r>
        <w:rPr>
          <w:rFonts w:hint="eastAsia" w:asciiTheme="minorEastAsia" w:hAnsiTheme="minorEastAsia" w:eastAsiaTheme="minorEastAsia"/>
          <w:sz w:val="70"/>
          <w:szCs w:val="70"/>
          <w:highlight w:val="none"/>
        </w:rPr>
        <w:t>21年度部门决算情况说明</w:t>
      </w:r>
    </w:p>
    <w:p>
      <w:pPr>
        <w:widowControl/>
        <w:jc w:val="left"/>
        <w:rPr>
          <w:rFonts w:asciiTheme="minorEastAsia" w:hAnsiTheme="minorEastAsia" w:eastAsiaTheme="minorEastAsia"/>
          <w:sz w:val="32"/>
          <w:szCs w:val="32"/>
          <w:highlight w:val="none"/>
        </w:rPr>
      </w:pPr>
      <w:r>
        <w:rPr>
          <w:rFonts w:asciiTheme="minorEastAsia" w:hAnsiTheme="minorEastAsia"/>
          <w:sz w:val="70"/>
          <w:szCs w:val="70"/>
          <w:highlight w:val="none"/>
        </w:rPr>
        <w:br w:type="page"/>
      </w:r>
    </w:p>
    <w:p>
      <w:pPr>
        <w:pStyle w:val="14"/>
        <w:keepNext w:val="0"/>
        <w:keepLines w:val="0"/>
        <w:pageBreakBefore w:val="0"/>
        <w:kinsoku/>
        <w:wordWrap/>
        <w:overflowPunct/>
        <w:topLinePunct w:val="0"/>
        <w:bidi w:val="0"/>
        <w:snapToGrid/>
        <w:ind w:firstLine="640" w:firstLineChars="200"/>
        <w:textAlignment w:val="auto"/>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一、收入支出决算总体情况说明</w:t>
      </w:r>
    </w:p>
    <w:p>
      <w:pPr>
        <w:pStyle w:val="14"/>
        <w:keepNext w:val="0"/>
        <w:keepLines w:val="0"/>
        <w:pageBreakBefore w:val="0"/>
        <w:kinsoku/>
        <w:wordWrap/>
        <w:overflowPunct/>
        <w:topLinePunct w:val="0"/>
        <w:bidi w:val="0"/>
        <w:snapToGrid/>
        <w:ind w:firstLine="640" w:firstLineChars="200"/>
        <w:textAlignment w:val="auto"/>
        <w:rPr>
          <w:rFonts w:hint="default"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rPr>
        <w:t>2021年度收、支总计</w:t>
      </w:r>
      <w:r>
        <w:rPr>
          <w:rFonts w:hint="eastAsia" w:asciiTheme="minorEastAsia" w:hAnsiTheme="minorEastAsia" w:eastAsiaTheme="minorEastAsia"/>
          <w:sz w:val="32"/>
          <w:szCs w:val="32"/>
          <w:highlight w:val="none"/>
          <w:lang w:val="en-US" w:eastAsia="zh-CN"/>
        </w:rPr>
        <w:t>963.67</w:t>
      </w:r>
      <w:r>
        <w:rPr>
          <w:rFonts w:hint="eastAsia" w:asciiTheme="minorEastAsia" w:hAnsiTheme="minorEastAsia" w:eastAsiaTheme="minorEastAsia"/>
          <w:sz w:val="32"/>
          <w:szCs w:val="32"/>
          <w:highlight w:val="none"/>
        </w:rPr>
        <w:t>万元。与上年相比，增加</w:t>
      </w:r>
      <w:r>
        <w:rPr>
          <w:rFonts w:hint="eastAsia" w:asciiTheme="minorEastAsia" w:hAnsiTheme="minorEastAsia" w:eastAsiaTheme="minorEastAsia"/>
          <w:sz w:val="32"/>
          <w:szCs w:val="32"/>
          <w:highlight w:val="none"/>
          <w:lang w:val="en-US" w:eastAsia="zh-CN"/>
        </w:rPr>
        <w:t>266.91</w:t>
      </w:r>
      <w:r>
        <w:rPr>
          <w:rFonts w:hint="eastAsia" w:asciiTheme="minorEastAsia" w:hAnsiTheme="minorEastAsia" w:eastAsiaTheme="minorEastAsia"/>
          <w:sz w:val="32"/>
          <w:szCs w:val="32"/>
          <w:highlight w:val="none"/>
        </w:rPr>
        <w:t>万元，增长</w:t>
      </w:r>
      <w:r>
        <w:rPr>
          <w:rFonts w:hint="eastAsia" w:asciiTheme="minorEastAsia" w:hAnsiTheme="minorEastAsia" w:eastAsiaTheme="minorEastAsia"/>
          <w:sz w:val="32"/>
          <w:szCs w:val="32"/>
          <w:highlight w:val="none"/>
          <w:lang w:val="en-US" w:eastAsia="zh-CN"/>
        </w:rPr>
        <w:t>38.31</w:t>
      </w:r>
      <w:r>
        <w:rPr>
          <w:rFonts w:hint="eastAsia" w:asciiTheme="minorEastAsia" w:hAnsiTheme="minorEastAsia" w:eastAsiaTheme="minorEastAsia"/>
          <w:sz w:val="32"/>
          <w:szCs w:val="32"/>
          <w:highlight w:val="none"/>
        </w:rPr>
        <w:t>%，主要是因为</w:t>
      </w:r>
      <w:r>
        <w:rPr>
          <w:rFonts w:hint="eastAsia" w:asciiTheme="minorEastAsia" w:hAnsiTheme="minorEastAsia" w:eastAsiaTheme="minorEastAsia"/>
          <w:sz w:val="32"/>
          <w:szCs w:val="32"/>
          <w:highlight w:val="none"/>
          <w:lang w:val="en-US" w:eastAsia="zh-CN"/>
        </w:rPr>
        <w:t>2021年网格事务中心的经费全部纳入政法委及开展政法队伍教育整顿、全国市域社会治理现代化试点工作、扫黑除恶工作常态化增加了相应经费。</w:t>
      </w:r>
    </w:p>
    <w:p>
      <w:pPr>
        <w:pStyle w:val="14"/>
        <w:keepNext w:val="0"/>
        <w:keepLines w:val="0"/>
        <w:pageBreakBefore w:val="0"/>
        <w:kinsoku/>
        <w:wordWrap/>
        <w:overflowPunct/>
        <w:topLinePunct w:val="0"/>
        <w:bidi w:val="0"/>
        <w:snapToGrid/>
        <w:ind w:firstLine="640" w:firstLineChars="200"/>
        <w:textAlignment w:val="auto"/>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二、收入决算情况说明</w:t>
      </w:r>
    </w:p>
    <w:p>
      <w:pPr>
        <w:pStyle w:val="14"/>
        <w:keepNext w:val="0"/>
        <w:keepLines w:val="0"/>
        <w:pageBreakBefore w:val="0"/>
        <w:kinsoku/>
        <w:wordWrap/>
        <w:overflowPunct/>
        <w:topLinePunct w:val="0"/>
        <w:bidi w:val="0"/>
        <w:snapToGrid/>
        <w:ind w:firstLine="640" w:firstLineChars="200"/>
        <w:textAlignment w:val="auto"/>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2021年度收入合计</w:t>
      </w:r>
      <w:r>
        <w:rPr>
          <w:rFonts w:hint="eastAsia" w:asciiTheme="minorEastAsia" w:hAnsiTheme="minorEastAsia" w:eastAsiaTheme="minorEastAsia"/>
          <w:sz w:val="32"/>
          <w:szCs w:val="32"/>
          <w:highlight w:val="none"/>
          <w:lang w:val="en-US" w:eastAsia="zh-CN"/>
        </w:rPr>
        <w:t>963.67</w:t>
      </w:r>
      <w:r>
        <w:rPr>
          <w:rFonts w:hint="eastAsia" w:asciiTheme="minorEastAsia" w:hAnsiTheme="minorEastAsia" w:eastAsiaTheme="minorEastAsia"/>
          <w:sz w:val="32"/>
          <w:szCs w:val="32"/>
          <w:highlight w:val="none"/>
        </w:rPr>
        <w:t>万元，其中：财政拨款收入</w:t>
      </w:r>
      <w:r>
        <w:rPr>
          <w:rFonts w:hint="eastAsia" w:asciiTheme="minorEastAsia" w:hAnsiTheme="minorEastAsia" w:eastAsiaTheme="minorEastAsia"/>
          <w:sz w:val="32"/>
          <w:szCs w:val="32"/>
          <w:highlight w:val="none"/>
          <w:lang w:val="en-US" w:eastAsia="zh-CN"/>
        </w:rPr>
        <w:t>963.67</w:t>
      </w:r>
      <w:r>
        <w:rPr>
          <w:rFonts w:hint="eastAsia" w:asciiTheme="minorEastAsia" w:hAnsiTheme="minorEastAsia" w:eastAsiaTheme="minorEastAsia"/>
          <w:sz w:val="32"/>
          <w:szCs w:val="32"/>
          <w:highlight w:val="none"/>
        </w:rPr>
        <w:t>万元，占</w:t>
      </w:r>
      <w:r>
        <w:rPr>
          <w:rFonts w:hint="eastAsia" w:asciiTheme="minorEastAsia" w:hAnsiTheme="minorEastAsia" w:eastAsiaTheme="minorEastAsia"/>
          <w:sz w:val="32"/>
          <w:szCs w:val="32"/>
          <w:highlight w:val="none"/>
          <w:lang w:val="en-US" w:eastAsia="zh-CN"/>
        </w:rPr>
        <w:t>100</w:t>
      </w:r>
      <w:r>
        <w:rPr>
          <w:rFonts w:hint="eastAsia" w:asciiTheme="minorEastAsia" w:hAnsiTheme="minorEastAsia" w:eastAsiaTheme="minorEastAsia"/>
          <w:sz w:val="32"/>
          <w:szCs w:val="32"/>
          <w:highlight w:val="none"/>
        </w:rPr>
        <w:t>%；上级补助收入</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万元，占</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%；事业收入</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万元，占</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%；经营收入</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万元，占</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%；附属单位上缴收入</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万元，占</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%；其他收入</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万元，占</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w:t>
      </w:r>
    </w:p>
    <w:p>
      <w:pPr>
        <w:pStyle w:val="14"/>
        <w:keepNext w:val="0"/>
        <w:keepLines w:val="0"/>
        <w:pageBreakBefore w:val="0"/>
        <w:kinsoku/>
        <w:wordWrap/>
        <w:overflowPunct/>
        <w:topLinePunct w:val="0"/>
        <w:bidi w:val="0"/>
        <w:snapToGrid/>
        <w:ind w:firstLine="640" w:firstLineChars="200"/>
        <w:textAlignment w:val="auto"/>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三、支出决算情况说明</w:t>
      </w:r>
    </w:p>
    <w:p>
      <w:pPr>
        <w:pStyle w:val="14"/>
        <w:keepNext w:val="0"/>
        <w:keepLines w:val="0"/>
        <w:pageBreakBefore w:val="0"/>
        <w:kinsoku/>
        <w:wordWrap/>
        <w:overflowPunct/>
        <w:topLinePunct w:val="0"/>
        <w:bidi w:val="0"/>
        <w:snapToGrid/>
        <w:ind w:firstLine="640" w:firstLineChars="200"/>
        <w:textAlignment w:val="auto"/>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2021年度支出合计</w:t>
      </w:r>
      <w:r>
        <w:rPr>
          <w:rFonts w:hint="eastAsia" w:asciiTheme="minorEastAsia" w:hAnsiTheme="minorEastAsia" w:eastAsiaTheme="minorEastAsia"/>
          <w:sz w:val="32"/>
          <w:szCs w:val="32"/>
          <w:highlight w:val="none"/>
          <w:lang w:val="en-US" w:eastAsia="zh-CN"/>
        </w:rPr>
        <w:t>963.67</w:t>
      </w:r>
      <w:r>
        <w:rPr>
          <w:rFonts w:hint="eastAsia" w:asciiTheme="minorEastAsia" w:hAnsiTheme="minorEastAsia" w:eastAsiaTheme="minorEastAsia"/>
          <w:sz w:val="32"/>
          <w:szCs w:val="32"/>
          <w:highlight w:val="none"/>
        </w:rPr>
        <w:t>万元，其中：基本支出</w:t>
      </w:r>
      <w:r>
        <w:rPr>
          <w:rFonts w:hint="eastAsia" w:asciiTheme="minorEastAsia" w:hAnsiTheme="minorEastAsia" w:eastAsiaTheme="minorEastAsia"/>
          <w:sz w:val="32"/>
          <w:szCs w:val="32"/>
          <w:highlight w:val="none"/>
          <w:lang w:val="en-US" w:eastAsia="zh-CN"/>
        </w:rPr>
        <w:t>508.17</w:t>
      </w:r>
      <w:r>
        <w:rPr>
          <w:rFonts w:hint="eastAsia" w:asciiTheme="minorEastAsia" w:hAnsiTheme="minorEastAsia" w:eastAsiaTheme="minorEastAsia"/>
          <w:sz w:val="32"/>
          <w:szCs w:val="32"/>
          <w:highlight w:val="none"/>
        </w:rPr>
        <w:t>万元，占</w:t>
      </w:r>
      <w:r>
        <w:rPr>
          <w:rFonts w:hint="eastAsia" w:asciiTheme="minorEastAsia" w:hAnsiTheme="minorEastAsia" w:eastAsiaTheme="minorEastAsia"/>
          <w:sz w:val="32"/>
          <w:szCs w:val="32"/>
          <w:highlight w:val="none"/>
          <w:lang w:val="en-US" w:eastAsia="zh-CN"/>
        </w:rPr>
        <w:t>52.73</w:t>
      </w:r>
      <w:r>
        <w:rPr>
          <w:rFonts w:hint="eastAsia" w:asciiTheme="minorEastAsia" w:hAnsiTheme="minorEastAsia" w:eastAsiaTheme="minorEastAsia"/>
          <w:sz w:val="32"/>
          <w:szCs w:val="32"/>
          <w:highlight w:val="none"/>
        </w:rPr>
        <w:t>%；项目支出</w:t>
      </w:r>
      <w:r>
        <w:rPr>
          <w:rFonts w:hint="eastAsia" w:asciiTheme="minorEastAsia" w:hAnsiTheme="minorEastAsia" w:eastAsiaTheme="minorEastAsia"/>
          <w:sz w:val="32"/>
          <w:szCs w:val="32"/>
          <w:highlight w:val="none"/>
          <w:lang w:val="en-US" w:eastAsia="zh-CN"/>
        </w:rPr>
        <w:t>455.50</w:t>
      </w:r>
      <w:r>
        <w:rPr>
          <w:rFonts w:hint="eastAsia" w:asciiTheme="minorEastAsia" w:hAnsiTheme="minorEastAsia" w:eastAsiaTheme="minorEastAsia"/>
          <w:sz w:val="32"/>
          <w:szCs w:val="32"/>
          <w:highlight w:val="none"/>
        </w:rPr>
        <w:t>万元，占</w:t>
      </w:r>
      <w:r>
        <w:rPr>
          <w:rFonts w:hint="eastAsia" w:asciiTheme="minorEastAsia" w:hAnsiTheme="minorEastAsia" w:eastAsiaTheme="minorEastAsia"/>
          <w:sz w:val="32"/>
          <w:szCs w:val="32"/>
          <w:highlight w:val="none"/>
          <w:lang w:val="en-US" w:eastAsia="zh-CN"/>
        </w:rPr>
        <w:t>47.27</w:t>
      </w:r>
      <w:r>
        <w:rPr>
          <w:rFonts w:hint="eastAsia" w:asciiTheme="minorEastAsia" w:hAnsiTheme="minorEastAsia" w:eastAsiaTheme="minorEastAsia"/>
          <w:sz w:val="32"/>
          <w:szCs w:val="32"/>
          <w:highlight w:val="none"/>
        </w:rPr>
        <w:t>%；上缴上级支出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万元，占</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%；经营支出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万元，占</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%；对附属单位补助支出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万元，占</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w:t>
      </w:r>
    </w:p>
    <w:p>
      <w:pPr>
        <w:pStyle w:val="14"/>
        <w:keepNext w:val="0"/>
        <w:keepLines w:val="0"/>
        <w:pageBreakBefore w:val="0"/>
        <w:kinsoku/>
        <w:wordWrap/>
        <w:overflowPunct/>
        <w:topLinePunct w:val="0"/>
        <w:bidi w:val="0"/>
        <w:snapToGrid/>
        <w:ind w:firstLine="640" w:firstLineChars="200"/>
        <w:textAlignment w:val="auto"/>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四、财政拨款收入支出决算总体情况说明</w:t>
      </w:r>
    </w:p>
    <w:p>
      <w:pPr>
        <w:pStyle w:val="14"/>
        <w:keepNext w:val="0"/>
        <w:keepLines w:val="0"/>
        <w:pageBreakBefore w:val="0"/>
        <w:kinsoku/>
        <w:wordWrap/>
        <w:overflowPunct/>
        <w:topLinePunct w:val="0"/>
        <w:bidi w:val="0"/>
        <w:snapToGrid/>
        <w:ind w:firstLine="640" w:firstLineChars="200"/>
        <w:textAlignment w:val="auto"/>
        <w:rPr>
          <w:rFonts w:hint="default"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rPr>
        <w:t>2021年度财政拨款收、支总计</w:t>
      </w:r>
      <w:r>
        <w:rPr>
          <w:rFonts w:hint="eastAsia" w:asciiTheme="minorEastAsia" w:hAnsiTheme="minorEastAsia" w:eastAsiaTheme="minorEastAsia"/>
          <w:sz w:val="32"/>
          <w:szCs w:val="32"/>
          <w:highlight w:val="none"/>
          <w:lang w:val="en-US" w:eastAsia="zh-CN"/>
        </w:rPr>
        <w:t>963.67</w:t>
      </w:r>
      <w:r>
        <w:rPr>
          <w:rFonts w:hint="eastAsia" w:asciiTheme="minorEastAsia" w:hAnsiTheme="minorEastAsia" w:eastAsiaTheme="minorEastAsia"/>
          <w:sz w:val="32"/>
          <w:szCs w:val="32"/>
          <w:highlight w:val="none"/>
        </w:rPr>
        <w:t>万元，与上年相比，增加</w:t>
      </w:r>
      <w:r>
        <w:rPr>
          <w:rFonts w:hint="eastAsia" w:asciiTheme="minorEastAsia" w:hAnsiTheme="minorEastAsia" w:eastAsiaTheme="minorEastAsia"/>
          <w:sz w:val="32"/>
          <w:szCs w:val="32"/>
          <w:highlight w:val="none"/>
          <w:lang w:val="en-US" w:eastAsia="zh-CN"/>
        </w:rPr>
        <w:t>266.91</w:t>
      </w:r>
      <w:r>
        <w:rPr>
          <w:rFonts w:hint="eastAsia" w:asciiTheme="minorEastAsia" w:hAnsiTheme="minorEastAsia" w:eastAsiaTheme="minorEastAsia"/>
          <w:sz w:val="32"/>
          <w:szCs w:val="32"/>
          <w:highlight w:val="none"/>
        </w:rPr>
        <w:t>万元</w:t>
      </w:r>
      <w:r>
        <w:rPr>
          <w:rFonts w:hint="eastAsia" w:asciiTheme="minorEastAsia" w:hAnsiTheme="minorEastAsia" w:eastAsiaTheme="minorEastAsia"/>
          <w:sz w:val="32"/>
          <w:szCs w:val="32"/>
          <w:highlight w:val="none"/>
          <w:lang w:eastAsia="zh-CN"/>
        </w:rPr>
        <w:t>，</w:t>
      </w:r>
      <w:r>
        <w:rPr>
          <w:rFonts w:hint="eastAsia" w:asciiTheme="minorEastAsia" w:hAnsiTheme="minorEastAsia" w:eastAsiaTheme="minorEastAsia"/>
          <w:sz w:val="32"/>
          <w:szCs w:val="32"/>
          <w:highlight w:val="none"/>
        </w:rPr>
        <w:t>增长</w:t>
      </w:r>
      <w:r>
        <w:rPr>
          <w:rFonts w:hint="eastAsia" w:asciiTheme="minorEastAsia" w:hAnsiTheme="minorEastAsia" w:eastAsiaTheme="minorEastAsia"/>
          <w:sz w:val="32"/>
          <w:szCs w:val="32"/>
          <w:highlight w:val="none"/>
          <w:lang w:val="en-US" w:eastAsia="zh-CN"/>
        </w:rPr>
        <w:t>38.31</w:t>
      </w:r>
      <w:r>
        <w:rPr>
          <w:rFonts w:hint="eastAsia" w:asciiTheme="minorEastAsia" w:hAnsiTheme="minorEastAsia" w:eastAsiaTheme="minorEastAsia"/>
          <w:sz w:val="32"/>
          <w:szCs w:val="32"/>
          <w:highlight w:val="none"/>
        </w:rPr>
        <w:t>%，主要是因为</w:t>
      </w:r>
      <w:r>
        <w:rPr>
          <w:rFonts w:hint="eastAsia" w:asciiTheme="minorEastAsia" w:hAnsiTheme="minorEastAsia" w:eastAsiaTheme="minorEastAsia"/>
          <w:sz w:val="32"/>
          <w:szCs w:val="32"/>
          <w:highlight w:val="none"/>
          <w:lang w:val="en-US" w:eastAsia="zh-CN"/>
        </w:rPr>
        <w:t>2021年网格事务中心的经费全部纳入政法委及开展政法队伍教育整顿、全国市域社会治理现代化试点工作、扫黑除恶工作常态化增加了相应经费。</w:t>
      </w:r>
    </w:p>
    <w:p>
      <w:pPr>
        <w:pStyle w:val="14"/>
        <w:keepNext w:val="0"/>
        <w:keepLines w:val="0"/>
        <w:pageBreakBefore w:val="0"/>
        <w:kinsoku/>
        <w:wordWrap/>
        <w:overflowPunct/>
        <w:topLinePunct w:val="0"/>
        <w:bidi w:val="0"/>
        <w:snapToGrid/>
        <w:ind w:firstLine="640" w:firstLineChars="200"/>
        <w:textAlignment w:val="auto"/>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五、一般公共预算财政拨款支出决算情况说明</w:t>
      </w:r>
    </w:p>
    <w:p>
      <w:pPr>
        <w:pStyle w:val="14"/>
        <w:keepNext w:val="0"/>
        <w:keepLines w:val="0"/>
        <w:pageBreakBefore w:val="0"/>
        <w:kinsoku/>
        <w:wordWrap/>
        <w:overflowPunct/>
        <w:topLinePunct w:val="0"/>
        <w:bidi w:val="0"/>
        <w:snapToGrid/>
        <w:ind w:firstLine="640" w:firstLineChars="200"/>
        <w:textAlignment w:val="auto"/>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（一）财政拨款支出决算总体情况</w:t>
      </w:r>
    </w:p>
    <w:p>
      <w:pPr>
        <w:pStyle w:val="14"/>
        <w:keepNext w:val="0"/>
        <w:keepLines w:val="0"/>
        <w:pageBreakBefore w:val="0"/>
        <w:kinsoku/>
        <w:wordWrap/>
        <w:overflowPunct/>
        <w:topLinePunct w:val="0"/>
        <w:bidi w:val="0"/>
        <w:snapToGrid/>
        <w:ind w:firstLine="640" w:firstLineChars="200"/>
        <w:textAlignment w:val="auto"/>
        <w:rPr>
          <w:rFonts w:hint="default"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rPr>
        <w:t>2021年度财政拨款支出</w:t>
      </w:r>
      <w:r>
        <w:rPr>
          <w:rFonts w:hint="eastAsia" w:asciiTheme="minorEastAsia" w:hAnsiTheme="minorEastAsia" w:eastAsiaTheme="minorEastAsia"/>
          <w:sz w:val="32"/>
          <w:szCs w:val="32"/>
          <w:highlight w:val="none"/>
          <w:lang w:val="en-US" w:eastAsia="zh-CN"/>
        </w:rPr>
        <w:t>963.67</w:t>
      </w:r>
      <w:r>
        <w:rPr>
          <w:rFonts w:hint="eastAsia" w:asciiTheme="minorEastAsia" w:hAnsiTheme="minorEastAsia" w:eastAsiaTheme="minorEastAsia"/>
          <w:sz w:val="32"/>
          <w:szCs w:val="32"/>
          <w:highlight w:val="none"/>
        </w:rPr>
        <w:t>万元，占本年支出合计的</w:t>
      </w:r>
      <w:r>
        <w:rPr>
          <w:rFonts w:hint="eastAsia" w:asciiTheme="minorEastAsia" w:hAnsiTheme="minorEastAsia" w:eastAsiaTheme="minorEastAsia"/>
          <w:sz w:val="32"/>
          <w:szCs w:val="32"/>
          <w:highlight w:val="none"/>
          <w:lang w:val="en-US" w:eastAsia="zh-CN"/>
        </w:rPr>
        <w:t>100</w:t>
      </w:r>
      <w:r>
        <w:rPr>
          <w:rFonts w:hint="eastAsia" w:asciiTheme="minorEastAsia" w:hAnsiTheme="minorEastAsia" w:eastAsiaTheme="minorEastAsia"/>
          <w:sz w:val="32"/>
          <w:szCs w:val="32"/>
          <w:highlight w:val="none"/>
        </w:rPr>
        <w:t>%，与上年相比，财政拨款支出增加</w:t>
      </w:r>
      <w:r>
        <w:rPr>
          <w:rFonts w:hint="eastAsia" w:asciiTheme="minorEastAsia" w:hAnsiTheme="minorEastAsia" w:eastAsiaTheme="minorEastAsia"/>
          <w:sz w:val="32"/>
          <w:szCs w:val="32"/>
          <w:highlight w:val="none"/>
          <w:lang w:val="en-US" w:eastAsia="zh-CN"/>
        </w:rPr>
        <w:t>266.91</w:t>
      </w:r>
      <w:r>
        <w:rPr>
          <w:rFonts w:hint="eastAsia" w:asciiTheme="minorEastAsia" w:hAnsiTheme="minorEastAsia" w:eastAsiaTheme="minorEastAsia"/>
          <w:sz w:val="32"/>
          <w:szCs w:val="32"/>
          <w:highlight w:val="none"/>
        </w:rPr>
        <w:t>万元，增长</w:t>
      </w:r>
      <w:r>
        <w:rPr>
          <w:rFonts w:hint="eastAsia" w:asciiTheme="minorEastAsia" w:hAnsiTheme="minorEastAsia" w:eastAsiaTheme="minorEastAsia"/>
          <w:sz w:val="32"/>
          <w:szCs w:val="32"/>
          <w:highlight w:val="none"/>
          <w:lang w:val="en-US" w:eastAsia="zh-CN"/>
        </w:rPr>
        <w:t>38.31</w:t>
      </w:r>
      <w:r>
        <w:rPr>
          <w:rFonts w:hint="eastAsia" w:asciiTheme="minorEastAsia" w:hAnsiTheme="minorEastAsia" w:eastAsiaTheme="minorEastAsia"/>
          <w:sz w:val="32"/>
          <w:szCs w:val="32"/>
          <w:highlight w:val="none"/>
        </w:rPr>
        <w:t>%，主要是因为</w:t>
      </w:r>
      <w:r>
        <w:rPr>
          <w:rFonts w:hint="eastAsia" w:asciiTheme="minorEastAsia" w:hAnsiTheme="minorEastAsia" w:eastAsiaTheme="minorEastAsia"/>
          <w:sz w:val="32"/>
          <w:szCs w:val="32"/>
          <w:highlight w:val="none"/>
          <w:lang w:val="en-US" w:eastAsia="zh-CN"/>
        </w:rPr>
        <w:t>2021年网格事务中心的经费全部纳入政法委及开展政法队伍教育整顿、全国市域社会治理现代化试点工作、扫黑除恶工作常态化增加了相应经费。</w:t>
      </w:r>
    </w:p>
    <w:p>
      <w:pPr>
        <w:pStyle w:val="14"/>
        <w:keepNext w:val="0"/>
        <w:keepLines w:val="0"/>
        <w:pageBreakBefore w:val="0"/>
        <w:kinsoku/>
        <w:wordWrap/>
        <w:overflowPunct/>
        <w:topLinePunct w:val="0"/>
        <w:bidi w:val="0"/>
        <w:snapToGrid/>
        <w:ind w:firstLine="640" w:firstLineChars="200"/>
        <w:textAlignment w:val="auto"/>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（二）财政拨款支出决算结构情况</w:t>
      </w:r>
    </w:p>
    <w:p>
      <w:pPr>
        <w:pStyle w:val="14"/>
        <w:keepNext w:val="0"/>
        <w:keepLines w:val="0"/>
        <w:pageBreakBefore w:val="0"/>
        <w:kinsoku/>
        <w:wordWrap/>
        <w:overflowPunct/>
        <w:topLinePunct w:val="0"/>
        <w:bidi w:val="0"/>
        <w:snapToGrid/>
        <w:ind w:firstLine="640" w:firstLineChars="200"/>
        <w:textAlignment w:val="auto"/>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2021年度财政拨款支出</w:t>
      </w:r>
      <w:r>
        <w:rPr>
          <w:rFonts w:hint="eastAsia" w:asciiTheme="minorEastAsia" w:hAnsiTheme="minorEastAsia" w:eastAsiaTheme="minorEastAsia"/>
          <w:sz w:val="32"/>
          <w:szCs w:val="32"/>
          <w:highlight w:val="none"/>
          <w:lang w:val="en-US" w:eastAsia="zh-CN"/>
        </w:rPr>
        <w:t>963.67</w:t>
      </w:r>
      <w:r>
        <w:rPr>
          <w:rFonts w:hint="eastAsia" w:asciiTheme="minorEastAsia" w:hAnsiTheme="minorEastAsia" w:eastAsiaTheme="minorEastAsia"/>
          <w:sz w:val="32"/>
          <w:szCs w:val="32"/>
          <w:highlight w:val="none"/>
        </w:rPr>
        <w:t>万元，主要用于以下方面：一般公共服务</w:t>
      </w:r>
      <w:r>
        <w:rPr>
          <w:rFonts w:hint="eastAsia" w:asciiTheme="minorEastAsia" w:hAnsiTheme="minorEastAsia" w:eastAsiaTheme="minorEastAsia"/>
          <w:sz w:val="32"/>
          <w:szCs w:val="32"/>
          <w:highlight w:val="none"/>
          <w:lang w:eastAsia="zh-CN"/>
        </w:rPr>
        <w:t>（</w:t>
      </w:r>
      <w:r>
        <w:rPr>
          <w:rFonts w:hint="eastAsia" w:asciiTheme="minorEastAsia" w:hAnsiTheme="minorEastAsia" w:eastAsiaTheme="minorEastAsia"/>
          <w:sz w:val="32"/>
          <w:szCs w:val="32"/>
          <w:highlight w:val="none"/>
          <w:lang w:val="en-US" w:eastAsia="zh-CN"/>
        </w:rPr>
        <w:t>201</w:t>
      </w:r>
      <w:r>
        <w:rPr>
          <w:rFonts w:hint="eastAsia" w:asciiTheme="minorEastAsia" w:hAnsiTheme="minorEastAsia" w:eastAsiaTheme="minorEastAsia"/>
          <w:sz w:val="32"/>
          <w:szCs w:val="32"/>
          <w:highlight w:val="none"/>
          <w:lang w:eastAsia="zh-CN"/>
        </w:rPr>
        <w:t>）</w:t>
      </w:r>
      <w:r>
        <w:rPr>
          <w:rFonts w:hint="eastAsia" w:asciiTheme="minorEastAsia" w:hAnsiTheme="minorEastAsia" w:eastAsiaTheme="minorEastAsia"/>
          <w:sz w:val="32"/>
          <w:szCs w:val="32"/>
          <w:highlight w:val="none"/>
        </w:rPr>
        <w:t>支出</w:t>
      </w:r>
      <w:r>
        <w:rPr>
          <w:rFonts w:hint="eastAsia" w:asciiTheme="minorEastAsia" w:hAnsiTheme="minorEastAsia" w:eastAsiaTheme="minorEastAsia"/>
          <w:sz w:val="32"/>
          <w:szCs w:val="32"/>
          <w:highlight w:val="none"/>
          <w:lang w:val="en-US" w:eastAsia="zh-CN"/>
        </w:rPr>
        <w:t>905.94</w:t>
      </w:r>
      <w:r>
        <w:rPr>
          <w:rFonts w:hint="eastAsia" w:asciiTheme="minorEastAsia" w:hAnsiTheme="minorEastAsia" w:eastAsiaTheme="minorEastAsia"/>
          <w:sz w:val="32"/>
          <w:szCs w:val="32"/>
          <w:highlight w:val="none"/>
        </w:rPr>
        <w:t>万元，占</w:t>
      </w:r>
      <w:r>
        <w:rPr>
          <w:rFonts w:hint="eastAsia" w:asciiTheme="minorEastAsia" w:hAnsiTheme="minorEastAsia" w:eastAsiaTheme="minorEastAsia"/>
          <w:sz w:val="32"/>
          <w:szCs w:val="32"/>
          <w:highlight w:val="none"/>
          <w:lang w:val="en-US" w:eastAsia="zh-CN"/>
        </w:rPr>
        <w:t>94.01</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eastAsia="zh-CN"/>
        </w:rPr>
        <w:t>社会保障和就业（</w:t>
      </w:r>
      <w:r>
        <w:rPr>
          <w:rFonts w:hint="eastAsia" w:asciiTheme="minorEastAsia" w:hAnsiTheme="minorEastAsia" w:eastAsiaTheme="minorEastAsia"/>
          <w:sz w:val="32"/>
          <w:szCs w:val="32"/>
          <w:highlight w:val="none"/>
          <w:lang w:val="en-US" w:eastAsia="zh-CN"/>
        </w:rPr>
        <w:t>208</w:t>
      </w:r>
      <w:r>
        <w:rPr>
          <w:rFonts w:hint="eastAsia" w:asciiTheme="minorEastAsia" w:hAnsiTheme="minorEastAsia" w:eastAsiaTheme="minorEastAsia"/>
          <w:sz w:val="32"/>
          <w:szCs w:val="32"/>
          <w:highlight w:val="none"/>
          <w:lang w:eastAsia="zh-CN"/>
        </w:rPr>
        <w:t>）支出</w:t>
      </w:r>
      <w:r>
        <w:rPr>
          <w:rFonts w:hint="eastAsia" w:asciiTheme="minorEastAsia" w:hAnsiTheme="minorEastAsia" w:eastAsiaTheme="minorEastAsia"/>
          <w:sz w:val="32"/>
          <w:szCs w:val="32"/>
          <w:highlight w:val="none"/>
          <w:lang w:val="en-US" w:eastAsia="zh-CN"/>
        </w:rPr>
        <w:t>29.35</w:t>
      </w:r>
      <w:r>
        <w:rPr>
          <w:rFonts w:hint="eastAsia" w:asciiTheme="minorEastAsia" w:hAnsiTheme="minorEastAsia" w:eastAsiaTheme="minorEastAsia"/>
          <w:sz w:val="32"/>
          <w:szCs w:val="32"/>
          <w:highlight w:val="none"/>
          <w:lang w:eastAsia="zh-CN"/>
        </w:rPr>
        <w:t>万元，占</w:t>
      </w:r>
      <w:r>
        <w:rPr>
          <w:rFonts w:hint="eastAsia" w:asciiTheme="minorEastAsia" w:hAnsiTheme="minorEastAsia" w:eastAsiaTheme="minorEastAsia"/>
          <w:sz w:val="32"/>
          <w:szCs w:val="32"/>
          <w:highlight w:val="none"/>
          <w:lang w:val="en-US" w:eastAsia="zh-CN"/>
        </w:rPr>
        <w:t>3.05</w:t>
      </w:r>
      <w:r>
        <w:rPr>
          <w:rFonts w:hint="eastAsia" w:asciiTheme="minorEastAsia" w:hAnsiTheme="minorEastAsia" w:eastAsiaTheme="minorEastAsia"/>
          <w:sz w:val="32"/>
          <w:szCs w:val="32"/>
          <w:highlight w:val="none"/>
          <w:lang w:eastAsia="zh-CN"/>
        </w:rPr>
        <w:t>%；卫生健康（</w:t>
      </w:r>
      <w:r>
        <w:rPr>
          <w:rFonts w:hint="eastAsia" w:asciiTheme="minorEastAsia" w:hAnsiTheme="minorEastAsia" w:eastAsiaTheme="minorEastAsia"/>
          <w:sz w:val="32"/>
          <w:szCs w:val="32"/>
          <w:highlight w:val="none"/>
          <w:lang w:val="en-US" w:eastAsia="zh-CN"/>
        </w:rPr>
        <w:t>210</w:t>
      </w:r>
      <w:r>
        <w:rPr>
          <w:rFonts w:hint="eastAsia" w:asciiTheme="minorEastAsia" w:hAnsiTheme="minorEastAsia" w:eastAsiaTheme="minorEastAsia"/>
          <w:sz w:val="32"/>
          <w:szCs w:val="32"/>
          <w:highlight w:val="none"/>
          <w:lang w:eastAsia="zh-CN"/>
        </w:rPr>
        <w:t>）支出</w:t>
      </w:r>
      <w:r>
        <w:rPr>
          <w:rFonts w:hint="eastAsia" w:asciiTheme="minorEastAsia" w:hAnsiTheme="minorEastAsia" w:eastAsiaTheme="minorEastAsia"/>
          <w:sz w:val="32"/>
          <w:szCs w:val="32"/>
          <w:highlight w:val="none"/>
          <w:lang w:val="en-US" w:eastAsia="zh-CN"/>
        </w:rPr>
        <w:t>11.32</w:t>
      </w:r>
      <w:r>
        <w:rPr>
          <w:rFonts w:hint="eastAsia" w:asciiTheme="minorEastAsia" w:hAnsiTheme="minorEastAsia" w:eastAsiaTheme="minorEastAsia"/>
          <w:sz w:val="32"/>
          <w:szCs w:val="32"/>
          <w:highlight w:val="none"/>
          <w:lang w:eastAsia="zh-CN"/>
        </w:rPr>
        <w:t>万元，占</w:t>
      </w:r>
      <w:r>
        <w:rPr>
          <w:rFonts w:hint="eastAsia" w:asciiTheme="minorEastAsia" w:hAnsiTheme="minorEastAsia" w:eastAsiaTheme="minorEastAsia"/>
          <w:sz w:val="32"/>
          <w:szCs w:val="32"/>
          <w:highlight w:val="none"/>
          <w:lang w:val="en-US" w:eastAsia="zh-CN"/>
        </w:rPr>
        <w:t>1.17</w:t>
      </w:r>
      <w:r>
        <w:rPr>
          <w:rFonts w:hint="eastAsia" w:asciiTheme="minorEastAsia" w:hAnsiTheme="minorEastAsia" w:eastAsiaTheme="minorEastAsia"/>
          <w:sz w:val="32"/>
          <w:szCs w:val="32"/>
          <w:highlight w:val="none"/>
          <w:lang w:eastAsia="zh-CN"/>
        </w:rPr>
        <w:t>%</w:t>
      </w:r>
      <w:r>
        <w:rPr>
          <w:rFonts w:hint="eastAsia" w:asciiTheme="minorEastAsia" w:hAnsiTheme="minorEastAsia" w:eastAsiaTheme="minorEastAsia"/>
          <w:sz w:val="32"/>
          <w:szCs w:val="32"/>
          <w:highlight w:val="none"/>
          <w:lang w:val="en-US" w:eastAsia="zh-CN"/>
        </w:rPr>
        <w:t>；</w:t>
      </w:r>
      <w:r>
        <w:rPr>
          <w:rFonts w:hint="eastAsia" w:asciiTheme="minorEastAsia" w:hAnsiTheme="minorEastAsia" w:eastAsiaTheme="minorEastAsia"/>
          <w:sz w:val="32"/>
          <w:szCs w:val="32"/>
          <w:highlight w:val="none"/>
          <w:lang w:eastAsia="zh-CN"/>
        </w:rPr>
        <w:t>住房保障（221）支出</w:t>
      </w:r>
      <w:r>
        <w:rPr>
          <w:rFonts w:hint="eastAsia" w:asciiTheme="minorEastAsia" w:hAnsiTheme="minorEastAsia" w:eastAsiaTheme="minorEastAsia"/>
          <w:sz w:val="32"/>
          <w:szCs w:val="32"/>
          <w:highlight w:val="none"/>
          <w:lang w:val="en-US" w:eastAsia="zh-CN"/>
        </w:rPr>
        <w:t>17.06</w:t>
      </w:r>
      <w:r>
        <w:rPr>
          <w:rFonts w:hint="eastAsia" w:asciiTheme="minorEastAsia" w:hAnsiTheme="minorEastAsia" w:eastAsiaTheme="minorEastAsia"/>
          <w:sz w:val="32"/>
          <w:szCs w:val="32"/>
          <w:highlight w:val="none"/>
          <w:lang w:eastAsia="zh-CN"/>
        </w:rPr>
        <w:t>万元，占</w:t>
      </w:r>
      <w:r>
        <w:rPr>
          <w:rFonts w:hint="eastAsia" w:asciiTheme="minorEastAsia" w:hAnsiTheme="minorEastAsia" w:eastAsiaTheme="minorEastAsia"/>
          <w:sz w:val="32"/>
          <w:szCs w:val="32"/>
          <w:highlight w:val="none"/>
          <w:lang w:val="en-US" w:eastAsia="zh-CN"/>
        </w:rPr>
        <w:t>1.77</w:t>
      </w:r>
      <w:r>
        <w:rPr>
          <w:rFonts w:hint="eastAsia" w:asciiTheme="minorEastAsia" w:hAnsiTheme="minorEastAsia" w:eastAsiaTheme="minorEastAsia"/>
          <w:sz w:val="32"/>
          <w:szCs w:val="32"/>
          <w:highlight w:val="none"/>
          <w:lang w:eastAsia="zh-CN"/>
        </w:rPr>
        <w:t>%。</w:t>
      </w:r>
    </w:p>
    <w:p>
      <w:pPr>
        <w:pStyle w:val="14"/>
        <w:keepNext w:val="0"/>
        <w:keepLines w:val="0"/>
        <w:pageBreakBefore w:val="0"/>
        <w:kinsoku/>
        <w:wordWrap/>
        <w:overflowPunct/>
        <w:topLinePunct w:val="0"/>
        <w:bidi w:val="0"/>
        <w:snapToGrid/>
        <w:ind w:firstLine="640" w:firstLineChars="200"/>
        <w:textAlignment w:val="auto"/>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（三）财政拨款支出决算具体情况</w:t>
      </w:r>
    </w:p>
    <w:p>
      <w:pPr>
        <w:pStyle w:val="14"/>
        <w:keepNext w:val="0"/>
        <w:keepLines w:val="0"/>
        <w:pageBreakBefore w:val="0"/>
        <w:kinsoku/>
        <w:wordWrap/>
        <w:overflowPunct/>
        <w:topLinePunct w:val="0"/>
        <w:bidi w:val="0"/>
        <w:snapToGrid/>
        <w:ind w:firstLine="640" w:firstLineChars="200"/>
        <w:textAlignment w:val="auto"/>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2021年度财政拨款支出年初预算数为</w:t>
      </w:r>
      <w:r>
        <w:rPr>
          <w:rFonts w:hint="eastAsia" w:asciiTheme="minorEastAsia" w:hAnsiTheme="minorEastAsia" w:eastAsiaTheme="minorEastAsia"/>
          <w:sz w:val="32"/>
          <w:szCs w:val="32"/>
          <w:highlight w:val="none"/>
          <w:lang w:val="en-US" w:eastAsia="zh-CN"/>
        </w:rPr>
        <w:t>960.11</w:t>
      </w:r>
      <w:r>
        <w:rPr>
          <w:rFonts w:hint="eastAsia" w:asciiTheme="minorEastAsia" w:hAnsiTheme="minorEastAsia" w:eastAsiaTheme="minorEastAsia"/>
          <w:sz w:val="32"/>
          <w:szCs w:val="32"/>
          <w:highlight w:val="none"/>
        </w:rPr>
        <w:t>万元，支出决算数为</w:t>
      </w:r>
      <w:r>
        <w:rPr>
          <w:rFonts w:hint="eastAsia" w:asciiTheme="minorEastAsia" w:hAnsiTheme="minorEastAsia" w:eastAsiaTheme="minorEastAsia"/>
          <w:sz w:val="32"/>
          <w:szCs w:val="32"/>
          <w:highlight w:val="none"/>
          <w:lang w:val="en-US" w:eastAsia="zh-CN"/>
        </w:rPr>
        <w:t>963.67</w:t>
      </w:r>
      <w:r>
        <w:rPr>
          <w:rFonts w:hint="eastAsia" w:asciiTheme="minorEastAsia" w:hAnsiTheme="minorEastAsia" w:eastAsiaTheme="minorEastAsia"/>
          <w:sz w:val="32"/>
          <w:szCs w:val="32"/>
          <w:highlight w:val="none"/>
        </w:rPr>
        <w:t>万元，完成年初预算的</w:t>
      </w:r>
      <w:r>
        <w:rPr>
          <w:rFonts w:hint="eastAsia" w:asciiTheme="minorEastAsia" w:hAnsiTheme="minorEastAsia" w:eastAsiaTheme="minorEastAsia"/>
          <w:sz w:val="32"/>
          <w:szCs w:val="32"/>
          <w:highlight w:val="none"/>
          <w:lang w:val="en-US" w:eastAsia="zh-CN"/>
        </w:rPr>
        <w:t>100.37</w:t>
      </w:r>
      <w:r>
        <w:rPr>
          <w:rFonts w:hint="eastAsia" w:asciiTheme="minorEastAsia" w:hAnsiTheme="minorEastAsia" w:eastAsiaTheme="minorEastAsia"/>
          <w:sz w:val="32"/>
          <w:szCs w:val="32"/>
          <w:highlight w:val="none"/>
        </w:rPr>
        <w:t>%，其中：</w:t>
      </w:r>
    </w:p>
    <w:p>
      <w:pPr>
        <w:pStyle w:val="14"/>
        <w:keepNext w:val="0"/>
        <w:keepLines w:val="0"/>
        <w:pageBreakBefore w:val="0"/>
        <w:kinsoku/>
        <w:wordWrap/>
        <w:overflowPunct/>
        <w:topLinePunct w:val="0"/>
        <w:bidi w:val="0"/>
        <w:snapToGrid/>
        <w:ind w:firstLine="640" w:firstLineChars="200"/>
        <w:textAlignment w:val="auto"/>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1、一般公共服务支出（</w:t>
      </w:r>
      <w:r>
        <w:rPr>
          <w:rFonts w:hint="eastAsia" w:asciiTheme="minorEastAsia" w:hAnsiTheme="minorEastAsia" w:eastAsiaTheme="minorEastAsia"/>
          <w:sz w:val="32"/>
          <w:szCs w:val="32"/>
          <w:highlight w:val="none"/>
          <w:lang w:val="en-US" w:eastAsia="zh-CN"/>
        </w:rPr>
        <w:t>201</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eastAsia="zh-CN"/>
        </w:rPr>
        <w:t>民主党派及工商联事务</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val="en-US" w:eastAsia="zh-CN"/>
        </w:rPr>
        <w:t>20128</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eastAsia="zh-CN"/>
        </w:rPr>
        <w:t>一般行政管理事务</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val="en-US" w:eastAsia="zh-CN"/>
        </w:rPr>
        <w:t>2012802</w:t>
      </w:r>
      <w:r>
        <w:rPr>
          <w:rFonts w:hint="eastAsia" w:asciiTheme="minorEastAsia" w:hAnsiTheme="minorEastAsia" w:eastAsiaTheme="minorEastAsia"/>
          <w:sz w:val="32"/>
          <w:szCs w:val="32"/>
          <w:highlight w:val="none"/>
        </w:rPr>
        <w:t>）。</w:t>
      </w:r>
    </w:p>
    <w:p>
      <w:pPr>
        <w:pStyle w:val="14"/>
        <w:keepNext w:val="0"/>
        <w:keepLines w:val="0"/>
        <w:pageBreakBefore w:val="0"/>
        <w:numPr>
          <w:ilvl w:val="0"/>
          <w:numId w:val="0"/>
        </w:numPr>
        <w:kinsoku/>
        <w:wordWrap/>
        <w:overflowPunct/>
        <w:topLinePunct w:val="0"/>
        <w:bidi w:val="0"/>
        <w:snapToGrid/>
        <w:ind w:firstLine="640" w:firstLineChars="200"/>
        <w:textAlignment w:val="auto"/>
        <w:rPr>
          <w:rFonts w:hint="eastAsia" w:asciiTheme="minorEastAsia" w:hAnsiTheme="minorEastAsia" w:eastAsiaTheme="minorEastAsia"/>
          <w:sz w:val="32"/>
          <w:szCs w:val="32"/>
          <w:highlight w:val="none"/>
          <w:lang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10</w:t>
      </w:r>
      <w:r>
        <w:rPr>
          <w:rFonts w:hint="eastAsia" w:asciiTheme="minorEastAsia" w:hAnsiTheme="minorEastAsia" w:eastAsiaTheme="minorEastAsia"/>
          <w:sz w:val="32"/>
          <w:szCs w:val="32"/>
          <w:highlight w:val="none"/>
        </w:rPr>
        <w:t>万元，由于预算数为0，无法计算百分比，决算数大于年初预算数的主要原因是</w:t>
      </w:r>
      <w:r>
        <w:rPr>
          <w:rFonts w:hint="eastAsia" w:asciiTheme="minorEastAsia" w:hAnsiTheme="minorEastAsia" w:eastAsiaTheme="minorEastAsia"/>
          <w:sz w:val="32"/>
          <w:szCs w:val="32"/>
          <w:highlight w:val="none"/>
          <w:lang w:eastAsia="zh-CN"/>
        </w:rPr>
        <w:t>：</w:t>
      </w:r>
      <w:r>
        <w:rPr>
          <w:rFonts w:hint="eastAsia" w:asciiTheme="minorEastAsia" w:hAnsiTheme="minorEastAsia" w:eastAsiaTheme="minorEastAsia"/>
          <w:sz w:val="32"/>
          <w:szCs w:val="32"/>
          <w:highlight w:val="none"/>
        </w:rPr>
        <w:t>财政追加预算。</w:t>
      </w:r>
    </w:p>
    <w:p>
      <w:pPr>
        <w:pStyle w:val="14"/>
        <w:keepNext w:val="0"/>
        <w:keepLines w:val="0"/>
        <w:pageBreakBefore w:val="0"/>
        <w:kinsoku/>
        <w:wordWrap/>
        <w:overflowPunct/>
        <w:topLinePunct w:val="0"/>
        <w:bidi w:val="0"/>
        <w:snapToGrid/>
        <w:ind w:firstLine="640" w:firstLineChars="200"/>
        <w:textAlignment w:val="auto"/>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2、一般公共服务支出（</w:t>
      </w:r>
      <w:r>
        <w:rPr>
          <w:rFonts w:hint="eastAsia" w:asciiTheme="minorEastAsia" w:hAnsiTheme="minorEastAsia" w:eastAsiaTheme="minorEastAsia"/>
          <w:sz w:val="32"/>
          <w:szCs w:val="32"/>
          <w:highlight w:val="none"/>
          <w:lang w:val="en-US" w:eastAsia="zh-CN"/>
        </w:rPr>
        <w:t>201</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eastAsia="zh-CN"/>
        </w:rPr>
        <w:t>党委办公厅（室）及相关机构事务</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val="en-US" w:eastAsia="zh-CN"/>
        </w:rPr>
        <w:t>20131</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eastAsia="zh-CN"/>
        </w:rPr>
        <w:t>行政运行</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val="en-US" w:eastAsia="zh-CN"/>
        </w:rPr>
        <w:t>2013101</w:t>
      </w:r>
      <w:r>
        <w:rPr>
          <w:rFonts w:hint="eastAsia" w:asciiTheme="minorEastAsia" w:hAnsiTheme="minorEastAsia" w:eastAsiaTheme="minorEastAsia"/>
          <w:sz w:val="32"/>
          <w:szCs w:val="32"/>
          <w:highlight w:val="none"/>
        </w:rPr>
        <w:t>）。</w:t>
      </w:r>
    </w:p>
    <w:p>
      <w:pPr>
        <w:pStyle w:val="14"/>
        <w:keepNext w:val="0"/>
        <w:keepLines w:val="0"/>
        <w:pageBreakBefore w:val="0"/>
        <w:kinsoku/>
        <w:wordWrap/>
        <w:overflowPunct/>
        <w:topLinePunct w:val="0"/>
        <w:bidi w:val="0"/>
        <w:snapToGrid/>
        <w:ind w:firstLine="640" w:firstLineChars="200"/>
        <w:textAlignment w:val="auto"/>
        <w:rPr>
          <w:rFonts w:hint="eastAsia" w:asciiTheme="minorEastAsia" w:hAnsiTheme="minorEastAsia" w:eastAsiaTheme="minorEastAsia"/>
          <w:sz w:val="32"/>
          <w:szCs w:val="32"/>
          <w:highlight w:val="none"/>
          <w:lang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214.84</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358.78</w:t>
      </w:r>
      <w:r>
        <w:rPr>
          <w:rFonts w:hint="eastAsia" w:asciiTheme="minorEastAsia" w:hAnsiTheme="minorEastAsia" w:eastAsiaTheme="minorEastAsia"/>
          <w:sz w:val="32"/>
          <w:szCs w:val="32"/>
          <w:highlight w:val="none"/>
        </w:rPr>
        <w:t>万元，完成年初预算的</w:t>
      </w:r>
      <w:r>
        <w:rPr>
          <w:rFonts w:hint="eastAsia" w:asciiTheme="minorEastAsia" w:hAnsiTheme="minorEastAsia" w:eastAsiaTheme="minorEastAsia"/>
          <w:sz w:val="32"/>
          <w:szCs w:val="32"/>
          <w:highlight w:val="none"/>
          <w:lang w:val="en-US" w:eastAsia="zh-CN"/>
        </w:rPr>
        <w:t>167%</w:t>
      </w:r>
      <w:r>
        <w:rPr>
          <w:rFonts w:hint="eastAsia" w:asciiTheme="minorEastAsia" w:hAnsiTheme="minorEastAsia" w:eastAsiaTheme="minorEastAsia"/>
          <w:sz w:val="32"/>
          <w:szCs w:val="32"/>
          <w:highlight w:val="none"/>
        </w:rPr>
        <w:t>，决算数</w:t>
      </w:r>
      <w:r>
        <w:rPr>
          <w:rFonts w:hint="eastAsia" w:asciiTheme="minorEastAsia" w:hAnsiTheme="minorEastAsia" w:eastAsiaTheme="minorEastAsia"/>
          <w:sz w:val="32"/>
          <w:szCs w:val="32"/>
          <w:highlight w:val="none"/>
          <w:lang w:eastAsia="zh-CN"/>
        </w:rPr>
        <w:t>大于</w:t>
      </w:r>
      <w:r>
        <w:rPr>
          <w:rFonts w:hint="eastAsia" w:asciiTheme="minorEastAsia" w:hAnsiTheme="minorEastAsia" w:eastAsiaTheme="minorEastAsia"/>
          <w:sz w:val="32"/>
          <w:szCs w:val="32"/>
          <w:highlight w:val="none"/>
        </w:rPr>
        <w:t>年初预算数的主要原因是</w:t>
      </w:r>
      <w:r>
        <w:rPr>
          <w:rFonts w:hint="eastAsia" w:asciiTheme="minorEastAsia" w:hAnsiTheme="minorEastAsia" w:eastAsiaTheme="minorEastAsia"/>
          <w:sz w:val="32"/>
          <w:szCs w:val="32"/>
          <w:highlight w:val="none"/>
          <w:lang w:eastAsia="zh-CN"/>
        </w:rPr>
        <w:t>：</w:t>
      </w:r>
      <w:r>
        <w:rPr>
          <w:rFonts w:hint="eastAsia" w:asciiTheme="minorEastAsia" w:hAnsiTheme="minorEastAsia" w:eastAsiaTheme="minorEastAsia"/>
          <w:sz w:val="32"/>
          <w:szCs w:val="32"/>
          <w:highlight w:val="none"/>
        </w:rPr>
        <w:t>财政追加预算</w:t>
      </w:r>
      <w:r>
        <w:rPr>
          <w:rFonts w:hint="eastAsia" w:asciiTheme="minorEastAsia" w:hAnsiTheme="minorEastAsia" w:eastAsiaTheme="minorEastAsia"/>
          <w:sz w:val="32"/>
          <w:szCs w:val="32"/>
          <w:highlight w:val="none"/>
          <w:lang w:eastAsia="zh-CN"/>
        </w:rPr>
        <w:t>。</w:t>
      </w:r>
    </w:p>
    <w:p>
      <w:pPr>
        <w:pStyle w:val="14"/>
        <w:keepNext w:val="0"/>
        <w:keepLines w:val="0"/>
        <w:pageBreakBefore w:val="0"/>
        <w:kinsoku/>
        <w:wordWrap/>
        <w:overflowPunct/>
        <w:topLinePunct w:val="0"/>
        <w:bidi w:val="0"/>
        <w:snapToGrid/>
        <w:ind w:firstLine="640" w:firstLineChars="200"/>
        <w:textAlignment w:val="auto"/>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3</w:t>
      </w:r>
      <w:r>
        <w:rPr>
          <w:rFonts w:hint="eastAsia" w:asciiTheme="minorEastAsia" w:hAnsiTheme="minorEastAsia" w:eastAsiaTheme="minorEastAsia"/>
          <w:sz w:val="32"/>
          <w:szCs w:val="32"/>
          <w:highlight w:val="none"/>
        </w:rPr>
        <w:t>、一般公共服务支出（</w:t>
      </w:r>
      <w:r>
        <w:rPr>
          <w:rFonts w:hint="eastAsia" w:asciiTheme="minorEastAsia" w:hAnsiTheme="minorEastAsia" w:eastAsiaTheme="minorEastAsia"/>
          <w:sz w:val="32"/>
          <w:szCs w:val="32"/>
          <w:highlight w:val="none"/>
          <w:lang w:val="en-US" w:eastAsia="zh-CN"/>
        </w:rPr>
        <w:t>201</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eastAsia="zh-CN"/>
        </w:rPr>
        <w:t>党委办公厅（室）及相关机构事务</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val="en-US" w:eastAsia="zh-CN"/>
        </w:rPr>
        <w:t>20131</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eastAsia="zh-CN"/>
        </w:rPr>
        <w:t>一般行政管理事务</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val="en-US" w:eastAsia="zh-CN"/>
        </w:rPr>
        <w:t>2013102</w:t>
      </w:r>
      <w:r>
        <w:rPr>
          <w:rFonts w:hint="eastAsia" w:asciiTheme="minorEastAsia" w:hAnsiTheme="minorEastAsia" w:eastAsiaTheme="minorEastAsia"/>
          <w:sz w:val="32"/>
          <w:szCs w:val="32"/>
          <w:highlight w:val="none"/>
        </w:rPr>
        <w:t>）。</w:t>
      </w:r>
    </w:p>
    <w:p>
      <w:pPr>
        <w:pStyle w:val="14"/>
        <w:keepNext w:val="0"/>
        <w:keepLines w:val="0"/>
        <w:pageBreakBefore w:val="0"/>
        <w:kinsoku/>
        <w:wordWrap/>
        <w:overflowPunct/>
        <w:topLinePunct w:val="0"/>
        <w:bidi w:val="0"/>
        <w:snapToGrid/>
        <w:ind w:firstLine="640" w:firstLineChars="200"/>
        <w:textAlignment w:val="auto"/>
        <w:rPr>
          <w:rFonts w:hint="eastAsia" w:asciiTheme="minorEastAsia" w:hAnsiTheme="minorEastAsia" w:eastAsiaTheme="minorEastAsia"/>
          <w:sz w:val="32"/>
          <w:szCs w:val="32"/>
          <w:highlight w:val="none"/>
          <w:lang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710</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455.5</w:t>
      </w:r>
      <w:r>
        <w:rPr>
          <w:rFonts w:hint="eastAsia" w:asciiTheme="minorEastAsia" w:hAnsiTheme="minorEastAsia" w:eastAsiaTheme="minorEastAsia"/>
          <w:sz w:val="32"/>
          <w:szCs w:val="32"/>
          <w:highlight w:val="none"/>
        </w:rPr>
        <w:t>万元，完成年初预算的</w:t>
      </w:r>
      <w:r>
        <w:rPr>
          <w:rFonts w:hint="eastAsia" w:asciiTheme="minorEastAsia" w:hAnsiTheme="minorEastAsia" w:eastAsiaTheme="minorEastAsia"/>
          <w:sz w:val="32"/>
          <w:szCs w:val="32"/>
          <w:highlight w:val="none"/>
          <w:lang w:val="en-US" w:eastAsia="zh-CN"/>
        </w:rPr>
        <w:t>64.15</w:t>
      </w:r>
      <w:r>
        <w:rPr>
          <w:rFonts w:hint="eastAsia" w:asciiTheme="minorEastAsia" w:hAnsiTheme="minorEastAsia" w:eastAsiaTheme="minorEastAsia"/>
          <w:sz w:val="32"/>
          <w:szCs w:val="32"/>
          <w:highlight w:val="none"/>
        </w:rPr>
        <w:t>%，决算数小于年初预算数的主要原因是</w:t>
      </w:r>
      <w:r>
        <w:rPr>
          <w:rFonts w:hint="eastAsia" w:asciiTheme="minorEastAsia" w:hAnsiTheme="minorEastAsia" w:eastAsiaTheme="minorEastAsia"/>
          <w:sz w:val="32"/>
          <w:szCs w:val="32"/>
          <w:highlight w:val="none"/>
          <w:lang w:eastAsia="zh-CN"/>
        </w:rPr>
        <w:t>：空缺一部分社区网格管理员，开支减少。</w:t>
      </w:r>
    </w:p>
    <w:p>
      <w:pPr>
        <w:pStyle w:val="14"/>
        <w:keepNext w:val="0"/>
        <w:keepLines w:val="0"/>
        <w:pageBreakBefore w:val="0"/>
        <w:kinsoku/>
        <w:wordWrap/>
        <w:overflowPunct/>
        <w:topLinePunct w:val="0"/>
        <w:bidi w:val="0"/>
        <w:snapToGrid/>
        <w:ind w:firstLine="640" w:firstLineChars="200"/>
        <w:textAlignment w:val="auto"/>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4</w:t>
      </w:r>
      <w:r>
        <w:rPr>
          <w:rFonts w:hint="eastAsia" w:asciiTheme="minorEastAsia" w:hAnsiTheme="minorEastAsia" w:eastAsiaTheme="minorEastAsia"/>
          <w:sz w:val="32"/>
          <w:szCs w:val="32"/>
          <w:highlight w:val="none"/>
        </w:rPr>
        <w:t>、一般公共服务支出（</w:t>
      </w:r>
      <w:r>
        <w:rPr>
          <w:rFonts w:hint="eastAsia" w:asciiTheme="minorEastAsia" w:hAnsiTheme="minorEastAsia" w:eastAsiaTheme="minorEastAsia"/>
          <w:sz w:val="32"/>
          <w:szCs w:val="32"/>
          <w:highlight w:val="none"/>
          <w:lang w:val="en-US" w:eastAsia="zh-CN"/>
        </w:rPr>
        <w:t>201</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eastAsia="zh-CN"/>
        </w:rPr>
        <w:t>其他一般公共服务支出</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val="en-US" w:eastAsia="zh-CN"/>
        </w:rPr>
        <w:t>20199</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eastAsia="zh-CN"/>
        </w:rPr>
        <w:t>其他一般公共服务支出</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val="en-US" w:eastAsia="zh-CN"/>
        </w:rPr>
        <w:t>2019999</w:t>
      </w:r>
      <w:r>
        <w:rPr>
          <w:rFonts w:hint="eastAsia" w:asciiTheme="minorEastAsia" w:hAnsiTheme="minorEastAsia" w:eastAsiaTheme="minorEastAsia"/>
          <w:sz w:val="32"/>
          <w:szCs w:val="32"/>
          <w:highlight w:val="none"/>
        </w:rPr>
        <w:t>）。</w:t>
      </w:r>
    </w:p>
    <w:p>
      <w:pPr>
        <w:pStyle w:val="14"/>
        <w:keepNext w:val="0"/>
        <w:keepLines w:val="0"/>
        <w:pageBreakBefore w:val="0"/>
        <w:kinsoku/>
        <w:wordWrap/>
        <w:overflowPunct/>
        <w:topLinePunct w:val="0"/>
        <w:bidi w:val="0"/>
        <w:snapToGrid/>
        <w:ind w:firstLine="640" w:firstLineChars="200"/>
        <w:textAlignment w:val="auto"/>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81.67</w:t>
      </w:r>
      <w:r>
        <w:rPr>
          <w:rFonts w:hint="eastAsia" w:asciiTheme="minorEastAsia" w:hAnsiTheme="minorEastAsia" w:eastAsiaTheme="minorEastAsia"/>
          <w:sz w:val="32"/>
          <w:szCs w:val="32"/>
          <w:highlight w:val="none"/>
        </w:rPr>
        <w:t>万元，由于预算数为0，无法计算百分比，决算数大于年初预算数的主要原因是</w:t>
      </w:r>
      <w:r>
        <w:rPr>
          <w:rFonts w:hint="eastAsia" w:asciiTheme="minorEastAsia" w:hAnsiTheme="minorEastAsia" w:eastAsiaTheme="minorEastAsia"/>
          <w:sz w:val="32"/>
          <w:szCs w:val="32"/>
          <w:highlight w:val="none"/>
          <w:lang w:eastAsia="zh-CN"/>
        </w:rPr>
        <w:t>：</w:t>
      </w:r>
      <w:r>
        <w:rPr>
          <w:rFonts w:hint="eastAsia" w:asciiTheme="minorEastAsia" w:hAnsiTheme="minorEastAsia" w:eastAsiaTheme="minorEastAsia"/>
          <w:sz w:val="32"/>
          <w:szCs w:val="32"/>
          <w:highlight w:val="none"/>
        </w:rPr>
        <w:t>财政追加预算。</w:t>
      </w:r>
    </w:p>
    <w:p>
      <w:pPr>
        <w:pStyle w:val="14"/>
        <w:keepNext w:val="0"/>
        <w:keepLines w:val="0"/>
        <w:pageBreakBefore w:val="0"/>
        <w:numPr>
          <w:ilvl w:val="0"/>
          <w:numId w:val="1"/>
        </w:numPr>
        <w:kinsoku/>
        <w:wordWrap/>
        <w:overflowPunct/>
        <w:topLinePunct w:val="0"/>
        <w:bidi w:val="0"/>
        <w:snapToGrid/>
        <w:ind w:firstLine="640" w:firstLineChars="200"/>
        <w:textAlignment w:val="auto"/>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lang w:eastAsia="zh-CN"/>
        </w:rPr>
        <w:t>社会保障和就业支出</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val="en-US" w:eastAsia="zh-CN"/>
        </w:rPr>
        <w:t>208</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eastAsia="zh-CN"/>
        </w:rPr>
        <w:t>行政事业单位养老支出</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val="en-US" w:eastAsia="zh-CN"/>
        </w:rPr>
        <w:t>20805</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eastAsia="zh-CN"/>
        </w:rPr>
        <w:t>机关事业单位基本养老保险缴费支出（</w:t>
      </w:r>
      <w:r>
        <w:rPr>
          <w:rFonts w:hint="eastAsia" w:asciiTheme="minorEastAsia" w:hAnsiTheme="minorEastAsia" w:eastAsiaTheme="minorEastAsia"/>
          <w:sz w:val="32"/>
          <w:szCs w:val="32"/>
          <w:highlight w:val="none"/>
          <w:lang w:val="en-US" w:eastAsia="zh-CN"/>
        </w:rPr>
        <w:t>2080505）。</w:t>
      </w:r>
    </w:p>
    <w:p>
      <w:pPr>
        <w:pStyle w:val="14"/>
        <w:keepNext w:val="0"/>
        <w:keepLines w:val="0"/>
        <w:pageBreakBefore w:val="0"/>
        <w:numPr>
          <w:ilvl w:val="0"/>
          <w:numId w:val="0"/>
        </w:numPr>
        <w:kinsoku/>
        <w:wordWrap/>
        <w:overflowPunct/>
        <w:topLinePunct w:val="0"/>
        <w:bidi w:val="0"/>
        <w:snapToGrid/>
        <w:ind w:firstLine="640" w:firstLineChars="200"/>
        <w:textAlignment w:val="auto"/>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23.95</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23.95</w:t>
      </w:r>
      <w:r>
        <w:rPr>
          <w:rFonts w:hint="eastAsia" w:asciiTheme="minorEastAsia" w:hAnsiTheme="minorEastAsia" w:eastAsiaTheme="minorEastAsia"/>
          <w:sz w:val="32"/>
          <w:szCs w:val="32"/>
          <w:highlight w:val="none"/>
        </w:rPr>
        <w:t>万元，完成年初预算的</w:t>
      </w:r>
      <w:r>
        <w:rPr>
          <w:rFonts w:hint="eastAsia" w:asciiTheme="minorEastAsia" w:hAnsiTheme="minorEastAsia" w:eastAsiaTheme="minorEastAsia"/>
          <w:sz w:val="32"/>
          <w:szCs w:val="32"/>
          <w:highlight w:val="none"/>
          <w:lang w:val="en-US" w:eastAsia="zh-CN"/>
        </w:rPr>
        <w:t>100</w:t>
      </w:r>
      <w:r>
        <w:rPr>
          <w:rFonts w:hint="eastAsia" w:asciiTheme="minorEastAsia" w:hAnsiTheme="minorEastAsia" w:eastAsiaTheme="minorEastAsia"/>
          <w:sz w:val="32"/>
          <w:szCs w:val="32"/>
          <w:highlight w:val="none"/>
        </w:rPr>
        <w:t>%，决算数</w:t>
      </w:r>
      <w:r>
        <w:rPr>
          <w:rFonts w:hint="eastAsia" w:asciiTheme="minorEastAsia" w:hAnsiTheme="minorEastAsia" w:eastAsiaTheme="minorEastAsia"/>
          <w:sz w:val="32"/>
          <w:szCs w:val="32"/>
          <w:highlight w:val="none"/>
          <w:lang w:eastAsia="zh-CN"/>
        </w:rPr>
        <w:t>等于</w:t>
      </w:r>
      <w:r>
        <w:rPr>
          <w:rFonts w:hint="eastAsia" w:asciiTheme="minorEastAsia" w:hAnsiTheme="minorEastAsia" w:eastAsiaTheme="minorEastAsia"/>
          <w:sz w:val="32"/>
          <w:szCs w:val="32"/>
          <w:highlight w:val="none"/>
        </w:rPr>
        <w:t>年初预算数的主要原因是</w:t>
      </w:r>
      <w:r>
        <w:rPr>
          <w:rFonts w:hint="eastAsia" w:asciiTheme="minorEastAsia" w:hAnsiTheme="minorEastAsia" w:eastAsiaTheme="minorEastAsia"/>
          <w:sz w:val="32"/>
          <w:szCs w:val="32"/>
          <w:highlight w:val="none"/>
          <w:lang w:eastAsia="zh-CN"/>
        </w:rPr>
        <w:t>：</w:t>
      </w:r>
      <w:r>
        <w:rPr>
          <w:rFonts w:hint="eastAsia" w:asciiTheme="minorEastAsia" w:hAnsiTheme="minorEastAsia" w:eastAsiaTheme="minorEastAsia"/>
          <w:sz w:val="32"/>
          <w:szCs w:val="32"/>
          <w:highlight w:val="none"/>
        </w:rPr>
        <w:t>单位人员无变动，严格按照年初预算数执行。</w:t>
      </w:r>
    </w:p>
    <w:p>
      <w:pPr>
        <w:pStyle w:val="14"/>
        <w:keepNext w:val="0"/>
        <w:keepLines w:val="0"/>
        <w:pageBreakBefore w:val="0"/>
        <w:numPr>
          <w:ilvl w:val="0"/>
          <w:numId w:val="1"/>
        </w:numPr>
        <w:kinsoku/>
        <w:wordWrap/>
        <w:overflowPunct/>
        <w:topLinePunct w:val="0"/>
        <w:bidi w:val="0"/>
        <w:snapToGrid/>
        <w:ind w:firstLine="640" w:firstLineChars="200"/>
        <w:textAlignment w:val="auto"/>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lang w:eastAsia="zh-CN"/>
        </w:rPr>
        <w:t>社会保障和就业支出</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val="en-US" w:eastAsia="zh-CN"/>
        </w:rPr>
        <w:t>208</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eastAsia="zh-CN"/>
        </w:rPr>
        <w:t>抚恤</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val="en-US" w:eastAsia="zh-CN"/>
        </w:rPr>
        <w:t>20808</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eastAsia="zh-CN"/>
        </w:rPr>
        <w:t>其他优抚支出（</w:t>
      </w:r>
      <w:r>
        <w:rPr>
          <w:rFonts w:hint="eastAsia" w:asciiTheme="minorEastAsia" w:hAnsiTheme="minorEastAsia" w:eastAsiaTheme="minorEastAsia"/>
          <w:sz w:val="32"/>
          <w:szCs w:val="32"/>
          <w:highlight w:val="none"/>
          <w:lang w:val="en-US" w:eastAsia="zh-CN"/>
        </w:rPr>
        <w:t>2080899）。</w:t>
      </w:r>
    </w:p>
    <w:p>
      <w:pPr>
        <w:pStyle w:val="14"/>
        <w:keepNext w:val="0"/>
        <w:keepLines w:val="0"/>
        <w:pageBreakBefore w:val="0"/>
        <w:numPr>
          <w:ilvl w:val="0"/>
          <w:numId w:val="0"/>
        </w:numPr>
        <w:kinsoku/>
        <w:wordWrap/>
        <w:overflowPunct/>
        <w:topLinePunct w:val="0"/>
        <w:bidi w:val="0"/>
        <w:snapToGrid/>
        <w:ind w:firstLine="640" w:firstLineChars="200"/>
        <w:textAlignment w:val="auto"/>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5.4</w:t>
      </w:r>
      <w:r>
        <w:rPr>
          <w:rFonts w:hint="eastAsia" w:asciiTheme="minorEastAsia" w:hAnsiTheme="minorEastAsia" w:eastAsiaTheme="minorEastAsia"/>
          <w:sz w:val="32"/>
          <w:szCs w:val="32"/>
          <w:highlight w:val="none"/>
        </w:rPr>
        <w:t>万元，由于预算数为0，无法计算百分比，决算数大于年初预算数的主要原因是</w:t>
      </w:r>
      <w:r>
        <w:rPr>
          <w:rFonts w:hint="eastAsia" w:asciiTheme="minorEastAsia" w:hAnsiTheme="minorEastAsia" w:eastAsiaTheme="minorEastAsia"/>
          <w:sz w:val="32"/>
          <w:szCs w:val="32"/>
          <w:highlight w:val="none"/>
          <w:lang w:eastAsia="zh-CN"/>
        </w:rPr>
        <w:t>：</w:t>
      </w:r>
      <w:r>
        <w:rPr>
          <w:rFonts w:hint="eastAsia" w:asciiTheme="minorEastAsia" w:hAnsiTheme="minorEastAsia" w:eastAsiaTheme="minorEastAsia"/>
          <w:sz w:val="32"/>
          <w:szCs w:val="32"/>
          <w:highlight w:val="none"/>
        </w:rPr>
        <w:t>财政追加预算。</w:t>
      </w:r>
    </w:p>
    <w:p>
      <w:pPr>
        <w:pStyle w:val="14"/>
        <w:keepNext w:val="0"/>
        <w:keepLines w:val="0"/>
        <w:pageBreakBefore w:val="0"/>
        <w:numPr>
          <w:ilvl w:val="0"/>
          <w:numId w:val="1"/>
        </w:numPr>
        <w:kinsoku/>
        <w:wordWrap/>
        <w:overflowPunct/>
        <w:topLinePunct w:val="0"/>
        <w:bidi w:val="0"/>
        <w:snapToGrid/>
        <w:ind w:firstLine="640" w:firstLineChars="200"/>
        <w:textAlignment w:val="auto"/>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lang w:eastAsia="zh-CN"/>
        </w:rPr>
        <w:t>卫生健康支出</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val="en-US" w:eastAsia="zh-CN"/>
        </w:rPr>
        <w:t>210</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eastAsia="zh-CN"/>
        </w:rPr>
        <w:t>行政事业单位医疗</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val="en-US" w:eastAsia="zh-CN"/>
        </w:rPr>
        <w:t>21011</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eastAsia="zh-CN"/>
        </w:rPr>
        <w:t>行政单位医疗（</w:t>
      </w:r>
      <w:r>
        <w:rPr>
          <w:rFonts w:hint="eastAsia" w:asciiTheme="minorEastAsia" w:hAnsiTheme="minorEastAsia" w:eastAsiaTheme="minorEastAsia"/>
          <w:sz w:val="32"/>
          <w:szCs w:val="32"/>
          <w:highlight w:val="none"/>
          <w:lang w:val="en-US" w:eastAsia="zh-CN"/>
        </w:rPr>
        <w:t>2101101）。</w:t>
      </w:r>
    </w:p>
    <w:p>
      <w:pPr>
        <w:pStyle w:val="14"/>
        <w:keepNext w:val="0"/>
        <w:keepLines w:val="0"/>
        <w:pageBreakBefore w:val="0"/>
        <w:numPr>
          <w:ilvl w:val="0"/>
          <w:numId w:val="0"/>
        </w:numPr>
        <w:kinsoku/>
        <w:wordWrap/>
        <w:overflowPunct/>
        <w:topLinePunct w:val="0"/>
        <w:bidi w:val="0"/>
        <w:snapToGrid/>
        <w:ind w:firstLine="640" w:firstLineChars="200"/>
        <w:textAlignment w:val="auto"/>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11.32</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11.32</w:t>
      </w:r>
      <w:r>
        <w:rPr>
          <w:rFonts w:hint="eastAsia" w:asciiTheme="minorEastAsia" w:hAnsiTheme="minorEastAsia" w:eastAsiaTheme="minorEastAsia"/>
          <w:sz w:val="32"/>
          <w:szCs w:val="32"/>
          <w:highlight w:val="none"/>
        </w:rPr>
        <w:t>万元，完成年初预算的</w:t>
      </w:r>
      <w:r>
        <w:rPr>
          <w:rFonts w:hint="eastAsia" w:asciiTheme="minorEastAsia" w:hAnsiTheme="minorEastAsia" w:eastAsiaTheme="minorEastAsia"/>
          <w:sz w:val="32"/>
          <w:szCs w:val="32"/>
          <w:highlight w:val="none"/>
          <w:lang w:val="en-US" w:eastAsia="zh-CN"/>
        </w:rPr>
        <w:t>100</w:t>
      </w:r>
      <w:r>
        <w:rPr>
          <w:rFonts w:hint="eastAsia" w:asciiTheme="minorEastAsia" w:hAnsiTheme="minorEastAsia" w:eastAsiaTheme="minorEastAsia"/>
          <w:sz w:val="32"/>
          <w:szCs w:val="32"/>
          <w:highlight w:val="none"/>
        </w:rPr>
        <w:t>%，决算数</w:t>
      </w:r>
      <w:r>
        <w:rPr>
          <w:rFonts w:hint="eastAsia" w:asciiTheme="minorEastAsia" w:hAnsiTheme="minorEastAsia" w:eastAsiaTheme="minorEastAsia"/>
          <w:sz w:val="32"/>
          <w:szCs w:val="32"/>
          <w:highlight w:val="none"/>
          <w:lang w:eastAsia="zh-CN"/>
        </w:rPr>
        <w:t>等于</w:t>
      </w:r>
      <w:r>
        <w:rPr>
          <w:rFonts w:hint="eastAsia" w:asciiTheme="minorEastAsia" w:hAnsiTheme="minorEastAsia" w:eastAsiaTheme="minorEastAsia"/>
          <w:sz w:val="32"/>
          <w:szCs w:val="32"/>
          <w:highlight w:val="none"/>
        </w:rPr>
        <w:t>年初预算数的主要原因是</w:t>
      </w:r>
      <w:r>
        <w:rPr>
          <w:rFonts w:hint="eastAsia" w:asciiTheme="minorEastAsia" w:hAnsiTheme="minorEastAsia" w:eastAsiaTheme="minorEastAsia"/>
          <w:sz w:val="32"/>
          <w:szCs w:val="32"/>
          <w:highlight w:val="none"/>
          <w:lang w:eastAsia="zh-CN"/>
        </w:rPr>
        <w:t>：</w:t>
      </w:r>
      <w:r>
        <w:rPr>
          <w:rFonts w:hint="eastAsia" w:asciiTheme="minorEastAsia" w:hAnsiTheme="minorEastAsia" w:eastAsiaTheme="minorEastAsia"/>
          <w:sz w:val="32"/>
          <w:szCs w:val="32"/>
          <w:highlight w:val="none"/>
        </w:rPr>
        <w:t>单位人员无变动，严格按照年初预算数执行。</w:t>
      </w:r>
    </w:p>
    <w:p>
      <w:pPr>
        <w:pStyle w:val="14"/>
        <w:keepNext w:val="0"/>
        <w:keepLines w:val="0"/>
        <w:pageBreakBefore w:val="0"/>
        <w:numPr>
          <w:ilvl w:val="0"/>
          <w:numId w:val="1"/>
        </w:numPr>
        <w:kinsoku/>
        <w:wordWrap/>
        <w:overflowPunct/>
        <w:topLinePunct w:val="0"/>
        <w:bidi w:val="0"/>
        <w:snapToGrid/>
        <w:ind w:firstLine="640" w:firstLineChars="200"/>
        <w:textAlignment w:val="auto"/>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lang w:eastAsia="zh-CN"/>
        </w:rPr>
        <w:t>住房保障支出</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val="en-US" w:eastAsia="zh-CN"/>
        </w:rPr>
        <w:t>221</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eastAsia="zh-CN"/>
        </w:rPr>
        <w:t>住房改革支出</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val="en-US" w:eastAsia="zh-CN"/>
        </w:rPr>
        <w:t>22102</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eastAsia="zh-CN"/>
        </w:rPr>
        <w:t>住房公积金（</w:t>
      </w:r>
      <w:r>
        <w:rPr>
          <w:rFonts w:hint="eastAsia" w:asciiTheme="minorEastAsia" w:hAnsiTheme="minorEastAsia" w:eastAsiaTheme="minorEastAsia"/>
          <w:sz w:val="32"/>
          <w:szCs w:val="32"/>
          <w:highlight w:val="none"/>
          <w:lang w:val="en-US" w:eastAsia="zh-CN"/>
        </w:rPr>
        <w:t>2210201）。</w:t>
      </w:r>
    </w:p>
    <w:p>
      <w:pPr>
        <w:pStyle w:val="14"/>
        <w:keepNext w:val="0"/>
        <w:keepLines w:val="0"/>
        <w:pageBreakBefore w:val="0"/>
        <w:numPr>
          <w:ilvl w:val="0"/>
          <w:numId w:val="0"/>
        </w:numPr>
        <w:kinsoku/>
        <w:wordWrap/>
        <w:overflowPunct/>
        <w:topLinePunct w:val="0"/>
        <w:bidi w:val="0"/>
        <w:snapToGrid/>
        <w:ind w:firstLine="640" w:firstLineChars="200"/>
        <w:textAlignment w:val="auto"/>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17.06</w:t>
      </w:r>
      <w:r>
        <w:rPr>
          <w:rFonts w:hint="eastAsia" w:asciiTheme="minorEastAsia" w:hAnsiTheme="minorEastAsia" w:eastAsiaTheme="minorEastAsia"/>
          <w:sz w:val="32"/>
          <w:szCs w:val="32"/>
          <w:highlight w:val="none"/>
        </w:rPr>
        <w:t>万元，由于预算数为0，无法计算百分比，决算数大于年初预算数的主要原因是</w:t>
      </w:r>
      <w:r>
        <w:rPr>
          <w:rFonts w:hint="eastAsia" w:asciiTheme="minorEastAsia" w:hAnsiTheme="minorEastAsia" w:eastAsiaTheme="minorEastAsia"/>
          <w:sz w:val="32"/>
          <w:szCs w:val="32"/>
          <w:highlight w:val="none"/>
          <w:lang w:eastAsia="zh-CN"/>
        </w:rPr>
        <w:t>：该</w:t>
      </w:r>
      <w:r>
        <w:rPr>
          <w:rFonts w:hint="eastAsia" w:asciiTheme="minorEastAsia" w:hAnsiTheme="minorEastAsia" w:eastAsiaTheme="minorEastAsia"/>
          <w:sz w:val="32"/>
          <w:szCs w:val="32"/>
          <w:highlight w:val="none"/>
        </w:rPr>
        <w:t>项目没有纳入单位预算，由公共财政统一支付。</w:t>
      </w:r>
    </w:p>
    <w:p>
      <w:pPr>
        <w:pStyle w:val="14"/>
        <w:keepNext w:val="0"/>
        <w:keepLines w:val="0"/>
        <w:pageBreakBefore w:val="0"/>
        <w:kinsoku/>
        <w:wordWrap/>
        <w:overflowPunct/>
        <w:topLinePunct w:val="0"/>
        <w:bidi w:val="0"/>
        <w:snapToGrid/>
        <w:ind w:firstLine="640" w:firstLineChars="200"/>
        <w:textAlignment w:val="auto"/>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六、一般公共预算财政拨款基本支出决算情况说明</w:t>
      </w:r>
    </w:p>
    <w:p>
      <w:pPr>
        <w:keepNext w:val="0"/>
        <w:keepLines w:val="0"/>
        <w:pageBreakBefore w:val="0"/>
        <w:kinsoku/>
        <w:wordWrap/>
        <w:overflowPunct/>
        <w:topLinePunct w:val="0"/>
        <w:bidi w:val="0"/>
        <w:snapToGrid/>
        <w:spacing w:beforeLines="0" w:afterLines="0" w:line="600" w:lineRule="exact"/>
        <w:ind w:firstLine="640" w:firstLineChars="200"/>
        <w:jc w:val="left"/>
        <w:textAlignment w:val="auto"/>
        <w:rPr>
          <w:rFonts w:asciiTheme="minorEastAsia" w:hAnsiTheme="minorEastAsia" w:eastAsiaTheme="minorEastAsia"/>
          <w:i/>
          <w:color w:val="FF0000"/>
          <w:sz w:val="32"/>
          <w:szCs w:val="32"/>
          <w:highlight w:val="none"/>
        </w:rPr>
      </w:pPr>
      <w:r>
        <w:rPr>
          <w:rFonts w:hint="eastAsia" w:asciiTheme="minorEastAsia" w:hAnsiTheme="minorEastAsia" w:eastAsiaTheme="minorEastAsia"/>
          <w:sz w:val="32"/>
          <w:szCs w:val="32"/>
          <w:highlight w:val="none"/>
        </w:rPr>
        <w:t>2021年度财政拨款基本支出</w:t>
      </w:r>
      <w:r>
        <w:rPr>
          <w:rFonts w:hint="eastAsia" w:asciiTheme="minorEastAsia" w:hAnsiTheme="minorEastAsia" w:eastAsiaTheme="minorEastAsia"/>
          <w:sz w:val="32"/>
          <w:szCs w:val="32"/>
          <w:highlight w:val="none"/>
          <w:lang w:val="en-US" w:eastAsia="zh-CN"/>
        </w:rPr>
        <w:t>508.17</w:t>
      </w:r>
      <w:r>
        <w:rPr>
          <w:rFonts w:hint="eastAsia" w:asciiTheme="minorEastAsia" w:hAnsiTheme="minorEastAsia" w:eastAsiaTheme="minorEastAsia"/>
          <w:sz w:val="32"/>
          <w:szCs w:val="32"/>
          <w:highlight w:val="none"/>
        </w:rPr>
        <w:t>万元，其中：人员经费</w:t>
      </w:r>
      <w:r>
        <w:rPr>
          <w:rFonts w:hint="eastAsia" w:asciiTheme="minorEastAsia" w:hAnsiTheme="minorEastAsia" w:eastAsiaTheme="minorEastAsia"/>
          <w:sz w:val="32"/>
          <w:szCs w:val="32"/>
          <w:highlight w:val="none"/>
          <w:lang w:val="en-US" w:eastAsia="zh-CN"/>
        </w:rPr>
        <w:t>271.35</w:t>
      </w:r>
      <w:r>
        <w:rPr>
          <w:rFonts w:hint="eastAsia" w:asciiTheme="minorEastAsia" w:hAnsiTheme="minorEastAsia" w:eastAsiaTheme="minorEastAsia"/>
          <w:sz w:val="32"/>
          <w:szCs w:val="32"/>
          <w:highlight w:val="none"/>
        </w:rPr>
        <w:t>万元，占基本支出的</w:t>
      </w:r>
      <w:r>
        <w:rPr>
          <w:rFonts w:hint="eastAsia" w:asciiTheme="minorEastAsia" w:hAnsiTheme="minorEastAsia" w:eastAsiaTheme="minorEastAsia"/>
          <w:sz w:val="32"/>
          <w:szCs w:val="32"/>
          <w:highlight w:val="none"/>
          <w:lang w:val="en-US" w:eastAsia="zh-CN"/>
        </w:rPr>
        <w:t>53.4</w:t>
      </w:r>
      <w:r>
        <w:rPr>
          <w:rFonts w:hint="eastAsia" w:asciiTheme="minorEastAsia" w:hAnsiTheme="minorEastAsia" w:eastAsiaTheme="minorEastAsia"/>
          <w:sz w:val="32"/>
          <w:szCs w:val="32"/>
          <w:highlight w:val="none"/>
        </w:rPr>
        <w:t>%</w:t>
      </w:r>
      <w:r>
        <w:rPr>
          <w:rFonts w:hint="eastAsia" w:asciiTheme="minorEastAsia" w:hAnsiTheme="minorEastAsia"/>
          <w:sz w:val="32"/>
          <w:szCs w:val="32"/>
          <w:highlight w:val="none"/>
          <w:lang w:eastAsia="zh-CN"/>
        </w:rPr>
        <w:t>，</w:t>
      </w:r>
      <w:r>
        <w:rPr>
          <w:rFonts w:hint="eastAsia" w:asciiTheme="minorEastAsia" w:hAnsiTheme="minorEastAsia" w:eastAsiaTheme="minorEastAsia"/>
          <w:sz w:val="32"/>
          <w:szCs w:val="32"/>
          <w:highlight w:val="none"/>
        </w:rPr>
        <w:t>主要包括基本工资、津贴补贴、</w:t>
      </w:r>
      <w:r>
        <w:rPr>
          <w:rFonts w:hint="eastAsia" w:asciiTheme="minorEastAsia" w:hAnsiTheme="minorEastAsia" w:eastAsiaTheme="minorEastAsia"/>
          <w:sz w:val="32"/>
          <w:szCs w:val="32"/>
          <w:highlight w:val="none"/>
          <w:lang w:val="zh-CN"/>
        </w:rPr>
        <w:t>奖金、机关事业单位基本养老保险缴费、职工基本医疗保险缴费、住房公积金、其他工资福利支出、</w:t>
      </w:r>
      <w:r>
        <w:rPr>
          <w:rFonts w:hint="eastAsia" w:asciiTheme="minorEastAsia" w:hAnsiTheme="minorEastAsia"/>
          <w:sz w:val="32"/>
          <w:szCs w:val="32"/>
          <w:highlight w:val="none"/>
          <w:lang w:val="zh-CN"/>
        </w:rPr>
        <w:t>抚恤金等</w:t>
      </w:r>
      <w:r>
        <w:rPr>
          <w:rFonts w:hint="eastAsia" w:asciiTheme="minorEastAsia" w:hAnsiTheme="minorEastAsia" w:eastAsiaTheme="minorEastAsia"/>
          <w:sz w:val="32"/>
          <w:szCs w:val="32"/>
          <w:highlight w:val="none"/>
        </w:rPr>
        <w:t>；公用经费</w:t>
      </w:r>
      <w:r>
        <w:rPr>
          <w:rFonts w:hint="eastAsia" w:asciiTheme="minorEastAsia" w:hAnsiTheme="minorEastAsia" w:eastAsiaTheme="minorEastAsia"/>
          <w:sz w:val="32"/>
          <w:szCs w:val="32"/>
          <w:highlight w:val="none"/>
          <w:lang w:val="en-US" w:eastAsia="zh-CN"/>
        </w:rPr>
        <w:t>236.82</w:t>
      </w:r>
      <w:r>
        <w:rPr>
          <w:rFonts w:hint="eastAsia" w:asciiTheme="minorEastAsia" w:hAnsiTheme="minorEastAsia" w:eastAsiaTheme="minorEastAsia"/>
          <w:sz w:val="32"/>
          <w:szCs w:val="32"/>
          <w:highlight w:val="none"/>
        </w:rPr>
        <w:t>万元，</w:t>
      </w:r>
      <w:r>
        <w:rPr>
          <w:rFonts w:hint="eastAsia" w:asciiTheme="minorEastAsia" w:hAnsiTheme="minorEastAsia" w:eastAsiaTheme="minorEastAsia"/>
          <w:sz w:val="32"/>
          <w:szCs w:val="32"/>
          <w:highlight w:val="none"/>
          <w:lang w:val="zh-CN"/>
        </w:rPr>
        <w:t>占基本支出的46.6%，主要包括办公费、印刷费、水费、邮电费、差旅费、维修（护）费、会议费、培训费、公务接待费、专用材料费、劳务费、工会经费、福利费、其他交通费用、其他商品和服务支出</w:t>
      </w:r>
      <w:r>
        <w:rPr>
          <w:rFonts w:hint="eastAsia" w:asciiTheme="minorEastAsia" w:hAnsiTheme="minorEastAsia"/>
          <w:sz w:val="32"/>
          <w:szCs w:val="32"/>
          <w:highlight w:val="none"/>
          <w:lang w:val="zh-CN"/>
        </w:rPr>
        <w:t>等</w:t>
      </w:r>
      <w:r>
        <w:rPr>
          <w:rFonts w:hint="eastAsia" w:asciiTheme="minorEastAsia" w:hAnsiTheme="minorEastAsia" w:eastAsiaTheme="minorEastAsia"/>
          <w:sz w:val="32"/>
          <w:szCs w:val="32"/>
          <w:highlight w:val="none"/>
          <w:lang w:val="zh-CN"/>
        </w:rPr>
        <w:t>。</w:t>
      </w:r>
    </w:p>
    <w:p>
      <w:pPr>
        <w:pStyle w:val="14"/>
        <w:keepNext w:val="0"/>
        <w:keepLines w:val="0"/>
        <w:pageBreakBefore w:val="0"/>
        <w:kinsoku/>
        <w:wordWrap/>
        <w:overflowPunct/>
        <w:topLinePunct w:val="0"/>
        <w:bidi w:val="0"/>
        <w:snapToGrid/>
        <w:ind w:firstLine="640" w:firstLineChars="200"/>
        <w:textAlignment w:val="auto"/>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七、一般公共预算财政拨款“三公”经费支出决算情况说明</w:t>
      </w:r>
    </w:p>
    <w:p>
      <w:pPr>
        <w:pStyle w:val="14"/>
        <w:keepNext w:val="0"/>
        <w:keepLines w:val="0"/>
        <w:pageBreakBefore w:val="0"/>
        <w:kinsoku/>
        <w:wordWrap/>
        <w:overflowPunct/>
        <w:topLinePunct w:val="0"/>
        <w:bidi w:val="0"/>
        <w:snapToGrid/>
        <w:ind w:firstLine="640" w:firstLineChars="200"/>
        <w:textAlignment w:val="auto"/>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（一）“三公”经费财政拨款支出决算总体情况说明</w:t>
      </w:r>
    </w:p>
    <w:p>
      <w:pPr>
        <w:pStyle w:val="14"/>
        <w:keepNext w:val="0"/>
        <w:keepLines w:val="0"/>
        <w:pageBreakBefore w:val="0"/>
        <w:kinsoku/>
        <w:wordWrap/>
        <w:overflowPunct/>
        <w:topLinePunct w:val="0"/>
        <w:bidi w:val="0"/>
        <w:snapToGrid/>
        <w:ind w:firstLine="640" w:firstLineChars="200"/>
        <w:textAlignment w:val="auto"/>
        <w:rPr>
          <w:rFonts w:hint="eastAsia" w:asciiTheme="minorEastAsia" w:hAnsiTheme="minorEastAsia" w:eastAsiaTheme="minorEastAsia"/>
          <w:sz w:val="32"/>
          <w:szCs w:val="32"/>
          <w:highlight w:val="none"/>
          <w:lang w:eastAsia="zh-CN"/>
        </w:rPr>
      </w:pPr>
      <w:r>
        <w:rPr>
          <w:rFonts w:hint="eastAsia" w:asciiTheme="minorEastAsia" w:hAnsiTheme="minorEastAsia" w:eastAsiaTheme="minorEastAsia"/>
          <w:sz w:val="32"/>
          <w:szCs w:val="32"/>
          <w:highlight w:val="none"/>
        </w:rPr>
        <w:t>2021年度“三公”经费财政拨款支出预算为</w:t>
      </w:r>
      <w:r>
        <w:rPr>
          <w:rFonts w:hint="eastAsia" w:asciiTheme="minorEastAsia" w:hAnsiTheme="minorEastAsia" w:eastAsiaTheme="minorEastAsia"/>
          <w:sz w:val="32"/>
          <w:szCs w:val="32"/>
          <w:highlight w:val="none"/>
          <w:lang w:val="en-US" w:eastAsia="zh-CN"/>
        </w:rPr>
        <w:t>8.1</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6</w:t>
      </w:r>
      <w:r>
        <w:rPr>
          <w:rFonts w:hint="eastAsia" w:asciiTheme="minorEastAsia" w:hAnsiTheme="minorEastAsia" w:eastAsiaTheme="minorEastAsia"/>
          <w:sz w:val="32"/>
          <w:szCs w:val="32"/>
          <w:highlight w:val="none"/>
        </w:rPr>
        <w:t>万元，完成预算的</w:t>
      </w:r>
      <w:r>
        <w:rPr>
          <w:rFonts w:hint="eastAsia" w:asciiTheme="minorEastAsia" w:hAnsiTheme="minorEastAsia" w:eastAsiaTheme="minorEastAsia"/>
          <w:sz w:val="32"/>
          <w:szCs w:val="32"/>
          <w:highlight w:val="none"/>
          <w:lang w:val="en-US" w:eastAsia="zh-CN"/>
        </w:rPr>
        <w:t>74.07</w:t>
      </w:r>
      <w:r>
        <w:rPr>
          <w:rFonts w:hint="eastAsia" w:asciiTheme="minorEastAsia" w:hAnsiTheme="minorEastAsia" w:eastAsiaTheme="minorEastAsia"/>
          <w:sz w:val="32"/>
          <w:szCs w:val="32"/>
          <w:highlight w:val="none"/>
        </w:rPr>
        <w:t>%，其中：</w:t>
      </w:r>
    </w:p>
    <w:p>
      <w:pPr>
        <w:keepNext w:val="0"/>
        <w:keepLines w:val="0"/>
        <w:pageBreakBefore w:val="0"/>
        <w:numPr>
          <w:ilvl w:val="0"/>
          <w:numId w:val="0"/>
        </w:numPr>
        <w:kinsoku/>
        <w:wordWrap/>
        <w:overflowPunct/>
        <w:topLinePunct w:val="0"/>
        <w:bidi w:val="0"/>
        <w:snapToGrid/>
        <w:spacing w:beforeLines="0" w:afterLines="0" w:line="600" w:lineRule="exact"/>
        <w:ind w:firstLine="640" w:firstLineChars="200"/>
        <w:jc w:val="left"/>
        <w:textAlignment w:val="auto"/>
        <w:rPr>
          <w:rFonts w:hint="eastAsia" w:cs="黑体" w:asciiTheme="minorEastAsia" w:hAnsiTheme="minorEastAsia" w:eastAsiaTheme="minorEastAsia"/>
          <w:color w:val="000000"/>
          <w:kern w:val="0"/>
          <w:sz w:val="32"/>
          <w:szCs w:val="32"/>
          <w:highlight w:val="none"/>
          <w:lang w:val="zh-CN" w:eastAsia="zh-CN" w:bidi="ar-SA"/>
        </w:rPr>
      </w:pPr>
      <w:r>
        <w:rPr>
          <w:rFonts w:hint="eastAsia" w:cs="黑体" w:asciiTheme="minorEastAsia" w:hAnsiTheme="minorEastAsia" w:eastAsiaTheme="minorEastAsia"/>
          <w:color w:val="000000"/>
          <w:kern w:val="0"/>
          <w:sz w:val="32"/>
          <w:szCs w:val="32"/>
          <w:highlight w:val="none"/>
          <w:lang w:val="zh-CN" w:eastAsia="zh-CN" w:bidi="ar-SA"/>
        </w:rPr>
        <w:t>因公出国（境）费支出预算</w:t>
      </w:r>
      <w:r>
        <w:rPr>
          <w:rFonts w:hint="eastAsia" w:cs="黑体" w:asciiTheme="minorEastAsia" w:hAnsiTheme="minorEastAsia"/>
          <w:color w:val="000000"/>
          <w:kern w:val="0"/>
          <w:sz w:val="32"/>
          <w:szCs w:val="32"/>
          <w:highlight w:val="none"/>
          <w:lang w:val="zh-CN" w:eastAsia="zh-CN" w:bidi="ar-SA"/>
        </w:rPr>
        <w:t>为</w:t>
      </w:r>
      <w:r>
        <w:rPr>
          <w:rFonts w:hint="eastAsia" w:cs="黑体" w:asciiTheme="minorEastAsia" w:hAnsiTheme="minorEastAsia"/>
          <w:color w:val="000000"/>
          <w:kern w:val="0"/>
          <w:sz w:val="32"/>
          <w:szCs w:val="32"/>
          <w:highlight w:val="none"/>
          <w:lang w:val="en-US" w:eastAsia="zh-CN" w:bidi="ar-SA"/>
        </w:rPr>
        <w:t>0万元，支出</w:t>
      </w:r>
      <w:r>
        <w:rPr>
          <w:rFonts w:hint="eastAsia" w:cs="黑体" w:asciiTheme="minorEastAsia" w:hAnsiTheme="minorEastAsia" w:eastAsiaTheme="minorEastAsia"/>
          <w:color w:val="000000"/>
          <w:kern w:val="0"/>
          <w:sz w:val="32"/>
          <w:szCs w:val="32"/>
          <w:highlight w:val="none"/>
          <w:lang w:val="zh-CN" w:eastAsia="zh-CN" w:bidi="ar-SA"/>
        </w:rPr>
        <w:t>决算</w:t>
      </w:r>
      <w:r>
        <w:rPr>
          <w:rFonts w:hint="eastAsia" w:cs="黑体" w:asciiTheme="minorEastAsia" w:hAnsiTheme="minorEastAsia"/>
          <w:color w:val="000000"/>
          <w:kern w:val="0"/>
          <w:sz w:val="32"/>
          <w:szCs w:val="32"/>
          <w:highlight w:val="none"/>
          <w:lang w:val="zh-CN" w:eastAsia="zh-CN" w:bidi="ar-SA"/>
        </w:rPr>
        <w:t>为</w:t>
      </w:r>
      <w:r>
        <w:rPr>
          <w:rFonts w:hint="eastAsia" w:cs="黑体" w:asciiTheme="minorEastAsia" w:hAnsiTheme="minorEastAsia"/>
          <w:color w:val="000000"/>
          <w:kern w:val="0"/>
          <w:sz w:val="32"/>
          <w:szCs w:val="32"/>
          <w:highlight w:val="none"/>
          <w:lang w:val="en-US" w:eastAsia="zh-CN" w:bidi="ar-SA"/>
        </w:rPr>
        <w:t>0万元</w:t>
      </w:r>
      <w:r>
        <w:rPr>
          <w:rFonts w:hint="eastAsia" w:cs="黑体" w:asciiTheme="minorEastAsia" w:hAnsiTheme="minorEastAsia"/>
          <w:color w:val="000000"/>
          <w:kern w:val="0"/>
          <w:sz w:val="32"/>
          <w:szCs w:val="32"/>
          <w:highlight w:val="none"/>
          <w:lang w:val="zh-CN" w:eastAsia="zh-CN" w:bidi="ar-SA"/>
        </w:rPr>
        <w:t>，</w:t>
      </w:r>
      <w:r>
        <w:rPr>
          <w:rFonts w:hint="eastAsia" w:cs="黑体" w:asciiTheme="minorEastAsia" w:hAnsiTheme="minorEastAsia"/>
          <w:color w:val="000000"/>
          <w:kern w:val="0"/>
          <w:sz w:val="32"/>
          <w:szCs w:val="32"/>
          <w:highlight w:val="none"/>
          <w:lang w:val="en-US" w:eastAsia="zh-CN" w:bidi="ar-SA"/>
        </w:rPr>
        <w:t>由于预算数为0，无法计算百分比，</w:t>
      </w:r>
      <w:r>
        <w:rPr>
          <w:rFonts w:hint="eastAsia" w:cs="黑体" w:asciiTheme="minorEastAsia" w:hAnsiTheme="minorEastAsia"/>
          <w:color w:val="000000"/>
          <w:kern w:val="0"/>
          <w:sz w:val="32"/>
          <w:szCs w:val="32"/>
          <w:highlight w:val="none"/>
          <w:lang w:val="zh-CN" w:eastAsia="zh-CN" w:bidi="ar-SA"/>
        </w:rPr>
        <w:t>决算数</w:t>
      </w:r>
      <w:r>
        <w:rPr>
          <w:rFonts w:hint="eastAsia" w:cs="黑体" w:asciiTheme="minorEastAsia" w:hAnsiTheme="minorEastAsia"/>
          <w:color w:val="000000"/>
          <w:kern w:val="0"/>
          <w:sz w:val="32"/>
          <w:szCs w:val="32"/>
          <w:highlight w:val="none"/>
          <w:lang w:val="en-US" w:eastAsia="zh-CN" w:bidi="ar-SA"/>
        </w:rPr>
        <w:t>等于</w:t>
      </w:r>
      <w:r>
        <w:rPr>
          <w:rFonts w:hint="eastAsia" w:cs="黑体" w:asciiTheme="minorEastAsia" w:hAnsiTheme="minorEastAsia"/>
          <w:color w:val="000000"/>
          <w:kern w:val="0"/>
          <w:sz w:val="32"/>
          <w:szCs w:val="32"/>
          <w:highlight w:val="none"/>
          <w:lang w:val="zh-CN" w:eastAsia="zh-CN" w:bidi="ar-SA"/>
        </w:rPr>
        <w:t>年初预算数的主要原因是</w:t>
      </w:r>
      <w:r>
        <w:rPr>
          <w:rFonts w:hint="eastAsia" w:cs="黑体" w:asciiTheme="minorEastAsia" w:hAnsiTheme="minorEastAsia" w:eastAsiaTheme="minorEastAsia"/>
          <w:color w:val="000000"/>
          <w:kern w:val="0"/>
          <w:sz w:val="32"/>
          <w:szCs w:val="32"/>
          <w:highlight w:val="none"/>
          <w:lang w:val="zh-CN" w:eastAsia="zh-CN" w:bidi="ar-SA"/>
        </w:rPr>
        <w:t>无因公出国（境）费支出</w:t>
      </w:r>
      <w:r>
        <w:rPr>
          <w:rFonts w:hint="eastAsia" w:cs="黑体" w:asciiTheme="minorEastAsia" w:hAnsiTheme="minorEastAsia"/>
          <w:color w:val="000000"/>
          <w:kern w:val="0"/>
          <w:sz w:val="32"/>
          <w:szCs w:val="32"/>
          <w:highlight w:val="none"/>
          <w:lang w:val="zh-CN" w:eastAsia="zh-CN" w:bidi="ar-SA"/>
        </w:rPr>
        <w:t>，与上年相比增加</w:t>
      </w:r>
      <w:r>
        <w:rPr>
          <w:rFonts w:hint="eastAsia" w:cs="黑体" w:asciiTheme="minorEastAsia" w:hAnsiTheme="minorEastAsia"/>
          <w:color w:val="000000"/>
          <w:kern w:val="0"/>
          <w:sz w:val="32"/>
          <w:szCs w:val="32"/>
          <w:highlight w:val="none"/>
          <w:lang w:val="en-US" w:eastAsia="zh-CN" w:bidi="ar-SA"/>
        </w:rPr>
        <w:t>0</w:t>
      </w:r>
      <w:r>
        <w:rPr>
          <w:rFonts w:hint="eastAsia" w:cs="黑体" w:asciiTheme="minorEastAsia" w:hAnsiTheme="minorEastAsia"/>
          <w:color w:val="000000"/>
          <w:kern w:val="0"/>
          <w:sz w:val="32"/>
          <w:szCs w:val="32"/>
          <w:highlight w:val="none"/>
          <w:lang w:val="zh-CN" w:eastAsia="zh-CN" w:bidi="ar-SA"/>
        </w:rPr>
        <w:t>万元，增长</w:t>
      </w:r>
      <w:r>
        <w:rPr>
          <w:rFonts w:hint="eastAsia" w:cs="黑体" w:asciiTheme="minorEastAsia" w:hAnsiTheme="minorEastAsia"/>
          <w:color w:val="000000"/>
          <w:kern w:val="0"/>
          <w:sz w:val="32"/>
          <w:szCs w:val="32"/>
          <w:highlight w:val="none"/>
          <w:lang w:val="en-US" w:eastAsia="zh-CN" w:bidi="ar-SA"/>
        </w:rPr>
        <w:t>0</w:t>
      </w:r>
      <w:r>
        <w:rPr>
          <w:rFonts w:hint="eastAsia" w:cs="黑体" w:asciiTheme="minorEastAsia" w:hAnsiTheme="minorEastAsia"/>
          <w:color w:val="000000"/>
          <w:kern w:val="0"/>
          <w:sz w:val="32"/>
          <w:szCs w:val="32"/>
          <w:highlight w:val="none"/>
          <w:lang w:val="zh-CN" w:eastAsia="zh-CN" w:bidi="ar-SA"/>
        </w:rPr>
        <w:t>%，</w:t>
      </w:r>
      <w:r>
        <w:rPr>
          <w:rFonts w:hint="eastAsia" w:cs="黑体" w:asciiTheme="minorEastAsia" w:hAnsiTheme="minorEastAsia"/>
          <w:color w:val="000000"/>
          <w:kern w:val="0"/>
          <w:sz w:val="32"/>
          <w:szCs w:val="32"/>
          <w:highlight w:val="none"/>
          <w:lang w:val="en-US" w:eastAsia="zh-CN" w:bidi="ar-SA"/>
        </w:rPr>
        <w:t>无变化</w:t>
      </w:r>
      <w:r>
        <w:rPr>
          <w:rFonts w:hint="eastAsia" w:cs="黑体" w:asciiTheme="minorEastAsia" w:hAnsiTheme="minorEastAsia"/>
          <w:color w:val="000000"/>
          <w:kern w:val="0"/>
          <w:sz w:val="32"/>
          <w:szCs w:val="32"/>
          <w:highlight w:val="none"/>
          <w:lang w:val="zh-CN" w:eastAsia="zh-CN" w:bidi="ar-SA"/>
        </w:rPr>
        <w:t>的主要原因是</w:t>
      </w:r>
      <w:r>
        <w:rPr>
          <w:rFonts w:hint="eastAsia" w:cs="黑体" w:asciiTheme="minorEastAsia" w:hAnsiTheme="minorEastAsia"/>
          <w:color w:val="000000"/>
          <w:kern w:val="0"/>
          <w:sz w:val="32"/>
          <w:szCs w:val="32"/>
          <w:highlight w:val="none"/>
          <w:lang w:val="en-US" w:eastAsia="zh-CN" w:bidi="ar-SA"/>
        </w:rPr>
        <w:t>没有因公出国（境）</w:t>
      </w:r>
      <w:r>
        <w:rPr>
          <w:rFonts w:hint="eastAsia" w:cs="黑体" w:asciiTheme="minorEastAsia" w:hAnsiTheme="minorEastAsia" w:eastAsiaTheme="minorEastAsia"/>
          <w:color w:val="000000"/>
          <w:kern w:val="0"/>
          <w:sz w:val="32"/>
          <w:szCs w:val="32"/>
          <w:highlight w:val="none"/>
          <w:lang w:val="zh-CN" w:eastAsia="zh-CN" w:bidi="ar-SA"/>
        </w:rPr>
        <w:t>；</w:t>
      </w:r>
    </w:p>
    <w:p>
      <w:pPr>
        <w:keepNext w:val="0"/>
        <w:keepLines w:val="0"/>
        <w:pageBreakBefore w:val="0"/>
        <w:numPr>
          <w:ilvl w:val="0"/>
          <w:numId w:val="0"/>
        </w:numPr>
        <w:kinsoku/>
        <w:wordWrap/>
        <w:overflowPunct/>
        <w:topLinePunct w:val="0"/>
        <w:bidi w:val="0"/>
        <w:snapToGrid/>
        <w:spacing w:beforeLines="0" w:afterLines="0" w:line="600" w:lineRule="exact"/>
        <w:ind w:firstLine="640" w:firstLineChars="200"/>
        <w:jc w:val="left"/>
        <w:textAlignment w:val="auto"/>
        <w:rPr>
          <w:rFonts w:hint="eastAsia" w:cs="黑体" w:asciiTheme="minorEastAsia" w:hAnsiTheme="minorEastAsia" w:eastAsiaTheme="minorEastAsia"/>
          <w:color w:val="000000"/>
          <w:kern w:val="0"/>
          <w:sz w:val="32"/>
          <w:szCs w:val="32"/>
          <w:highlight w:val="none"/>
          <w:lang w:val="zh-CN" w:eastAsia="zh-CN" w:bidi="ar-SA"/>
        </w:rPr>
      </w:pPr>
      <w:r>
        <w:rPr>
          <w:rFonts w:hint="eastAsia" w:cs="黑体" w:asciiTheme="minorEastAsia" w:hAnsiTheme="minorEastAsia" w:eastAsiaTheme="minorEastAsia"/>
          <w:color w:val="000000"/>
          <w:kern w:val="0"/>
          <w:sz w:val="32"/>
          <w:szCs w:val="32"/>
          <w:highlight w:val="none"/>
          <w:lang w:val="zh-CN" w:eastAsia="zh-CN" w:bidi="ar-SA"/>
        </w:rPr>
        <w:t>公务用车购置费及运行维护费支出预算</w:t>
      </w:r>
      <w:r>
        <w:rPr>
          <w:rFonts w:hint="eastAsia" w:cs="黑体" w:asciiTheme="minorEastAsia" w:hAnsiTheme="minorEastAsia"/>
          <w:color w:val="000000"/>
          <w:kern w:val="0"/>
          <w:sz w:val="32"/>
          <w:szCs w:val="32"/>
          <w:highlight w:val="none"/>
          <w:lang w:val="zh-CN" w:eastAsia="zh-CN" w:bidi="ar-SA"/>
        </w:rPr>
        <w:t>为</w:t>
      </w:r>
      <w:r>
        <w:rPr>
          <w:rFonts w:hint="eastAsia" w:cs="黑体" w:asciiTheme="minorEastAsia" w:hAnsiTheme="minorEastAsia"/>
          <w:color w:val="000000"/>
          <w:kern w:val="0"/>
          <w:sz w:val="32"/>
          <w:szCs w:val="32"/>
          <w:highlight w:val="none"/>
          <w:lang w:val="en-US" w:eastAsia="zh-CN" w:bidi="ar-SA"/>
        </w:rPr>
        <w:t>0万元，支出</w:t>
      </w:r>
      <w:r>
        <w:rPr>
          <w:rFonts w:hint="eastAsia" w:cs="黑体" w:asciiTheme="minorEastAsia" w:hAnsiTheme="minorEastAsia" w:eastAsiaTheme="minorEastAsia"/>
          <w:color w:val="000000"/>
          <w:kern w:val="0"/>
          <w:sz w:val="32"/>
          <w:szCs w:val="32"/>
          <w:highlight w:val="none"/>
          <w:lang w:val="zh-CN" w:eastAsia="zh-CN" w:bidi="ar-SA"/>
        </w:rPr>
        <w:t>决算</w:t>
      </w:r>
      <w:r>
        <w:rPr>
          <w:rFonts w:hint="eastAsia" w:cs="黑体" w:asciiTheme="minorEastAsia" w:hAnsiTheme="minorEastAsia"/>
          <w:color w:val="000000"/>
          <w:kern w:val="0"/>
          <w:sz w:val="32"/>
          <w:szCs w:val="32"/>
          <w:highlight w:val="none"/>
          <w:lang w:val="zh-CN" w:eastAsia="zh-CN" w:bidi="ar-SA"/>
        </w:rPr>
        <w:t>为</w:t>
      </w:r>
      <w:r>
        <w:rPr>
          <w:rFonts w:hint="eastAsia" w:cs="黑体" w:asciiTheme="minorEastAsia" w:hAnsiTheme="minorEastAsia"/>
          <w:color w:val="000000"/>
          <w:kern w:val="0"/>
          <w:sz w:val="32"/>
          <w:szCs w:val="32"/>
          <w:highlight w:val="none"/>
          <w:lang w:val="en-US" w:eastAsia="zh-CN" w:bidi="ar-SA"/>
        </w:rPr>
        <w:t>0万元</w:t>
      </w:r>
      <w:r>
        <w:rPr>
          <w:rFonts w:hint="eastAsia" w:cs="黑体" w:asciiTheme="minorEastAsia" w:hAnsiTheme="minorEastAsia"/>
          <w:color w:val="000000"/>
          <w:kern w:val="0"/>
          <w:sz w:val="32"/>
          <w:szCs w:val="32"/>
          <w:highlight w:val="none"/>
          <w:lang w:val="zh-CN" w:eastAsia="zh-CN" w:bidi="ar-SA"/>
        </w:rPr>
        <w:t>，由于预算数为0，无法计算百分比，决算数</w:t>
      </w:r>
      <w:r>
        <w:rPr>
          <w:rFonts w:hint="eastAsia" w:cs="黑体" w:asciiTheme="minorEastAsia" w:hAnsiTheme="minorEastAsia"/>
          <w:color w:val="000000"/>
          <w:kern w:val="0"/>
          <w:sz w:val="32"/>
          <w:szCs w:val="32"/>
          <w:highlight w:val="none"/>
          <w:lang w:val="en-US" w:eastAsia="zh-CN" w:bidi="ar-SA"/>
        </w:rPr>
        <w:t>等于</w:t>
      </w:r>
      <w:r>
        <w:rPr>
          <w:rFonts w:hint="eastAsia" w:cs="黑体" w:asciiTheme="minorEastAsia" w:hAnsiTheme="minorEastAsia"/>
          <w:color w:val="000000"/>
          <w:kern w:val="0"/>
          <w:sz w:val="32"/>
          <w:szCs w:val="32"/>
          <w:highlight w:val="none"/>
          <w:lang w:val="zh-CN" w:eastAsia="zh-CN" w:bidi="ar-SA"/>
        </w:rPr>
        <w:t>年初预算数的主要原因是</w:t>
      </w:r>
      <w:r>
        <w:rPr>
          <w:rFonts w:hint="eastAsia" w:cs="黑体" w:asciiTheme="minorEastAsia" w:hAnsiTheme="minorEastAsia" w:eastAsiaTheme="minorEastAsia"/>
          <w:color w:val="000000"/>
          <w:kern w:val="0"/>
          <w:sz w:val="32"/>
          <w:szCs w:val="32"/>
          <w:highlight w:val="none"/>
          <w:lang w:val="zh-CN" w:eastAsia="zh-CN" w:bidi="ar-SA"/>
        </w:rPr>
        <w:t>无公务用车购置费及运行维护费支出</w:t>
      </w:r>
      <w:r>
        <w:rPr>
          <w:rFonts w:hint="eastAsia" w:cs="黑体" w:asciiTheme="minorEastAsia" w:hAnsiTheme="minorEastAsia"/>
          <w:color w:val="000000"/>
          <w:kern w:val="0"/>
          <w:sz w:val="32"/>
          <w:szCs w:val="32"/>
          <w:highlight w:val="none"/>
          <w:lang w:val="zh-CN" w:eastAsia="zh-CN" w:bidi="ar-SA"/>
        </w:rPr>
        <w:t>，与上年相比增加</w:t>
      </w:r>
      <w:r>
        <w:rPr>
          <w:rFonts w:hint="eastAsia" w:cs="黑体" w:asciiTheme="minorEastAsia" w:hAnsiTheme="minorEastAsia"/>
          <w:color w:val="000000"/>
          <w:kern w:val="0"/>
          <w:sz w:val="32"/>
          <w:szCs w:val="32"/>
          <w:highlight w:val="none"/>
          <w:lang w:val="en-US" w:eastAsia="zh-CN" w:bidi="ar-SA"/>
        </w:rPr>
        <w:t>0</w:t>
      </w:r>
      <w:r>
        <w:rPr>
          <w:rFonts w:hint="eastAsia" w:cs="黑体" w:asciiTheme="minorEastAsia" w:hAnsiTheme="minorEastAsia"/>
          <w:color w:val="000000"/>
          <w:kern w:val="0"/>
          <w:sz w:val="32"/>
          <w:szCs w:val="32"/>
          <w:highlight w:val="none"/>
          <w:lang w:val="zh-CN" w:eastAsia="zh-CN" w:bidi="ar-SA"/>
        </w:rPr>
        <w:t>万元，增长</w:t>
      </w:r>
      <w:r>
        <w:rPr>
          <w:rFonts w:hint="eastAsia" w:cs="黑体" w:asciiTheme="minorEastAsia" w:hAnsiTheme="minorEastAsia"/>
          <w:color w:val="000000"/>
          <w:kern w:val="0"/>
          <w:sz w:val="32"/>
          <w:szCs w:val="32"/>
          <w:highlight w:val="none"/>
          <w:lang w:val="en-US" w:eastAsia="zh-CN" w:bidi="ar-SA"/>
        </w:rPr>
        <w:t>0</w:t>
      </w:r>
      <w:r>
        <w:rPr>
          <w:rFonts w:hint="eastAsia" w:cs="黑体" w:asciiTheme="minorEastAsia" w:hAnsiTheme="minorEastAsia"/>
          <w:color w:val="000000"/>
          <w:kern w:val="0"/>
          <w:sz w:val="32"/>
          <w:szCs w:val="32"/>
          <w:highlight w:val="none"/>
          <w:lang w:val="zh-CN" w:eastAsia="zh-CN" w:bidi="ar-SA"/>
        </w:rPr>
        <w:t>%,</w:t>
      </w:r>
      <w:r>
        <w:rPr>
          <w:rFonts w:hint="eastAsia" w:cs="黑体" w:asciiTheme="minorEastAsia" w:hAnsiTheme="minorEastAsia"/>
          <w:color w:val="000000"/>
          <w:kern w:val="0"/>
          <w:sz w:val="32"/>
          <w:szCs w:val="32"/>
          <w:highlight w:val="none"/>
          <w:lang w:val="en-US" w:eastAsia="zh-CN" w:bidi="ar-SA"/>
        </w:rPr>
        <w:t>无变化</w:t>
      </w:r>
      <w:r>
        <w:rPr>
          <w:rFonts w:hint="eastAsia" w:cs="黑体" w:asciiTheme="minorEastAsia" w:hAnsiTheme="minorEastAsia"/>
          <w:color w:val="000000"/>
          <w:kern w:val="0"/>
          <w:sz w:val="32"/>
          <w:szCs w:val="32"/>
          <w:highlight w:val="none"/>
          <w:lang w:val="zh-CN" w:eastAsia="zh-CN" w:bidi="ar-SA"/>
        </w:rPr>
        <w:t>的主要原因是</w:t>
      </w:r>
      <w:r>
        <w:rPr>
          <w:rFonts w:hint="eastAsia" w:cs="黑体" w:asciiTheme="minorEastAsia" w:hAnsiTheme="minorEastAsia"/>
          <w:color w:val="000000"/>
          <w:kern w:val="0"/>
          <w:sz w:val="32"/>
          <w:szCs w:val="32"/>
          <w:highlight w:val="none"/>
          <w:lang w:val="en-US" w:eastAsia="zh-CN" w:bidi="ar-SA"/>
        </w:rPr>
        <w:t>无公务用车</w:t>
      </w:r>
      <w:r>
        <w:rPr>
          <w:rFonts w:hint="eastAsia" w:cs="黑体" w:asciiTheme="minorEastAsia" w:hAnsiTheme="minorEastAsia" w:eastAsiaTheme="minorEastAsia"/>
          <w:color w:val="000000"/>
          <w:kern w:val="0"/>
          <w:sz w:val="32"/>
          <w:szCs w:val="32"/>
          <w:highlight w:val="none"/>
          <w:lang w:val="zh-CN" w:eastAsia="zh-CN" w:bidi="ar-SA"/>
        </w:rPr>
        <w:t>；</w:t>
      </w:r>
    </w:p>
    <w:p>
      <w:pPr>
        <w:keepNext w:val="0"/>
        <w:keepLines w:val="0"/>
        <w:pageBreakBefore w:val="0"/>
        <w:numPr>
          <w:ilvl w:val="0"/>
          <w:numId w:val="0"/>
        </w:numPr>
        <w:kinsoku/>
        <w:wordWrap/>
        <w:overflowPunct/>
        <w:topLinePunct w:val="0"/>
        <w:bidi w:val="0"/>
        <w:snapToGrid/>
        <w:spacing w:beforeLines="0" w:afterLines="0" w:line="600" w:lineRule="exact"/>
        <w:ind w:firstLine="640" w:firstLineChars="200"/>
        <w:jc w:val="left"/>
        <w:textAlignment w:val="auto"/>
        <w:rPr>
          <w:rFonts w:asciiTheme="minorEastAsia" w:hAnsiTheme="minorEastAsia" w:eastAsiaTheme="minorEastAsia"/>
          <w:sz w:val="32"/>
          <w:szCs w:val="32"/>
          <w:highlight w:val="none"/>
        </w:rPr>
      </w:pPr>
      <w:r>
        <w:rPr>
          <w:rFonts w:hint="eastAsia" w:cs="黑体" w:asciiTheme="minorEastAsia" w:hAnsiTheme="minorEastAsia" w:eastAsiaTheme="minorEastAsia"/>
          <w:color w:val="000000"/>
          <w:kern w:val="0"/>
          <w:sz w:val="32"/>
          <w:szCs w:val="32"/>
          <w:highlight w:val="none"/>
          <w:lang w:val="zh-CN" w:eastAsia="zh-CN" w:bidi="ar-SA"/>
        </w:rPr>
        <w:t>公务接待费支出预算为</w:t>
      </w:r>
      <w:r>
        <w:rPr>
          <w:rFonts w:hint="eastAsia" w:cs="黑体" w:asciiTheme="minorEastAsia" w:hAnsiTheme="minorEastAsia" w:eastAsiaTheme="minorEastAsia"/>
          <w:color w:val="000000"/>
          <w:kern w:val="0"/>
          <w:sz w:val="32"/>
          <w:szCs w:val="32"/>
          <w:highlight w:val="none"/>
          <w:lang w:val="en-US" w:eastAsia="zh-CN" w:bidi="ar-SA"/>
        </w:rPr>
        <w:t>8.1</w:t>
      </w:r>
      <w:r>
        <w:rPr>
          <w:rFonts w:hint="eastAsia" w:cs="黑体" w:asciiTheme="minorEastAsia" w:hAnsiTheme="minorEastAsia" w:eastAsiaTheme="minorEastAsia"/>
          <w:color w:val="000000"/>
          <w:kern w:val="0"/>
          <w:sz w:val="32"/>
          <w:szCs w:val="32"/>
          <w:highlight w:val="none"/>
          <w:lang w:val="zh-CN" w:eastAsia="zh-CN" w:bidi="ar-SA"/>
        </w:rPr>
        <w:t>万元，支出决算为</w:t>
      </w:r>
      <w:r>
        <w:rPr>
          <w:rFonts w:hint="eastAsia" w:cs="黑体" w:asciiTheme="minorEastAsia" w:hAnsiTheme="minorEastAsia" w:eastAsiaTheme="minorEastAsia"/>
          <w:color w:val="000000"/>
          <w:kern w:val="0"/>
          <w:sz w:val="32"/>
          <w:szCs w:val="32"/>
          <w:highlight w:val="none"/>
          <w:lang w:val="en-US" w:eastAsia="zh-CN" w:bidi="ar-SA"/>
        </w:rPr>
        <w:t>6</w:t>
      </w:r>
      <w:r>
        <w:rPr>
          <w:rFonts w:hint="eastAsia" w:cs="黑体" w:asciiTheme="minorEastAsia" w:hAnsiTheme="minorEastAsia" w:eastAsiaTheme="minorEastAsia"/>
          <w:color w:val="000000"/>
          <w:kern w:val="0"/>
          <w:sz w:val="32"/>
          <w:szCs w:val="32"/>
          <w:highlight w:val="none"/>
          <w:lang w:val="zh-CN" w:eastAsia="zh-CN" w:bidi="ar-SA"/>
        </w:rPr>
        <w:t>万元</w:t>
      </w:r>
      <w:r>
        <w:rPr>
          <w:rFonts w:hint="eastAsia" w:cs="黑体" w:asciiTheme="minorEastAsia" w:hAnsiTheme="minorEastAsia"/>
          <w:color w:val="000000"/>
          <w:kern w:val="0"/>
          <w:sz w:val="32"/>
          <w:szCs w:val="32"/>
          <w:highlight w:val="none"/>
          <w:lang w:val="zh-CN" w:eastAsia="zh-CN" w:bidi="ar-SA"/>
        </w:rPr>
        <w:t>，</w:t>
      </w:r>
      <w:r>
        <w:rPr>
          <w:rFonts w:hint="eastAsia" w:cs="黑体" w:asciiTheme="minorEastAsia" w:hAnsiTheme="minorEastAsia" w:eastAsiaTheme="minorEastAsia"/>
          <w:color w:val="000000"/>
          <w:kern w:val="0"/>
          <w:sz w:val="32"/>
          <w:szCs w:val="32"/>
          <w:highlight w:val="none"/>
          <w:lang w:val="zh-CN" w:eastAsia="zh-CN" w:bidi="ar-SA"/>
        </w:rPr>
        <w:t>完成预算的</w:t>
      </w:r>
      <w:r>
        <w:rPr>
          <w:rFonts w:hint="eastAsia" w:cs="黑体" w:asciiTheme="minorEastAsia" w:hAnsiTheme="minorEastAsia" w:eastAsiaTheme="minorEastAsia"/>
          <w:color w:val="000000"/>
          <w:kern w:val="0"/>
          <w:sz w:val="32"/>
          <w:szCs w:val="32"/>
          <w:highlight w:val="none"/>
          <w:lang w:val="en-US" w:eastAsia="zh-CN" w:bidi="ar-SA"/>
        </w:rPr>
        <w:t>74.07</w:t>
      </w:r>
      <w:r>
        <w:rPr>
          <w:rFonts w:hint="eastAsia" w:cs="黑体" w:asciiTheme="minorEastAsia" w:hAnsiTheme="minorEastAsia" w:eastAsiaTheme="minorEastAsia"/>
          <w:color w:val="000000"/>
          <w:kern w:val="0"/>
          <w:sz w:val="32"/>
          <w:szCs w:val="32"/>
          <w:highlight w:val="none"/>
          <w:lang w:val="zh-CN" w:eastAsia="zh-CN" w:bidi="ar-SA"/>
        </w:rPr>
        <w:t>%</w:t>
      </w:r>
      <w:r>
        <w:rPr>
          <w:rFonts w:hint="eastAsia" w:cs="黑体" w:asciiTheme="minorEastAsia" w:hAnsiTheme="minorEastAsia"/>
          <w:color w:val="000000"/>
          <w:kern w:val="0"/>
          <w:sz w:val="32"/>
          <w:szCs w:val="32"/>
          <w:highlight w:val="none"/>
          <w:lang w:val="zh-CN" w:eastAsia="zh-CN" w:bidi="ar-SA"/>
        </w:rPr>
        <w:t>，</w:t>
      </w:r>
      <w:r>
        <w:rPr>
          <w:rFonts w:hint="eastAsia" w:cs="黑体" w:asciiTheme="minorEastAsia" w:hAnsiTheme="minorEastAsia" w:eastAsiaTheme="minorEastAsia"/>
          <w:color w:val="000000"/>
          <w:kern w:val="0"/>
          <w:sz w:val="32"/>
          <w:szCs w:val="32"/>
          <w:highlight w:val="none"/>
          <w:lang w:val="zh-CN" w:eastAsia="zh-CN" w:bidi="ar-SA"/>
        </w:rPr>
        <w:t>决算数小于预算数的主要原因是认真贯彻落实中央八项规定精神和厉行节约要求，从严控制“三公”经费开支，全年实际支出比预算有所节约。与上年相比减少</w:t>
      </w:r>
      <w:r>
        <w:rPr>
          <w:rFonts w:hint="eastAsia" w:cs="黑体" w:asciiTheme="minorEastAsia" w:hAnsiTheme="minorEastAsia" w:eastAsiaTheme="minorEastAsia"/>
          <w:color w:val="000000"/>
          <w:kern w:val="0"/>
          <w:sz w:val="32"/>
          <w:szCs w:val="32"/>
          <w:highlight w:val="none"/>
          <w:lang w:val="en-US" w:eastAsia="zh-CN" w:bidi="ar-SA"/>
        </w:rPr>
        <w:t>0.09万</w:t>
      </w:r>
      <w:r>
        <w:rPr>
          <w:rFonts w:hint="eastAsia" w:cs="黑体" w:asciiTheme="minorEastAsia" w:hAnsiTheme="minorEastAsia" w:eastAsiaTheme="minorEastAsia"/>
          <w:color w:val="000000"/>
          <w:kern w:val="0"/>
          <w:sz w:val="32"/>
          <w:szCs w:val="32"/>
          <w:highlight w:val="none"/>
          <w:lang w:val="zh-CN" w:eastAsia="zh-CN" w:bidi="ar-SA"/>
        </w:rPr>
        <w:t>元，减少</w:t>
      </w:r>
      <w:r>
        <w:rPr>
          <w:rFonts w:hint="eastAsia" w:cs="黑体" w:asciiTheme="minorEastAsia" w:hAnsiTheme="minorEastAsia" w:eastAsiaTheme="minorEastAsia"/>
          <w:color w:val="000000"/>
          <w:kern w:val="0"/>
          <w:sz w:val="32"/>
          <w:szCs w:val="32"/>
          <w:highlight w:val="none"/>
          <w:lang w:val="en-US" w:eastAsia="zh-CN" w:bidi="ar-SA"/>
        </w:rPr>
        <w:t>1.48</w:t>
      </w:r>
      <w:r>
        <w:rPr>
          <w:rFonts w:hint="eastAsia" w:cs="黑体" w:asciiTheme="minorEastAsia" w:hAnsiTheme="minorEastAsia" w:eastAsiaTheme="minorEastAsia"/>
          <w:color w:val="000000"/>
          <w:kern w:val="0"/>
          <w:sz w:val="32"/>
          <w:szCs w:val="32"/>
          <w:highlight w:val="none"/>
          <w:lang w:val="zh-CN" w:eastAsia="zh-CN" w:bidi="ar-SA"/>
        </w:rPr>
        <w:t>%</w:t>
      </w:r>
      <w:r>
        <w:rPr>
          <w:rFonts w:hint="eastAsia" w:cs="黑体" w:asciiTheme="minorEastAsia" w:hAnsiTheme="minorEastAsia"/>
          <w:color w:val="000000"/>
          <w:kern w:val="0"/>
          <w:sz w:val="32"/>
          <w:szCs w:val="32"/>
          <w:highlight w:val="none"/>
          <w:lang w:val="zh-CN" w:eastAsia="zh-CN" w:bidi="ar-SA"/>
        </w:rPr>
        <w:t>，</w:t>
      </w:r>
      <w:r>
        <w:rPr>
          <w:rFonts w:hint="eastAsia" w:cs="黑体" w:asciiTheme="minorEastAsia" w:hAnsiTheme="minorEastAsia" w:eastAsiaTheme="minorEastAsia"/>
          <w:color w:val="000000"/>
          <w:kern w:val="0"/>
          <w:sz w:val="32"/>
          <w:szCs w:val="32"/>
          <w:highlight w:val="none"/>
          <w:lang w:val="zh-CN" w:eastAsia="zh-CN" w:bidi="ar-SA"/>
        </w:rPr>
        <w:t>减少的主要原因是认真贯彻落实中央八项规定精神和厉行节约要求，严格控制公务接待开支。</w:t>
      </w:r>
    </w:p>
    <w:p>
      <w:pPr>
        <w:pStyle w:val="14"/>
        <w:keepNext w:val="0"/>
        <w:keepLines w:val="0"/>
        <w:pageBreakBefore w:val="0"/>
        <w:widowControl w:val="0"/>
        <w:numPr>
          <w:ilvl w:val="0"/>
          <w:numId w:val="2"/>
        </w:numPr>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“三公”经费财政拨款支出决算具体情况说明</w:t>
      </w:r>
    </w:p>
    <w:p>
      <w:pPr>
        <w:keepNext w:val="0"/>
        <w:keepLines w:val="0"/>
        <w:pageBreakBefore w:val="0"/>
        <w:numPr>
          <w:ilvl w:val="0"/>
          <w:numId w:val="0"/>
        </w:numPr>
        <w:kinsoku/>
        <w:wordWrap/>
        <w:overflowPunct/>
        <w:topLinePunct w:val="0"/>
        <w:bidi w:val="0"/>
        <w:snapToGrid/>
        <w:spacing w:beforeLines="0" w:afterLines="0" w:line="600" w:lineRule="exact"/>
        <w:ind w:firstLine="640" w:firstLineChars="200"/>
        <w:jc w:val="left"/>
        <w:textAlignment w:val="auto"/>
        <w:rPr>
          <w:rFonts w:hint="eastAsia" w:cs="黑体" w:asciiTheme="minorEastAsia" w:hAnsiTheme="minorEastAsia" w:eastAsiaTheme="minorEastAsia"/>
          <w:color w:val="000000"/>
          <w:kern w:val="0"/>
          <w:sz w:val="32"/>
          <w:szCs w:val="32"/>
          <w:highlight w:val="none"/>
          <w:lang w:val="zh-CN" w:eastAsia="zh-CN" w:bidi="ar-SA"/>
        </w:rPr>
      </w:pPr>
      <w:r>
        <w:rPr>
          <w:rFonts w:hint="eastAsia" w:cs="黑体" w:asciiTheme="minorEastAsia" w:hAnsiTheme="minorEastAsia" w:eastAsiaTheme="minorEastAsia"/>
          <w:color w:val="000000"/>
          <w:kern w:val="0"/>
          <w:sz w:val="32"/>
          <w:szCs w:val="32"/>
          <w:highlight w:val="none"/>
          <w:lang w:val="zh-CN" w:eastAsia="zh-CN" w:bidi="ar-SA"/>
        </w:rPr>
        <w:t>2021年度“三公”经费财政拨款支出决算中，公务接待费支出决算6万元，占100%</w:t>
      </w:r>
      <w:r>
        <w:rPr>
          <w:rFonts w:hint="eastAsia" w:cs="黑体" w:asciiTheme="minorEastAsia" w:hAnsiTheme="minorEastAsia"/>
          <w:color w:val="000000"/>
          <w:kern w:val="0"/>
          <w:sz w:val="32"/>
          <w:szCs w:val="32"/>
          <w:highlight w:val="none"/>
          <w:lang w:val="zh-CN" w:eastAsia="zh-CN" w:bidi="ar-SA"/>
        </w:rPr>
        <w:t>，</w:t>
      </w:r>
      <w:r>
        <w:rPr>
          <w:rFonts w:hint="eastAsia" w:cs="黑体" w:asciiTheme="minorEastAsia" w:hAnsiTheme="minorEastAsia" w:eastAsiaTheme="minorEastAsia"/>
          <w:color w:val="000000"/>
          <w:kern w:val="0"/>
          <w:sz w:val="32"/>
          <w:szCs w:val="32"/>
          <w:highlight w:val="none"/>
          <w:lang w:val="zh-CN" w:eastAsia="zh-CN" w:bidi="ar-SA"/>
        </w:rPr>
        <w:t>因公出国（境）费支出决算0万元，</w:t>
      </w:r>
      <w:r>
        <w:rPr>
          <w:rFonts w:hint="eastAsia" w:cs="黑体" w:asciiTheme="minorEastAsia" w:hAnsiTheme="minorEastAsia"/>
          <w:color w:val="000000"/>
          <w:kern w:val="0"/>
          <w:sz w:val="32"/>
          <w:szCs w:val="32"/>
          <w:highlight w:val="none"/>
          <w:lang w:val="zh-CN" w:eastAsia="zh-CN" w:bidi="ar-SA"/>
        </w:rPr>
        <w:t>占</w:t>
      </w:r>
      <w:r>
        <w:rPr>
          <w:rFonts w:hint="eastAsia" w:cs="黑体" w:asciiTheme="minorEastAsia" w:hAnsiTheme="minorEastAsia"/>
          <w:color w:val="000000"/>
          <w:kern w:val="0"/>
          <w:sz w:val="32"/>
          <w:szCs w:val="32"/>
          <w:highlight w:val="none"/>
          <w:lang w:val="en-US" w:eastAsia="zh-CN" w:bidi="ar-SA"/>
        </w:rPr>
        <w:t>0%，</w:t>
      </w:r>
      <w:r>
        <w:rPr>
          <w:rFonts w:hint="eastAsia" w:cs="黑体" w:asciiTheme="minorEastAsia" w:hAnsiTheme="minorEastAsia" w:eastAsiaTheme="minorEastAsia"/>
          <w:color w:val="000000"/>
          <w:kern w:val="0"/>
          <w:sz w:val="32"/>
          <w:szCs w:val="32"/>
          <w:highlight w:val="none"/>
          <w:lang w:val="zh-CN" w:eastAsia="zh-CN" w:bidi="ar-SA"/>
        </w:rPr>
        <w:t>公务用车购置费及运行维护费支出决算0万元，</w:t>
      </w:r>
      <w:r>
        <w:rPr>
          <w:rFonts w:hint="eastAsia" w:cs="黑体" w:asciiTheme="minorEastAsia" w:hAnsiTheme="minorEastAsia"/>
          <w:color w:val="000000"/>
          <w:kern w:val="0"/>
          <w:sz w:val="32"/>
          <w:szCs w:val="32"/>
          <w:highlight w:val="none"/>
          <w:lang w:val="zh-CN" w:eastAsia="zh-CN" w:bidi="ar-SA"/>
        </w:rPr>
        <w:t>占</w:t>
      </w:r>
      <w:r>
        <w:rPr>
          <w:rFonts w:hint="eastAsia" w:cs="黑体" w:asciiTheme="minorEastAsia" w:hAnsiTheme="minorEastAsia"/>
          <w:color w:val="000000"/>
          <w:kern w:val="0"/>
          <w:sz w:val="32"/>
          <w:szCs w:val="32"/>
          <w:highlight w:val="none"/>
          <w:lang w:val="en-US" w:eastAsia="zh-CN" w:bidi="ar-SA"/>
        </w:rPr>
        <w:t>0%</w:t>
      </w:r>
      <w:r>
        <w:rPr>
          <w:rFonts w:hint="eastAsia" w:cs="黑体" w:asciiTheme="minorEastAsia" w:hAnsiTheme="minorEastAsia" w:eastAsiaTheme="minorEastAsia"/>
          <w:color w:val="000000"/>
          <w:kern w:val="0"/>
          <w:sz w:val="32"/>
          <w:szCs w:val="32"/>
          <w:highlight w:val="none"/>
          <w:lang w:val="zh-CN" w:eastAsia="zh-CN" w:bidi="ar-SA"/>
        </w:rPr>
        <w:t>。其中：</w:t>
      </w:r>
    </w:p>
    <w:p>
      <w:pPr>
        <w:pStyle w:val="14"/>
        <w:keepNext w:val="0"/>
        <w:keepLines w:val="0"/>
        <w:pageBreakBefore w:val="0"/>
        <w:kinsoku/>
        <w:wordWrap/>
        <w:overflowPunct/>
        <w:topLinePunct w:val="0"/>
        <w:bidi w:val="0"/>
        <w:snapToGrid/>
        <w:ind w:firstLine="640" w:firstLineChars="200"/>
        <w:textAlignment w:val="auto"/>
        <w:rPr>
          <w:rFonts w:hint="eastAsia" w:asciiTheme="minorEastAsia" w:hAnsiTheme="minorEastAsia" w:eastAsiaTheme="minorEastAsia"/>
          <w:b/>
          <w:sz w:val="32"/>
          <w:szCs w:val="32"/>
          <w:highlight w:val="none"/>
          <w:lang w:eastAsia="zh-CN"/>
        </w:rPr>
      </w:pPr>
      <w:r>
        <w:rPr>
          <w:rFonts w:hint="eastAsia" w:asciiTheme="minorEastAsia" w:hAnsiTheme="minorEastAsia" w:eastAsiaTheme="minorEastAsia"/>
          <w:sz w:val="32"/>
          <w:szCs w:val="32"/>
          <w:highlight w:val="none"/>
        </w:rPr>
        <w:t>1、因公出国（境）费支出决算为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万元，全年安排因公出国（境）团组</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个，累计</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人次</w:t>
      </w:r>
      <w:r>
        <w:rPr>
          <w:rFonts w:hint="eastAsia" w:asciiTheme="minorEastAsia" w:hAnsiTheme="minorEastAsia" w:eastAsiaTheme="minorEastAsia"/>
          <w:sz w:val="32"/>
          <w:szCs w:val="32"/>
          <w:highlight w:val="none"/>
          <w:lang w:eastAsia="zh-CN"/>
        </w:rPr>
        <w:t>。</w:t>
      </w:r>
    </w:p>
    <w:p>
      <w:pPr>
        <w:pStyle w:val="14"/>
        <w:keepNext w:val="0"/>
        <w:keepLines w:val="0"/>
        <w:pageBreakBefore w:val="0"/>
        <w:kinsoku/>
        <w:wordWrap/>
        <w:overflowPunct/>
        <w:topLinePunct w:val="0"/>
        <w:bidi w:val="0"/>
        <w:snapToGrid/>
        <w:ind w:firstLine="640" w:firstLineChars="200"/>
        <w:textAlignment w:val="auto"/>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2、公务接待费支出决算为</w:t>
      </w:r>
      <w:r>
        <w:rPr>
          <w:rFonts w:hint="eastAsia" w:asciiTheme="minorEastAsia" w:hAnsiTheme="minorEastAsia" w:eastAsiaTheme="minorEastAsia"/>
          <w:sz w:val="32"/>
          <w:szCs w:val="32"/>
          <w:highlight w:val="none"/>
          <w:lang w:val="en-US" w:eastAsia="zh-CN"/>
        </w:rPr>
        <w:t>6</w:t>
      </w:r>
      <w:r>
        <w:rPr>
          <w:rFonts w:hint="eastAsia" w:asciiTheme="minorEastAsia" w:hAnsiTheme="minorEastAsia" w:eastAsiaTheme="minorEastAsia"/>
          <w:sz w:val="32"/>
          <w:szCs w:val="32"/>
          <w:highlight w:val="none"/>
        </w:rPr>
        <w:t>万元，全年共接待来访团组</w:t>
      </w:r>
      <w:r>
        <w:rPr>
          <w:rFonts w:hint="eastAsia" w:asciiTheme="minorEastAsia" w:hAnsiTheme="minorEastAsia" w:eastAsiaTheme="minorEastAsia"/>
          <w:sz w:val="32"/>
          <w:szCs w:val="32"/>
          <w:highlight w:val="none"/>
          <w:lang w:val="en-US" w:eastAsia="zh-CN"/>
        </w:rPr>
        <w:t>36</w:t>
      </w:r>
      <w:r>
        <w:rPr>
          <w:rFonts w:hint="eastAsia" w:asciiTheme="minorEastAsia" w:hAnsiTheme="minorEastAsia" w:eastAsiaTheme="minorEastAsia"/>
          <w:sz w:val="32"/>
          <w:szCs w:val="32"/>
          <w:highlight w:val="none"/>
        </w:rPr>
        <w:t>个、来宾</w:t>
      </w:r>
      <w:r>
        <w:rPr>
          <w:rFonts w:hint="eastAsia" w:asciiTheme="minorEastAsia" w:hAnsiTheme="minorEastAsia" w:eastAsiaTheme="minorEastAsia"/>
          <w:sz w:val="32"/>
          <w:szCs w:val="32"/>
          <w:highlight w:val="none"/>
          <w:lang w:val="en-US" w:eastAsia="zh-CN"/>
        </w:rPr>
        <w:t>312</w:t>
      </w:r>
      <w:r>
        <w:rPr>
          <w:rFonts w:hint="eastAsia" w:asciiTheme="minorEastAsia" w:hAnsiTheme="minorEastAsia" w:eastAsiaTheme="minorEastAsia"/>
          <w:sz w:val="32"/>
          <w:szCs w:val="32"/>
          <w:highlight w:val="none"/>
        </w:rPr>
        <w:t>人次，主要是</w:t>
      </w:r>
      <w:r>
        <w:rPr>
          <w:rFonts w:hint="eastAsia" w:asciiTheme="minorEastAsia" w:hAnsiTheme="minorEastAsia" w:eastAsiaTheme="minorEastAsia"/>
          <w:sz w:val="32"/>
          <w:szCs w:val="32"/>
          <w:highlight w:val="none"/>
          <w:lang w:val="zh-CN"/>
        </w:rPr>
        <w:t>用于与有关单位交流工作情况及接受相关部门检查指导工作发生的接待支出。</w:t>
      </w:r>
    </w:p>
    <w:p>
      <w:pPr>
        <w:keepNext w:val="0"/>
        <w:keepLines w:val="0"/>
        <w:pageBreakBefore w:val="0"/>
        <w:kinsoku/>
        <w:wordWrap/>
        <w:overflowPunct/>
        <w:topLinePunct w:val="0"/>
        <w:bidi w:val="0"/>
        <w:snapToGrid/>
        <w:ind w:firstLine="640" w:firstLineChars="200"/>
        <w:textAlignment w:val="auto"/>
        <w:rPr>
          <w:rFonts w:cs="黑体" w:asciiTheme="minorEastAsia" w:hAnsiTheme="minorEastAsia"/>
          <w:color w:val="000000"/>
          <w:kern w:val="0"/>
          <w:sz w:val="32"/>
          <w:szCs w:val="32"/>
          <w:highlight w:val="none"/>
        </w:rPr>
      </w:pPr>
      <w:r>
        <w:rPr>
          <w:rFonts w:hint="eastAsia" w:asciiTheme="minorEastAsia" w:hAnsiTheme="minorEastAsia"/>
          <w:sz w:val="32"/>
          <w:szCs w:val="32"/>
          <w:highlight w:val="none"/>
        </w:rPr>
        <w:t>3、公务用车购置费及运行维护费支出决算为</w:t>
      </w:r>
      <w:r>
        <w:rPr>
          <w:rFonts w:hint="eastAsia" w:asciiTheme="minorEastAsia" w:hAnsiTheme="minorEastAsia"/>
          <w:sz w:val="32"/>
          <w:szCs w:val="32"/>
          <w:highlight w:val="none"/>
          <w:lang w:val="en-US" w:eastAsia="zh-CN"/>
        </w:rPr>
        <w:t>0</w:t>
      </w:r>
      <w:r>
        <w:rPr>
          <w:rFonts w:hint="eastAsia" w:asciiTheme="minorEastAsia" w:hAnsiTheme="minorEastAsia"/>
          <w:sz w:val="32"/>
          <w:szCs w:val="32"/>
          <w:highlight w:val="none"/>
        </w:rPr>
        <w:t>万元，其中：公务用车购置费</w:t>
      </w:r>
      <w:r>
        <w:rPr>
          <w:rFonts w:hint="eastAsia" w:asciiTheme="minorEastAsia" w:hAnsiTheme="minorEastAsia"/>
          <w:sz w:val="32"/>
          <w:szCs w:val="32"/>
          <w:highlight w:val="none"/>
          <w:lang w:val="en-US" w:eastAsia="zh-CN"/>
        </w:rPr>
        <w:t>0</w:t>
      </w:r>
      <w:r>
        <w:rPr>
          <w:rFonts w:hint="eastAsia" w:asciiTheme="minorEastAsia" w:hAnsiTheme="minorEastAsia"/>
          <w:sz w:val="32"/>
          <w:szCs w:val="32"/>
          <w:highlight w:val="none"/>
        </w:rPr>
        <w:t>万元</w:t>
      </w:r>
      <w:r>
        <w:rPr>
          <w:rFonts w:hint="eastAsia" w:asciiTheme="minorEastAsia" w:hAnsiTheme="minorEastAsia"/>
          <w:sz w:val="32"/>
          <w:szCs w:val="32"/>
          <w:highlight w:val="none"/>
          <w:lang w:eastAsia="zh-CN"/>
        </w:rPr>
        <w:t>，更新公务用车</w:t>
      </w:r>
      <w:r>
        <w:rPr>
          <w:rFonts w:hint="eastAsia" w:asciiTheme="minorEastAsia" w:hAnsiTheme="minorEastAsia"/>
          <w:sz w:val="32"/>
          <w:szCs w:val="32"/>
          <w:highlight w:val="none"/>
          <w:lang w:val="en-US" w:eastAsia="zh-CN"/>
        </w:rPr>
        <w:t>0</w:t>
      </w:r>
      <w:r>
        <w:rPr>
          <w:rFonts w:hint="eastAsia" w:asciiTheme="minorEastAsia" w:hAnsiTheme="minorEastAsia"/>
          <w:sz w:val="32"/>
          <w:szCs w:val="32"/>
          <w:highlight w:val="none"/>
          <w:lang w:eastAsia="zh-CN"/>
        </w:rPr>
        <w:t>辆。</w:t>
      </w:r>
      <w:r>
        <w:rPr>
          <w:rFonts w:hint="eastAsia" w:asciiTheme="minorEastAsia" w:hAnsiTheme="minorEastAsia"/>
          <w:sz w:val="32"/>
          <w:szCs w:val="32"/>
          <w:highlight w:val="none"/>
        </w:rPr>
        <w:t>公务用车运行维护费</w:t>
      </w:r>
      <w:r>
        <w:rPr>
          <w:rFonts w:hint="eastAsia" w:asciiTheme="minorEastAsia" w:hAnsiTheme="minorEastAsia"/>
          <w:sz w:val="32"/>
          <w:szCs w:val="32"/>
          <w:highlight w:val="none"/>
          <w:lang w:val="en-US" w:eastAsia="zh-CN"/>
        </w:rPr>
        <w:t>0</w:t>
      </w:r>
      <w:r>
        <w:rPr>
          <w:rFonts w:hint="eastAsia" w:asciiTheme="minorEastAsia" w:hAnsiTheme="minorEastAsia"/>
          <w:sz w:val="32"/>
          <w:szCs w:val="32"/>
          <w:highlight w:val="none"/>
        </w:rPr>
        <w:t>万元，截止2021年12月31日，我单位开支财政拨款的公务用车保有量为</w:t>
      </w:r>
      <w:r>
        <w:rPr>
          <w:rFonts w:hint="eastAsia" w:asciiTheme="minorEastAsia" w:hAnsiTheme="minorEastAsia"/>
          <w:sz w:val="32"/>
          <w:szCs w:val="32"/>
          <w:highlight w:val="none"/>
          <w:lang w:val="en-US" w:eastAsia="zh-CN"/>
        </w:rPr>
        <w:t>0</w:t>
      </w:r>
      <w:r>
        <w:rPr>
          <w:rFonts w:hint="eastAsia" w:asciiTheme="minorEastAsia" w:hAnsiTheme="minorEastAsia"/>
          <w:sz w:val="32"/>
          <w:szCs w:val="32"/>
          <w:highlight w:val="none"/>
        </w:rPr>
        <w:t>辆。</w:t>
      </w:r>
    </w:p>
    <w:p>
      <w:pPr>
        <w:pStyle w:val="14"/>
        <w:keepNext w:val="0"/>
        <w:keepLines w:val="0"/>
        <w:pageBreakBefore w:val="0"/>
        <w:kinsoku/>
        <w:wordWrap/>
        <w:overflowPunct/>
        <w:topLinePunct w:val="0"/>
        <w:bidi w:val="0"/>
        <w:snapToGrid/>
        <w:ind w:firstLine="640" w:firstLineChars="200"/>
        <w:textAlignment w:val="auto"/>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八、政府性基金预算收入支出决算情况</w:t>
      </w:r>
    </w:p>
    <w:p>
      <w:pPr>
        <w:pStyle w:val="14"/>
        <w:keepNext w:val="0"/>
        <w:keepLines w:val="0"/>
        <w:pageBreakBefore w:val="0"/>
        <w:kinsoku/>
        <w:wordWrap/>
        <w:overflowPunct/>
        <w:topLinePunct w:val="0"/>
        <w:bidi w:val="0"/>
        <w:snapToGrid/>
        <w:ind w:firstLine="640" w:firstLineChars="200"/>
        <w:textAlignment w:val="auto"/>
        <w:rPr>
          <w:rFonts w:hint="eastAsia" w:asciiTheme="minorEastAsia" w:hAnsiTheme="minorEastAsia" w:eastAsiaTheme="minorEastAsia" w:cstheme="minorBidi"/>
          <w:color w:val="auto"/>
          <w:kern w:val="2"/>
          <w:sz w:val="32"/>
          <w:szCs w:val="32"/>
          <w:highlight w:val="none"/>
          <w:lang w:val="en-US" w:eastAsia="zh-CN" w:bidi="ar-SA"/>
        </w:rPr>
      </w:pPr>
      <w:r>
        <w:rPr>
          <w:rFonts w:hint="eastAsia" w:asciiTheme="minorEastAsia" w:hAnsiTheme="minorEastAsia" w:eastAsiaTheme="minorEastAsia" w:cstheme="minorBidi"/>
          <w:color w:val="auto"/>
          <w:kern w:val="2"/>
          <w:sz w:val="32"/>
          <w:szCs w:val="32"/>
          <w:highlight w:val="none"/>
          <w:lang w:val="en-US" w:eastAsia="zh-CN" w:bidi="ar-SA"/>
        </w:rPr>
        <w:t>2021年度本单位无政府性基金收支。</w:t>
      </w:r>
    </w:p>
    <w:p>
      <w:pPr>
        <w:pStyle w:val="14"/>
        <w:keepNext w:val="0"/>
        <w:keepLines w:val="0"/>
        <w:pageBreakBefore w:val="0"/>
        <w:kinsoku/>
        <w:wordWrap/>
        <w:overflowPunct/>
        <w:topLinePunct w:val="0"/>
        <w:bidi w:val="0"/>
        <w:snapToGrid/>
        <w:ind w:firstLine="640" w:firstLineChars="200"/>
        <w:textAlignment w:val="auto"/>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九、机关运行经费支出说明</w:t>
      </w:r>
    </w:p>
    <w:p>
      <w:pPr>
        <w:pStyle w:val="14"/>
        <w:keepNext w:val="0"/>
        <w:keepLines w:val="0"/>
        <w:pageBreakBefore w:val="0"/>
        <w:kinsoku/>
        <w:wordWrap/>
        <w:overflowPunct/>
        <w:topLinePunct w:val="0"/>
        <w:bidi w:val="0"/>
        <w:snapToGrid/>
        <w:ind w:firstLine="640" w:firstLineChars="200"/>
        <w:textAlignment w:val="auto"/>
        <w:rPr>
          <w:rFonts w:hint="default"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rPr>
        <w:t>本部门2021年度机关运行经费支出</w:t>
      </w:r>
      <w:r>
        <w:rPr>
          <w:rFonts w:hint="eastAsia" w:asciiTheme="minorEastAsia" w:hAnsiTheme="minorEastAsia" w:eastAsiaTheme="minorEastAsia"/>
          <w:sz w:val="32"/>
          <w:szCs w:val="32"/>
          <w:highlight w:val="none"/>
          <w:lang w:val="en-US" w:eastAsia="zh-CN"/>
        </w:rPr>
        <w:t>236.82</w:t>
      </w:r>
      <w:r>
        <w:rPr>
          <w:rFonts w:hint="eastAsia" w:asciiTheme="minorEastAsia" w:hAnsiTheme="minorEastAsia" w:eastAsiaTheme="minorEastAsia"/>
          <w:sz w:val="32"/>
          <w:szCs w:val="32"/>
          <w:highlight w:val="none"/>
        </w:rPr>
        <w:t>万元，比</w:t>
      </w:r>
      <w:r>
        <w:rPr>
          <w:rFonts w:hint="eastAsia" w:asciiTheme="minorEastAsia" w:hAnsiTheme="minorEastAsia" w:eastAsiaTheme="minorEastAsia"/>
          <w:sz w:val="32"/>
          <w:szCs w:val="32"/>
          <w:highlight w:val="none"/>
          <w:lang w:eastAsia="zh-CN"/>
        </w:rPr>
        <w:t>上年决算数</w:t>
      </w:r>
      <w:r>
        <w:rPr>
          <w:rFonts w:hint="eastAsia" w:asciiTheme="minorEastAsia" w:hAnsiTheme="minorEastAsia" w:eastAsiaTheme="minorEastAsia"/>
          <w:sz w:val="32"/>
          <w:szCs w:val="32"/>
          <w:highlight w:val="none"/>
        </w:rPr>
        <w:t>增加</w:t>
      </w:r>
      <w:r>
        <w:rPr>
          <w:rFonts w:hint="eastAsia" w:asciiTheme="minorEastAsia" w:hAnsiTheme="minorEastAsia" w:eastAsiaTheme="minorEastAsia"/>
          <w:sz w:val="32"/>
          <w:szCs w:val="32"/>
          <w:highlight w:val="none"/>
          <w:lang w:val="en-US" w:eastAsia="zh-CN"/>
        </w:rPr>
        <w:t>141.87</w:t>
      </w:r>
      <w:r>
        <w:rPr>
          <w:rFonts w:hint="eastAsia" w:asciiTheme="minorEastAsia" w:hAnsiTheme="minorEastAsia" w:eastAsiaTheme="minorEastAsia"/>
          <w:sz w:val="32"/>
          <w:szCs w:val="32"/>
          <w:highlight w:val="none"/>
        </w:rPr>
        <w:t>万元，增长</w:t>
      </w:r>
      <w:r>
        <w:rPr>
          <w:rFonts w:hint="eastAsia" w:asciiTheme="minorEastAsia" w:hAnsiTheme="minorEastAsia" w:eastAsiaTheme="minorEastAsia"/>
          <w:sz w:val="32"/>
          <w:szCs w:val="32"/>
          <w:highlight w:val="none"/>
          <w:lang w:val="en-US" w:eastAsia="zh-CN"/>
        </w:rPr>
        <w:t>149.42%</w:t>
      </w:r>
      <w:r>
        <w:rPr>
          <w:rFonts w:hint="eastAsia" w:asciiTheme="minorEastAsia" w:hAnsiTheme="minorEastAsia" w:eastAsiaTheme="minorEastAsia"/>
          <w:sz w:val="32"/>
          <w:szCs w:val="32"/>
          <w:highlight w:val="none"/>
        </w:rPr>
        <w:t>。主要原因是</w:t>
      </w:r>
      <w:r>
        <w:rPr>
          <w:rFonts w:hint="eastAsia" w:asciiTheme="minorEastAsia" w:hAnsiTheme="minorEastAsia" w:eastAsiaTheme="minorEastAsia"/>
          <w:sz w:val="32"/>
          <w:szCs w:val="32"/>
          <w:highlight w:val="none"/>
          <w:lang w:eastAsia="zh-CN"/>
        </w:rPr>
        <w:t>政法队伍教育整顿、全国市域社会治理现代化试点工作、扫黑除恶工作常态化增加了相关经费。比年初预算数增加</w:t>
      </w:r>
      <w:r>
        <w:rPr>
          <w:rFonts w:hint="eastAsia" w:asciiTheme="minorEastAsia" w:hAnsiTheme="minorEastAsia" w:eastAsiaTheme="minorEastAsia"/>
          <w:sz w:val="32"/>
          <w:szCs w:val="32"/>
          <w:highlight w:val="none"/>
          <w:lang w:val="en-US" w:eastAsia="zh-CN"/>
        </w:rPr>
        <w:t>202.67万元，增长593.47%。主要原因是增加了</w:t>
      </w:r>
      <w:r>
        <w:rPr>
          <w:rFonts w:hint="eastAsia" w:asciiTheme="minorEastAsia" w:hAnsiTheme="minorEastAsia" w:eastAsiaTheme="minorEastAsia"/>
          <w:sz w:val="32"/>
          <w:szCs w:val="32"/>
          <w:highlight w:val="none"/>
          <w:lang w:eastAsia="zh-CN"/>
        </w:rPr>
        <w:t>政法队伍教育整顿、全国市域社会治理现代化试点工作、扫黑除恶工作常态化工作经费。</w:t>
      </w:r>
    </w:p>
    <w:p>
      <w:pPr>
        <w:pStyle w:val="14"/>
        <w:keepNext w:val="0"/>
        <w:keepLines w:val="0"/>
        <w:pageBreakBefore w:val="0"/>
        <w:kinsoku/>
        <w:wordWrap/>
        <w:overflowPunct/>
        <w:topLinePunct w:val="0"/>
        <w:bidi w:val="0"/>
        <w:snapToGrid/>
        <w:ind w:firstLine="640" w:firstLineChars="200"/>
        <w:textAlignment w:val="auto"/>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十、一般性支出情况说明</w:t>
      </w:r>
    </w:p>
    <w:p>
      <w:pPr>
        <w:keepNext w:val="0"/>
        <w:keepLines w:val="0"/>
        <w:pageBreakBefore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2021年</w:t>
      </w:r>
      <w:r>
        <w:rPr>
          <w:rFonts w:hint="eastAsia" w:asciiTheme="minorEastAsia" w:hAnsiTheme="minorEastAsia"/>
          <w:sz w:val="32"/>
          <w:szCs w:val="32"/>
          <w:highlight w:val="none"/>
          <w:lang w:eastAsia="zh-CN"/>
        </w:rPr>
        <w:t>度</w:t>
      </w:r>
      <w:r>
        <w:rPr>
          <w:rFonts w:hint="eastAsia" w:asciiTheme="minorEastAsia" w:hAnsiTheme="minorEastAsia" w:eastAsiaTheme="minorEastAsia"/>
          <w:sz w:val="32"/>
          <w:szCs w:val="32"/>
          <w:highlight w:val="none"/>
        </w:rPr>
        <w:t>本部门开支会议费</w:t>
      </w:r>
      <w:r>
        <w:rPr>
          <w:rFonts w:hint="eastAsia" w:asciiTheme="minorEastAsia" w:hAnsiTheme="minorEastAsia" w:eastAsiaTheme="minorEastAsia"/>
          <w:sz w:val="32"/>
          <w:szCs w:val="32"/>
          <w:highlight w:val="none"/>
          <w:lang w:val="en-US" w:eastAsia="zh-CN"/>
        </w:rPr>
        <w:t>3.1</w:t>
      </w:r>
      <w:r>
        <w:rPr>
          <w:rFonts w:hint="eastAsia" w:asciiTheme="minorEastAsia" w:hAnsiTheme="minorEastAsia" w:eastAsiaTheme="minorEastAsia"/>
          <w:sz w:val="32"/>
          <w:szCs w:val="32"/>
          <w:highlight w:val="none"/>
        </w:rPr>
        <w:t>万元，用于召开全国市域社会治理现代化</w:t>
      </w:r>
      <w:r>
        <w:rPr>
          <w:rFonts w:hint="eastAsia" w:asciiTheme="minorEastAsia" w:hAnsiTheme="minorEastAsia"/>
          <w:sz w:val="32"/>
          <w:szCs w:val="32"/>
          <w:highlight w:val="none"/>
          <w:lang w:eastAsia="zh-CN"/>
        </w:rPr>
        <w:t>试点工作</w:t>
      </w:r>
      <w:r>
        <w:rPr>
          <w:rFonts w:hint="eastAsia" w:asciiTheme="minorEastAsia" w:hAnsiTheme="minorEastAsia" w:eastAsiaTheme="minorEastAsia"/>
          <w:sz w:val="32"/>
          <w:szCs w:val="32"/>
          <w:highlight w:val="none"/>
        </w:rPr>
        <w:t>、政法队伍教育整顿、扫黑除恶、平安建设、综治民调会议，人数</w:t>
      </w:r>
      <w:r>
        <w:rPr>
          <w:rFonts w:hint="eastAsia" w:asciiTheme="minorEastAsia" w:hAnsiTheme="minorEastAsia" w:eastAsiaTheme="minorEastAsia"/>
          <w:sz w:val="32"/>
          <w:szCs w:val="32"/>
          <w:highlight w:val="none"/>
          <w:lang w:val="en-US" w:eastAsia="zh-CN"/>
        </w:rPr>
        <w:t>282</w:t>
      </w:r>
      <w:r>
        <w:rPr>
          <w:rFonts w:hint="eastAsia" w:asciiTheme="minorEastAsia" w:hAnsiTheme="minorEastAsia" w:eastAsiaTheme="minorEastAsia"/>
          <w:sz w:val="32"/>
          <w:szCs w:val="32"/>
          <w:highlight w:val="none"/>
        </w:rPr>
        <w:t>人，内容为全国市域社会治理现代化</w:t>
      </w:r>
      <w:r>
        <w:rPr>
          <w:rFonts w:hint="eastAsia" w:asciiTheme="minorEastAsia" w:hAnsiTheme="minorEastAsia"/>
          <w:sz w:val="32"/>
          <w:szCs w:val="32"/>
          <w:highlight w:val="none"/>
          <w:lang w:eastAsia="zh-CN"/>
        </w:rPr>
        <w:t>试点工作</w:t>
      </w:r>
      <w:r>
        <w:rPr>
          <w:rFonts w:hint="eastAsia" w:asciiTheme="minorEastAsia" w:hAnsiTheme="minorEastAsia" w:eastAsiaTheme="minorEastAsia"/>
          <w:sz w:val="32"/>
          <w:szCs w:val="32"/>
          <w:highlight w:val="none"/>
        </w:rPr>
        <w:t>、扫黑除恶、平安建设、综治民调工作等；开支培训费</w:t>
      </w:r>
      <w:r>
        <w:rPr>
          <w:rFonts w:hint="eastAsia" w:asciiTheme="minorEastAsia" w:hAnsiTheme="minorEastAsia" w:eastAsiaTheme="minorEastAsia"/>
          <w:sz w:val="32"/>
          <w:szCs w:val="32"/>
          <w:highlight w:val="none"/>
          <w:lang w:val="en-US" w:eastAsia="zh-CN"/>
        </w:rPr>
        <w:t>1</w:t>
      </w:r>
      <w:r>
        <w:rPr>
          <w:rFonts w:hint="eastAsia" w:asciiTheme="minorEastAsia" w:hAnsiTheme="minorEastAsia" w:eastAsiaTheme="minorEastAsia"/>
          <w:sz w:val="32"/>
          <w:szCs w:val="32"/>
          <w:highlight w:val="none"/>
        </w:rPr>
        <w:t>万元，用于开展平安创建、网格化管理及政法队伍教育整顿工作培训，人数93人，内容为全国市域社会治理</w:t>
      </w:r>
      <w:r>
        <w:rPr>
          <w:rFonts w:hint="eastAsia" w:asciiTheme="minorEastAsia" w:hAnsiTheme="minorEastAsia"/>
          <w:sz w:val="32"/>
          <w:szCs w:val="32"/>
          <w:highlight w:val="none"/>
          <w:lang w:eastAsia="zh-CN"/>
        </w:rPr>
        <w:t>现代化试点工作</w:t>
      </w:r>
      <w:r>
        <w:rPr>
          <w:rFonts w:hint="eastAsia" w:asciiTheme="minorEastAsia" w:hAnsiTheme="minorEastAsia" w:eastAsiaTheme="minorEastAsia"/>
          <w:sz w:val="32"/>
          <w:szCs w:val="32"/>
          <w:highlight w:val="none"/>
        </w:rPr>
        <w:t>、网格化管理、政法队伍教育整顿工作及本单位人员外出参与培训学习。</w:t>
      </w:r>
      <w:r>
        <w:rPr>
          <w:rFonts w:hint="eastAsia" w:asciiTheme="minorEastAsia" w:hAnsiTheme="minorEastAsia" w:eastAsiaTheme="minorEastAsia"/>
          <w:sz w:val="32"/>
          <w:szCs w:val="32"/>
          <w:highlight w:val="none"/>
          <w:lang w:val="en-US" w:eastAsia="zh-CN"/>
        </w:rPr>
        <w:t>其中：创建全国市域社区治理工作培训预算情况：餐费0.2万元，资料费0.1万元</w:t>
      </w:r>
      <w:r>
        <w:rPr>
          <w:rFonts w:hint="eastAsia" w:asciiTheme="minorEastAsia" w:hAnsiTheme="minorEastAsia"/>
          <w:sz w:val="32"/>
          <w:szCs w:val="32"/>
          <w:highlight w:val="none"/>
          <w:lang w:val="en-US" w:eastAsia="zh-CN"/>
        </w:rPr>
        <w:t>；</w:t>
      </w:r>
      <w:r>
        <w:rPr>
          <w:rFonts w:hint="eastAsia" w:asciiTheme="minorEastAsia" w:hAnsiTheme="minorEastAsia" w:eastAsiaTheme="minorEastAsia"/>
          <w:sz w:val="32"/>
          <w:szCs w:val="32"/>
          <w:highlight w:val="none"/>
          <w:lang w:val="en-US" w:eastAsia="zh-CN"/>
        </w:rPr>
        <w:t>网格化管理工作培训预算情况</w:t>
      </w:r>
      <w:r>
        <w:rPr>
          <w:rFonts w:hint="eastAsia" w:asciiTheme="minorEastAsia" w:hAnsiTheme="minorEastAsia"/>
          <w:sz w:val="32"/>
          <w:szCs w:val="32"/>
          <w:highlight w:val="none"/>
          <w:lang w:val="en-US" w:eastAsia="zh-CN"/>
        </w:rPr>
        <w:t>：</w:t>
      </w:r>
      <w:r>
        <w:rPr>
          <w:rFonts w:hint="eastAsia" w:asciiTheme="minorEastAsia" w:hAnsiTheme="minorEastAsia" w:eastAsiaTheme="minorEastAsia"/>
          <w:sz w:val="32"/>
          <w:szCs w:val="32"/>
          <w:highlight w:val="none"/>
          <w:lang w:val="en-US" w:eastAsia="zh-CN"/>
        </w:rPr>
        <w:t>餐费0.2万元，资料费0.1万元</w:t>
      </w:r>
      <w:r>
        <w:rPr>
          <w:rFonts w:hint="eastAsia" w:asciiTheme="minorEastAsia" w:hAnsiTheme="minorEastAsia"/>
          <w:sz w:val="32"/>
          <w:szCs w:val="32"/>
          <w:highlight w:val="none"/>
          <w:lang w:val="en-US" w:eastAsia="zh-CN"/>
        </w:rPr>
        <w:t>；</w:t>
      </w:r>
      <w:r>
        <w:rPr>
          <w:rFonts w:hint="eastAsia" w:asciiTheme="minorEastAsia" w:hAnsiTheme="minorEastAsia" w:eastAsiaTheme="minorEastAsia"/>
          <w:sz w:val="32"/>
          <w:szCs w:val="32"/>
          <w:highlight w:val="none"/>
        </w:rPr>
        <w:t>政法队伍教育整顿工作</w:t>
      </w:r>
      <w:r>
        <w:rPr>
          <w:rFonts w:hint="eastAsia" w:asciiTheme="minorEastAsia" w:hAnsiTheme="minorEastAsia"/>
          <w:sz w:val="32"/>
          <w:szCs w:val="32"/>
          <w:highlight w:val="none"/>
          <w:lang w:eastAsia="zh-CN"/>
        </w:rPr>
        <w:t>预算情况：培训</w:t>
      </w:r>
      <w:r>
        <w:rPr>
          <w:rFonts w:hint="eastAsia" w:asciiTheme="minorEastAsia" w:hAnsiTheme="minorEastAsia" w:eastAsiaTheme="minorEastAsia"/>
          <w:sz w:val="32"/>
          <w:szCs w:val="32"/>
          <w:highlight w:val="none"/>
          <w:lang w:val="en-US" w:eastAsia="zh-CN"/>
        </w:rPr>
        <w:t>资料费0.</w:t>
      </w:r>
      <w:r>
        <w:rPr>
          <w:rFonts w:hint="eastAsia" w:asciiTheme="minorEastAsia" w:hAnsiTheme="minorEastAsia"/>
          <w:sz w:val="32"/>
          <w:szCs w:val="32"/>
          <w:highlight w:val="none"/>
          <w:lang w:val="en-US" w:eastAsia="zh-CN"/>
        </w:rPr>
        <w:t>2</w:t>
      </w:r>
      <w:r>
        <w:rPr>
          <w:rFonts w:hint="eastAsia" w:asciiTheme="minorEastAsia" w:hAnsiTheme="minorEastAsia" w:eastAsiaTheme="minorEastAsia"/>
          <w:sz w:val="32"/>
          <w:szCs w:val="32"/>
          <w:highlight w:val="none"/>
          <w:lang w:val="en-US" w:eastAsia="zh-CN"/>
        </w:rPr>
        <w:t>万元</w:t>
      </w:r>
      <w:r>
        <w:rPr>
          <w:rFonts w:hint="eastAsia" w:asciiTheme="minorEastAsia" w:hAnsiTheme="minorEastAsia"/>
          <w:sz w:val="32"/>
          <w:szCs w:val="32"/>
          <w:highlight w:val="none"/>
          <w:lang w:val="en-US" w:eastAsia="zh-CN"/>
        </w:rPr>
        <w:t>；</w:t>
      </w:r>
      <w:r>
        <w:rPr>
          <w:rFonts w:hint="eastAsia" w:asciiTheme="minorEastAsia" w:hAnsiTheme="minorEastAsia" w:eastAsiaTheme="minorEastAsia"/>
          <w:sz w:val="32"/>
          <w:szCs w:val="32"/>
          <w:highlight w:val="none"/>
        </w:rPr>
        <w:t>及</w:t>
      </w:r>
      <w:r>
        <w:rPr>
          <w:rFonts w:hint="eastAsia" w:asciiTheme="minorEastAsia" w:hAnsiTheme="minorEastAsia" w:eastAsiaTheme="minorEastAsia"/>
          <w:sz w:val="32"/>
          <w:szCs w:val="32"/>
          <w:highlight w:val="none"/>
          <w:lang w:val="en-US" w:eastAsia="zh-CN"/>
        </w:rPr>
        <w:t>单位工作人员外出参与培训学习预算0.2万元；</w:t>
      </w:r>
      <w:r>
        <w:rPr>
          <w:rFonts w:hint="eastAsia" w:asciiTheme="minorEastAsia" w:hAnsiTheme="minorEastAsia" w:eastAsiaTheme="minorEastAsia"/>
          <w:sz w:val="32"/>
          <w:szCs w:val="32"/>
          <w:highlight w:val="none"/>
        </w:rPr>
        <w:t>举办</w:t>
      </w:r>
      <w:r>
        <w:rPr>
          <w:rFonts w:hint="eastAsia" w:asciiTheme="minorEastAsia" w:hAnsiTheme="minorEastAsia" w:eastAsiaTheme="minorEastAsia"/>
          <w:sz w:val="32"/>
          <w:szCs w:val="32"/>
          <w:highlight w:val="none"/>
          <w:lang w:val="en-US" w:eastAsia="zh-CN"/>
        </w:rPr>
        <w:t>0次</w:t>
      </w:r>
      <w:r>
        <w:rPr>
          <w:rFonts w:hint="eastAsia" w:asciiTheme="minorEastAsia" w:hAnsiTheme="minorEastAsia" w:eastAsiaTheme="minorEastAsia"/>
          <w:sz w:val="32"/>
          <w:szCs w:val="32"/>
          <w:highlight w:val="none"/>
        </w:rPr>
        <w:t>节庆、晚会、论坛、赛事活动，开支</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w:t>
      </w:r>
    </w:p>
    <w:p>
      <w:pPr>
        <w:pStyle w:val="14"/>
        <w:keepNext w:val="0"/>
        <w:keepLines w:val="0"/>
        <w:pageBreakBefore w:val="0"/>
        <w:kinsoku/>
        <w:wordWrap/>
        <w:overflowPunct/>
        <w:topLinePunct w:val="0"/>
        <w:bidi w:val="0"/>
        <w:snapToGrid/>
        <w:ind w:firstLine="640" w:firstLineChars="200"/>
        <w:textAlignment w:val="auto"/>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十一、政府采购支出说明</w:t>
      </w:r>
    </w:p>
    <w:p>
      <w:pPr>
        <w:pStyle w:val="14"/>
        <w:keepNext w:val="0"/>
        <w:keepLines w:val="0"/>
        <w:pageBreakBefore w:val="0"/>
        <w:kinsoku/>
        <w:wordWrap/>
        <w:overflowPunct/>
        <w:topLinePunct w:val="0"/>
        <w:bidi w:val="0"/>
        <w:snapToGrid/>
        <w:ind w:firstLine="640" w:firstLineChars="200"/>
        <w:textAlignment w:val="auto"/>
        <w:rPr>
          <w:rFonts w:hint="eastAsia"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本部门2021年度政府采购支出总额0万元，其中：政府采购货物支出0万元、政府采购工程支出0万元、政府采购服务支出0万元。授予中小企业合同金额0万元，由于政府采购支出为0，无法计算百分比，其中：授予小微企业合同金额0万元，由于授予中小企业合同金额为0，无法计算百分比；货物采购授予中小企业合同金额0万元，工程采购授予中小企业合同金额0万元，服务采购授予中小企业合同金额0万元，由于货物支出、工程支出、服务支出为0，无法计算百分比。</w:t>
      </w:r>
    </w:p>
    <w:p>
      <w:pPr>
        <w:pStyle w:val="14"/>
        <w:keepNext w:val="0"/>
        <w:keepLines w:val="0"/>
        <w:pageBreakBefore w:val="0"/>
        <w:kinsoku/>
        <w:wordWrap/>
        <w:overflowPunct/>
        <w:topLinePunct w:val="0"/>
        <w:bidi w:val="0"/>
        <w:snapToGrid/>
        <w:ind w:firstLine="640" w:firstLineChars="200"/>
        <w:textAlignment w:val="auto"/>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十二、国有资产占用情况说明</w:t>
      </w:r>
    </w:p>
    <w:p>
      <w:pPr>
        <w:pStyle w:val="14"/>
        <w:keepNext w:val="0"/>
        <w:keepLines w:val="0"/>
        <w:pageBreakBefore w:val="0"/>
        <w:kinsoku/>
        <w:wordWrap/>
        <w:overflowPunct/>
        <w:topLinePunct w:val="0"/>
        <w:bidi w:val="0"/>
        <w:snapToGrid/>
        <w:ind w:firstLine="640" w:firstLineChars="200"/>
        <w:textAlignment w:val="auto"/>
        <w:rPr>
          <w:rFonts w:hint="eastAsia"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截至2021年12月31日，本单位共有车辆</w:t>
      </w:r>
      <w:r>
        <w:rPr>
          <w:rFonts w:hint="eastAsia" w:asciiTheme="minorEastAsia" w:hAnsiTheme="minorEastAsia" w:eastAsiaTheme="minorEastAsia"/>
          <w:color w:val="auto"/>
          <w:sz w:val="32"/>
          <w:szCs w:val="32"/>
          <w:highlight w:val="none"/>
          <w:u w:val="none"/>
          <w:lang w:val="en-US" w:eastAsia="zh-CN"/>
        </w:rPr>
        <w:t>0</w:t>
      </w:r>
      <w:r>
        <w:rPr>
          <w:rFonts w:hint="eastAsia" w:asciiTheme="minorEastAsia" w:hAnsiTheme="minorEastAsia" w:eastAsiaTheme="minorEastAsia"/>
          <w:color w:val="auto"/>
          <w:sz w:val="32"/>
          <w:szCs w:val="32"/>
          <w:highlight w:val="none"/>
        </w:rPr>
        <w:t>辆，其中，</w:t>
      </w:r>
      <w:r>
        <w:rPr>
          <w:rFonts w:hint="eastAsia" w:asciiTheme="minorEastAsia" w:hAnsiTheme="minorEastAsia" w:eastAsiaTheme="minorEastAsia"/>
          <w:b w:val="0"/>
          <w:bCs/>
          <w:color w:val="auto"/>
          <w:sz w:val="32"/>
          <w:szCs w:val="32"/>
          <w:highlight w:val="none"/>
        </w:rPr>
        <w:t>主要领导干部用车</w:t>
      </w:r>
      <w:r>
        <w:rPr>
          <w:rFonts w:hint="eastAsia" w:asciiTheme="minorEastAsia" w:hAnsiTheme="minorEastAsia" w:eastAsiaTheme="minorEastAsia"/>
          <w:color w:val="auto"/>
          <w:sz w:val="32"/>
          <w:szCs w:val="32"/>
          <w:highlight w:val="none"/>
        </w:rPr>
        <w:t>0辆、机要通信用车0辆、应急保障用车0辆、执法执勤用车</w:t>
      </w:r>
      <w:r>
        <w:rPr>
          <w:rFonts w:hint="eastAsia" w:asciiTheme="minorEastAsia" w:hAnsiTheme="minorEastAsia" w:eastAsiaTheme="minorEastAsia"/>
          <w:color w:val="auto"/>
          <w:sz w:val="32"/>
          <w:szCs w:val="32"/>
          <w:highlight w:val="none"/>
          <w:lang w:val="en-US" w:eastAsia="zh-CN"/>
        </w:rPr>
        <w:t>0</w:t>
      </w:r>
      <w:r>
        <w:rPr>
          <w:rFonts w:hint="eastAsia" w:asciiTheme="minorEastAsia" w:hAnsiTheme="minorEastAsia" w:eastAsiaTheme="minorEastAsia"/>
          <w:color w:val="auto"/>
          <w:sz w:val="32"/>
          <w:szCs w:val="32"/>
          <w:highlight w:val="none"/>
        </w:rPr>
        <w:t>辆、特种专业技术用车0辆、其他用车0辆；单位价值50万元以上通用设备0台（套）；单位价值100万元以上专用设备0台（套）。</w:t>
      </w:r>
    </w:p>
    <w:p>
      <w:pPr>
        <w:pStyle w:val="14"/>
        <w:keepNext w:val="0"/>
        <w:keepLines w:val="0"/>
        <w:pageBreakBefore w:val="0"/>
        <w:kinsoku/>
        <w:wordWrap/>
        <w:overflowPunct/>
        <w:topLinePunct w:val="0"/>
        <w:bidi w:val="0"/>
        <w:snapToGrid/>
        <w:ind w:firstLine="640" w:firstLineChars="200"/>
        <w:textAlignment w:val="auto"/>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十三、2021年度预算绩效情况说明</w:t>
      </w:r>
    </w:p>
    <w:p>
      <w:pPr>
        <w:keepNext w:val="0"/>
        <w:keepLines w:val="0"/>
        <w:pageBreakBefore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b w:val="0"/>
          <w:bCs/>
          <w:color w:val="000000"/>
          <w:kern w:val="0"/>
          <w:sz w:val="32"/>
          <w:szCs w:val="32"/>
          <w:highlight w:val="none"/>
        </w:rPr>
      </w:pPr>
      <w:r>
        <w:rPr>
          <w:rFonts w:hint="eastAsia" w:cs="黑体" w:asciiTheme="minorEastAsia" w:hAnsiTheme="minorEastAsia"/>
          <w:b w:val="0"/>
          <w:bCs/>
          <w:color w:val="000000"/>
          <w:kern w:val="0"/>
          <w:sz w:val="32"/>
          <w:szCs w:val="32"/>
          <w:highlight w:val="none"/>
        </w:rPr>
        <w:t>本部门2021年整体支出</w:t>
      </w:r>
      <w:r>
        <w:rPr>
          <w:rFonts w:hint="eastAsia" w:asciiTheme="minorEastAsia" w:hAnsiTheme="minorEastAsia" w:eastAsiaTheme="minorEastAsia"/>
          <w:b w:val="0"/>
          <w:bCs/>
          <w:sz w:val="32"/>
          <w:szCs w:val="32"/>
          <w:highlight w:val="none"/>
          <w:lang w:val="en-US" w:eastAsia="zh-CN"/>
        </w:rPr>
        <w:t>963.67</w:t>
      </w:r>
      <w:r>
        <w:rPr>
          <w:rFonts w:hint="eastAsia" w:cs="黑体" w:asciiTheme="minorEastAsia" w:hAnsiTheme="minorEastAsia"/>
          <w:b w:val="0"/>
          <w:bCs/>
          <w:color w:val="000000"/>
          <w:kern w:val="0"/>
          <w:sz w:val="32"/>
          <w:szCs w:val="32"/>
          <w:highlight w:val="none"/>
        </w:rPr>
        <w:t>万元，其中项目支出</w:t>
      </w:r>
      <w:r>
        <w:rPr>
          <w:rFonts w:hint="eastAsia" w:cs="黑体" w:asciiTheme="minorEastAsia" w:hAnsiTheme="minorEastAsia"/>
          <w:b w:val="0"/>
          <w:bCs/>
          <w:color w:val="000000"/>
          <w:kern w:val="0"/>
          <w:sz w:val="32"/>
          <w:szCs w:val="32"/>
          <w:highlight w:val="none"/>
          <w:lang w:val="en-US" w:eastAsia="zh-CN"/>
        </w:rPr>
        <w:t>455.50</w:t>
      </w:r>
      <w:r>
        <w:rPr>
          <w:rFonts w:hint="eastAsia" w:cs="黑体" w:asciiTheme="minorEastAsia" w:hAnsiTheme="minorEastAsia"/>
          <w:b w:val="0"/>
          <w:bCs/>
          <w:color w:val="000000"/>
          <w:kern w:val="0"/>
          <w:sz w:val="32"/>
          <w:szCs w:val="32"/>
          <w:highlight w:val="none"/>
        </w:rPr>
        <w:t>万元，本年度重点项目支出</w:t>
      </w:r>
      <w:r>
        <w:rPr>
          <w:rFonts w:hint="eastAsia" w:cs="黑体" w:asciiTheme="minorEastAsia" w:hAnsiTheme="minorEastAsia"/>
          <w:b w:val="0"/>
          <w:bCs/>
          <w:color w:val="000000"/>
          <w:kern w:val="0"/>
          <w:sz w:val="32"/>
          <w:szCs w:val="32"/>
          <w:highlight w:val="none"/>
          <w:lang w:val="en-US" w:eastAsia="zh-CN"/>
        </w:rPr>
        <w:t>0</w:t>
      </w:r>
      <w:r>
        <w:rPr>
          <w:rFonts w:hint="eastAsia" w:cs="黑体" w:asciiTheme="minorEastAsia" w:hAnsiTheme="minorEastAsia"/>
          <w:b w:val="0"/>
          <w:bCs/>
          <w:color w:val="000000"/>
          <w:kern w:val="0"/>
          <w:sz w:val="32"/>
          <w:szCs w:val="32"/>
          <w:highlight w:val="none"/>
        </w:rPr>
        <w:t>万元。</w:t>
      </w:r>
    </w:p>
    <w:p>
      <w:pPr>
        <w:keepNext w:val="0"/>
        <w:keepLines w:val="0"/>
        <w:pageBreakBefore w:val="0"/>
        <w:kinsoku/>
        <w:wordWrap/>
        <w:overflowPunct/>
        <w:topLinePunct w:val="0"/>
        <w:autoSpaceDE w:val="0"/>
        <w:autoSpaceDN w:val="0"/>
        <w:bidi w:val="0"/>
        <w:adjustRightInd w:val="0"/>
        <w:snapToGrid/>
        <w:ind w:firstLine="640" w:firstLineChars="200"/>
        <w:jc w:val="left"/>
        <w:textAlignment w:val="auto"/>
        <w:rPr>
          <w:rFonts w:cs="黑体" w:asciiTheme="minorEastAsia" w:hAnsiTheme="minorEastAsia"/>
          <w:color w:val="000000"/>
          <w:kern w:val="0"/>
          <w:sz w:val="32"/>
          <w:szCs w:val="32"/>
          <w:highlight w:val="none"/>
        </w:rPr>
      </w:pPr>
      <w:r>
        <w:rPr>
          <w:rFonts w:hint="eastAsia" w:cs="黑体" w:asciiTheme="minorEastAsia" w:hAnsiTheme="minorEastAsia"/>
          <w:b/>
          <w:color w:val="000000"/>
          <w:kern w:val="0"/>
          <w:sz w:val="32"/>
          <w:szCs w:val="32"/>
          <w:highlight w:val="none"/>
        </w:rPr>
        <w:t>（1）绩效管理评价工作开展情况</w:t>
      </w:r>
      <w:r>
        <w:rPr>
          <w:rFonts w:hint="eastAsia" w:cs="黑体" w:asciiTheme="minorEastAsia" w:hAnsiTheme="minorEastAsia"/>
          <w:color w:val="000000"/>
          <w:kern w:val="0"/>
          <w:sz w:val="32"/>
          <w:szCs w:val="32"/>
          <w:highlight w:val="none"/>
        </w:rPr>
        <w:t>。</w:t>
      </w:r>
    </w:p>
    <w:p>
      <w:pPr>
        <w:keepNext w:val="0"/>
        <w:keepLines w:val="0"/>
        <w:pageBreakBefore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eastAsiaTheme="minorEastAsia"/>
          <w:color w:val="000000"/>
          <w:kern w:val="0"/>
          <w:sz w:val="32"/>
          <w:szCs w:val="32"/>
          <w:highlight w:val="none"/>
          <w:lang w:eastAsia="zh-CN"/>
        </w:rPr>
      </w:pPr>
      <w:r>
        <w:rPr>
          <w:rFonts w:hint="eastAsia" w:cs="黑体" w:asciiTheme="minorEastAsia" w:hAnsiTheme="minorEastAsia"/>
          <w:color w:val="000000"/>
          <w:kern w:val="0"/>
          <w:sz w:val="32"/>
          <w:szCs w:val="32"/>
          <w:highlight w:val="none"/>
        </w:rPr>
        <w:t>根据预算绩效管理要求，我部门组织对</w:t>
      </w:r>
      <w:r>
        <w:rPr>
          <w:rFonts w:cs="黑体" w:asciiTheme="minorEastAsia" w:hAnsiTheme="minorEastAsia"/>
          <w:color w:val="000000"/>
          <w:kern w:val="0"/>
          <w:sz w:val="32"/>
          <w:szCs w:val="32"/>
          <w:highlight w:val="none"/>
        </w:rPr>
        <w:t xml:space="preserve">2021 </w:t>
      </w:r>
      <w:r>
        <w:rPr>
          <w:rFonts w:hint="eastAsia" w:cs="黑体" w:asciiTheme="minorEastAsia" w:hAnsiTheme="minorEastAsia"/>
          <w:color w:val="000000"/>
          <w:kern w:val="0"/>
          <w:sz w:val="32"/>
          <w:szCs w:val="32"/>
          <w:highlight w:val="none"/>
        </w:rPr>
        <w:t>年度一般公共预算项目支出全面开展绩效自评，其中，一级项目</w:t>
      </w:r>
      <w:r>
        <w:rPr>
          <w:rFonts w:hint="eastAsia" w:cs="黑体" w:asciiTheme="minorEastAsia" w:hAnsiTheme="minorEastAsia"/>
          <w:color w:val="000000"/>
          <w:kern w:val="0"/>
          <w:sz w:val="32"/>
          <w:szCs w:val="32"/>
          <w:highlight w:val="none"/>
          <w:lang w:val="en-US" w:eastAsia="zh-CN"/>
        </w:rPr>
        <w:t>0</w:t>
      </w:r>
      <w:r>
        <w:rPr>
          <w:rFonts w:hint="eastAsia" w:cs="黑体" w:asciiTheme="minorEastAsia" w:hAnsiTheme="minorEastAsia"/>
          <w:color w:val="000000"/>
          <w:kern w:val="0"/>
          <w:sz w:val="32"/>
          <w:szCs w:val="32"/>
          <w:highlight w:val="none"/>
        </w:rPr>
        <w:t>个，二级项目</w:t>
      </w:r>
      <w:r>
        <w:rPr>
          <w:rFonts w:hint="eastAsia" w:cs="黑体" w:asciiTheme="minorEastAsia" w:hAnsiTheme="minorEastAsia"/>
          <w:color w:val="000000"/>
          <w:kern w:val="0"/>
          <w:sz w:val="32"/>
          <w:szCs w:val="32"/>
          <w:highlight w:val="none"/>
          <w:lang w:val="en-US" w:eastAsia="zh-CN"/>
        </w:rPr>
        <w:t>1</w:t>
      </w:r>
      <w:r>
        <w:rPr>
          <w:rFonts w:hint="eastAsia" w:cs="黑体" w:asciiTheme="minorEastAsia" w:hAnsiTheme="minorEastAsia"/>
          <w:color w:val="000000"/>
          <w:kern w:val="0"/>
          <w:sz w:val="32"/>
          <w:szCs w:val="32"/>
          <w:highlight w:val="none"/>
        </w:rPr>
        <w:t>个，共涉及资金</w:t>
      </w:r>
      <w:r>
        <w:rPr>
          <w:rFonts w:hint="eastAsia" w:cs="黑体" w:asciiTheme="minorEastAsia" w:hAnsiTheme="minorEastAsia"/>
          <w:color w:val="000000"/>
          <w:kern w:val="0"/>
          <w:sz w:val="32"/>
          <w:szCs w:val="32"/>
          <w:highlight w:val="none"/>
          <w:lang w:val="en-US" w:eastAsia="zh-CN"/>
        </w:rPr>
        <w:t>455.50</w:t>
      </w:r>
      <w:r>
        <w:rPr>
          <w:rFonts w:cs="黑体" w:asciiTheme="minorEastAsia" w:hAnsiTheme="minorEastAsia"/>
          <w:color w:val="000000"/>
          <w:kern w:val="0"/>
          <w:sz w:val="32"/>
          <w:szCs w:val="32"/>
          <w:highlight w:val="none"/>
        </w:rPr>
        <w:t xml:space="preserve"> </w:t>
      </w:r>
      <w:r>
        <w:rPr>
          <w:rFonts w:hint="eastAsia" w:cs="黑体" w:asciiTheme="minorEastAsia" w:hAnsiTheme="minorEastAsia"/>
          <w:color w:val="000000"/>
          <w:kern w:val="0"/>
          <w:sz w:val="32"/>
          <w:szCs w:val="32"/>
          <w:highlight w:val="none"/>
        </w:rPr>
        <w:t>万元，占一般公共预算项目支出总额的</w:t>
      </w:r>
      <w:r>
        <w:rPr>
          <w:rFonts w:hint="eastAsia" w:cs="黑体" w:asciiTheme="minorEastAsia" w:hAnsiTheme="minorEastAsia"/>
          <w:color w:val="000000"/>
          <w:kern w:val="0"/>
          <w:sz w:val="32"/>
          <w:szCs w:val="32"/>
          <w:highlight w:val="none"/>
          <w:lang w:val="en-US" w:eastAsia="zh-CN"/>
        </w:rPr>
        <w:t>100</w:t>
      </w:r>
      <w:r>
        <w:rPr>
          <w:rFonts w:cs="黑体" w:asciiTheme="minorEastAsia" w:hAnsiTheme="minorEastAsia"/>
          <w:color w:val="000000"/>
          <w:kern w:val="0"/>
          <w:sz w:val="32"/>
          <w:szCs w:val="32"/>
          <w:highlight w:val="none"/>
        </w:rPr>
        <w:t>%</w:t>
      </w:r>
      <w:r>
        <w:rPr>
          <w:rFonts w:hint="eastAsia" w:cs="黑体" w:asciiTheme="minorEastAsia" w:hAnsiTheme="minorEastAsia"/>
          <w:color w:val="000000"/>
          <w:kern w:val="0"/>
          <w:sz w:val="32"/>
          <w:szCs w:val="32"/>
          <w:highlight w:val="none"/>
        </w:rPr>
        <w:t>。</w:t>
      </w:r>
      <w:r>
        <w:rPr>
          <w:rFonts w:hint="eastAsia" w:cs="黑体" w:asciiTheme="minorEastAsia" w:hAnsiTheme="minorEastAsia"/>
          <w:color w:val="000000"/>
          <w:kern w:val="0"/>
          <w:sz w:val="32"/>
          <w:szCs w:val="32"/>
          <w:highlight w:val="none"/>
          <w:lang w:eastAsia="zh-CN"/>
        </w:rPr>
        <w:t>本年无政府性基金预算和国有资本经营预算。</w:t>
      </w:r>
    </w:p>
    <w:p>
      <w:pPr>
        <w:keepNext w:val="0"/>
        <w:keepLines w:val="0"/>
        <w:pageBreakBefore w:val="0"/>
        <w:kinsoku/>
        <w:wordWrap/>
        <w:overflowPunct/>
        <w:topLinePunct w:val="0"/>
        <w:bidi w:val="0"/>
        <w:snapToGrid/>
        <w:spacing w:beforeLines="0" w:afterLines="0" w:line="560" w:lineRule="exact"/>
        <w:ind w:firstLine="640" w:firstLineChars="200"/>
        <w:textAlignment w:val="auto"/>
        <w:rPr>
          <w:rFonts w:hint="eastAsia" w:cs="黑体" w:asciiTheme="minorEastAsia" w:hAnsiTheme="minorEastAsia"/>
          <w:color w:val="000000"/>
          <w:kern w:val="0"/>
          <w:sz w:val="32"/>
          <w:szCs w:val="32"/>
          <w:highlight w:val="none"/>
          <w:lang w:val="en-US" w:eastAsia="zh-CN"/>
        </w:rPr>
      </w:pPr>
      <w:r>
        <w:rPr>
          <w:rFonts w:hint="eastAsia" w:cs="黑体" w:asciiTheme="minorEastAsia" w:hAnsiTheme="minorEastAsia"/>
          <w:color w:val="000000"/>
          <w:kern w:val="0"/>
          <w:sz w:val="32"/>
          <w:szCs w:val="32"/>
          <w:highlight w:val="none"/>
        </w:rPr>
        <w:t>从评价情况来看，项目资金使用管理严格规范，</w:t>
      </w:r>
      <w:r>
        <w:rPr>
          <w:rFonts w:hint="eastAsia" w:cs="黑体" w:asciiTheme="minorEastAsia" w:hAnsiTheme="minorEastAsia"/>
          <w:color w:val="000000"/>
          <w:kern w:val="0"/>
          <w:sz w:val="32"/>
          <w:szCs w:val="32"/>
          <w:highlight w:val="none"/>
          <w:lang w:eastAsia="zh-CN"/>
        </w:rPr>
        <w:t>绩效指标设置符合部门职责和相关管理规定，通过项目实施，较好完成了</w:t>
      </w:r>
      <w:r>
        <w:rPr>
          <w:rFonts w:hint="eastAsia" w:cs="黑体" w:asciiTheme="minorEastAsia" w:hAnsiTheme="minorEastAsia"/>
          <w:color w:val="000000"/>
          <w:kern w:val="0"/>
          <w:sz w:val="32"/>
          <w:szCs w:val="32"/>
          <w:highlight w:val="none"/>
        </w:rPr>
        <w:t>各项绩效目标，</w:t>
      </w:r>
      <w:r>
        <w:rPr>
          <w:rFonts w:hint="eastAsia" w:cs="黑体" w:asciiTheme="minorEastAsia" w:hAnsiTheme="minorEastAsia"/>
          <w:color w:val="000000"/>
          <w:kern w:val="0"/>
          <w:sz w:val="32"/>
          <w:szCs w:val="32"/>
          <w:highlight w:val="none"/>
          <w:lang w:eastAsia="zh-CN"/>
        </w:rPr>
        <w:t>进一步推进祁阳市政法工作，人民群众</w:t>
      </w:r>
      <w:r>
        <w:rPr>
          <w:rFonts w:hint="eastAsia" w:cs="黑体" w:asciiTheme="minorEastAsia" w:hAnsiTheme="minorEastAsia"/>
          <w:color w:val="000000"/>
          <w:kern w:val="0"/>
          <w:sz w:val="32"/>
          <w:szCs w:val="32"/>
          <w:highlight w:val="none"/>
          <w:lang w:val="en-US" w:eastAsia="zh-CN"/>
        </w:rPr>
        <w:t>安全感和满意度也不断增强，取得了良好的社会效应。</w:t>
      </w:r>
    </w:p>
    <w:p>
      <w:pPr>
        <w:keepNext w:val="0"/>
        <w:keepLines w:val="0"/>
        <w:pageBreakBefore w:val="0"/>
        <w:kinsoku/>
        <w:wordWrap/>
        <w:overflowPunct/>
        <w:topLinePunct w:val="0"/>
        <w:bidi w:val="0"/>
        <w:snapToGrid/>
        <w:spacing w:beforeLines="0" w:afterLines="0" w:line="560" w:lineRule="exact"/>
        <w:ind w:firstLine="640" w:firstLineChars="200"/>
        <w:textAlignment w:val="auto"/>
        <w:rPr>
          <w:rFonts w:hint="eastAsia" w:cs="黑体" w:asciiTheme="minorEastAsia" w:hAnsiTheme="minorEastAsia"/>
          <w:color w:val="000000"/>
          <w:kern w:val="0"/>
          <w:sz w:val="32"/>
          <w:szCs w:val="32"/>
          <w:highlight w:val="none"/>
          <w:lang w:val="en-US" w:eastAsia="zh-CN"/>
        </w:rPr>
      </w:pPr>
      <w:r>
        <w:rPr>
          <w:rFonts w:hint="eastAsia" w:cs="黑体" w:asciiTheme="minorEastAsia" w:hAnsiTheme="minorEastAsia"/>
          <w:color w:val="000000"/>
          <w:kern w:val="0"/>
          <w:sz w:val="32"/>
          <w:szCs w:val="32"/>
          <w:highlight w:val="none"/>
          <w:lang w:eastAsia="zh-CN"/>
        </w:rPr>
        <w:t>主要是大力推进社会治理创新，深入推进平安创建活动，常态化推进扫黑除恶，全面开展政法队伍教育整顿</w:t>
      </w:r>
      <w:r>
        <w:rPr>
          <w:rFonts w:hint="eastAsia" w:cs="黑体" w:asciiTheme="minorEastAsia" w:hAnsiTheme="minorEastAsia"/>
          <w:color w:val="000000"/>
          <w:kern w:val="0"/>
          <w:sz w:val="32"/>
          <w:szCs w:val="32"/>
          <w:highlight w:val="none"/>
        </w:rPr>
        <w:t>，</w:t>
      </w:r>
      <w:r>
        <w:rPr>
          <w:rFonts w:hint="eastAsia" w:cs="黑体" w:asciiTheme="minorEastAsia" w:hAnsiTheme="minorEastAsia"/>
          <w:color w:val="000000"/>
          <w:kern w:val="0"/>
          <w:sz w:val="32"/>
          <w:szCs w:val="32"/>
          <w:highlight w:val="none"/>
          <w:lang w:eastAsia="zh-CN"/>
        </w:rPr>
        <w:t>平安祁阳建设取得新成效。</w:t>
      </w:r>
      <w:r>
        <w:rPr>
          <w:rFonts w:hint="eastAsia" w:cs="黑体" w:asciiTheme="minorEastAsia" w:hAnsiTheme="minorEastAsia"/>
          <w:color w:val="000000"/>
          <w:kern w:val="0"/>
          <w:sz w:val="32"/>
          <w:szCs w:val="32"/>
          <w:highlight w:val="none"/>
          <w:lang w:val="en-US" w:eastAsia="zh-CN"/>
        </w:rPr>
        <w:t>2021年公众安全感测评得分较去年前移26位</w:t>
      </w:r>
      <w:r>
        <w:rPr>
          <w:rFonts w:hint="eastAsia" w:ascii="宋体" w:hAnsi="宋体" w:cs="宋体"/>
          <w:color w:val="333333"/>
          <w:kern w:val="0"/>
          <w:sz w:val="24"/>
          <w:szCs w:val="24"/>
          <w:highlight w:val="none"/>
          <w:lang w:val="en-US" w:eastAsia="zh-CN"/>
        </w:rPr>
        <w:t>，</w:t>
      </w:r>
      <w:r>
        <w:rPr>
          <w:rFonts w:hint="eastAsia" w:cs="黑体" w:asciiTheme="minorEastAsia" w:hAnsiTheme="minorEastAsia"/>
          <w:color w:val="000000"/>
          <w:kern w:val="0"/>
          <w:sz w:val="32"/>
          <w:szCs w:val="32"/>
          <w:highlight w:val="none"/>
          <w:lang w:val="en-US" w:eastAsia="zh-CN"/>
        </w:rPr>
        <w:t>达到了年初预定目标，公众安全感和满意度也不断提高，取得了良好的社会效应。</w:t>
      </w:r>
    </w:p>
    <w:p>
      <w:pPr>
        <w:keepNext w:val="0"/>
        <w:keepLines w:val="0"/>
        <w:pageBreakBefore w:val="0"/>
        <w:kinsoku/>
        <w:wordWrap/>
        <w:overflowPunct/>
        <w:topLinePunct w:val="0"/>
        <w:autoSpaceDE w:val="0"/>
        <w:autoSpaceDN w:val="0"/>
        <w:bidi w:val="0"/>
        <w:adjustRightInd w:val="0"/>
        <w:snapToGrid/>
        <w:ind w:firstLine="640" w:firstLineChars="200"/>
        <w:jc w:val="left"/>
        <w:textAlignment w:val="auto"/>
        <w:rPr>
          <w:rFonts w:cs="黑体" w:asciiTheme="minorEastAsia" w:hAnsiTheme="minorEastAsia"/>
          <w:b/>
          <w:color w:val="000000"/>
          <w:kern w:val="0"/>
          <w:sz w:val="32"/>
          <w:szCs w:val="32"/>
          <w:highlight w:val="none"/>
        </w:rPr>
      </w:pPr>
      <w:r>
        <w:rPr>
          <w:rFonts w:hint="eastAsia" w:cs="黑体" w:asciiTheme="minorEastAsia" w:hAnsiTheme="minorEastAsia"/>
          <w:b/>
          <w:color w:val="000000"/>
          <w:kern w:val="0"/>
          <w:sz w:val="32"/>
          <w:szCs w:val="32"/>
          <w:highlight w:val="none"/>
        </w:rPr>
        <w:t>（2）部门决算中项目绩效自评结果。</w:t>
      </w:r>
    </w:p>
    <w:p>
      <w:pPr>
        <w:keepNext w:val="0"/>
        <w:keepLines w:val="0"/>
        <w:pageBreakBefore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highlight w:val="none"/>
          <w:lang w:eastAsia="zh-CN"/>
        </w:rPr>
      </w:pPr>
      <w:r>
        <w:rPr>
          <w:rFonts w:hint="eastAsia" w:cs="黑体" w:asciiTheme="minorEastAsia" w:hAnsiTheme="minorEastAsia"/>
          <w:color w:val="000000"/>
          <w:kern w:val="0"/>
          <w:sz w:val="32"/>
          <w:szCs w:val="32"/>
          <w:highlight w:val="none"/>
          <w:lang w:eastAsia="zh-CN"/>
        </w:rPr>
        <w:t>部门整体</w:t>
      </w:r>
      <w:r>
        <w:rPr>
          <w:rFonts w:hint="eastAsia" w:cs="黑体" w:asciiTheme="minorEastAsia" w:hAnsiTheme="minorEastAsia"/>
          <w:color w:val="000000"/>
          <w:kern w:val="0"/>
          <w:sz w:val="32"/>
          <w:szCs w:val="32"/>
          <w:highlight w:val="none"/>
        </w:rPr>
        <w:t>绩效自评综述：根据年初设定的绩效目标，</w:t>
      </w:r>
      <w:r>
        <w:rPr>
          <w:rFonts w:hint="eastAsia" w:cs="黑体" w:asciiTheme="minorEastAsia" w:hAnsiTheme="minorEastAsia"/>
          <w:color w:val="000000"/>
          <w:kern w:val="0"/>
          <w:sz w:val="32"/>
          <w:szCs w:val="32"/>
          <w:highlight w:val="none"/>
          <w:lang w:eastAsia="zh-CN"/>
        </w:rPr>
        <w:t>部门整体</w:t>
      </w:r>
      <w:r>
        <w:rPr>
          <w:rFonts w:hint="eastAsia" w:cs="黑体" w:asciiTheme="minorEastAsia" w:hAnsiTheme="minorEastAsia"/>
          <w:color w:val="000000"/>
          <w:kern w:val="0"/>
          <w:sz w:val="32"/>
          <w:szCs w:val="32"/>
          <w:highlight w:val="none"/>
        </w:rPr>
        <w:t>绩效自评</w:t>
      </w:r>
      <w:r>
        <w:rPr>
          <w:rFonts w:hint="eastAsia" w:cs="黑体" w:asciiTheme="minorEastAsia" w:hAnsiTheme="minorEastAsia"/>
          <w:color w:val="000000"/>
          <w:kern w:val="0"/>
          <w:sz w:val="32"/>
          <w:szCs w:val="32"/>
          <w:highlight w:val="none"/>
          <w:lang w:eastAsia="zh-CN"/>
        </w:rPr>
        <w:t>为优秀</w:t>
      </w:r>
      <w:r>
        <w:rPr>
          <w:rFonts w:hint="eastAsia" w:cs="黑体" w:asciiTheme="minorEastAsia" w:hAnsiTheme="minorEastAsia"/>
          <w:color w:val="000000"/>
          <w:kern w:val="0"/>
          <w:sz w:val="32"/>
          <w:szCs w:val="32"/>
          <w:highlight w:val="none"/>
        </w:rPr>
        <w:t>。全年预算数为</w:t>
      </w:r>
      <w:r>
        <w:rPr>
          <w:rFonts w:hint="eastAsia" w:cs="黑体" w:asciiTheme="minorEastAsia" w:hAnsiTheme="minorEastAsia"/>
          <w:color w:val="000000"/>
          <w:kern w:val="0"/>
          <w:sz w:val="32"/>
          <w:szCs w:val="32"/>
          <w:highlight w:val="none"/>
          <w:lang w:val="en-US" w:eastAsia="zh-CN"/>
        </w:rPr>
        <w:t>960.11</w:t>
      </w:r>
      <w:r>
        <w:rPr>
          <w:rFonts w:hint="eastAsia" w:cs="黑体" w:asciiTheme="minorEastAsia" w:hAnsiTheme="minorEastAsia"/>
          <w:color w:val="000000"/>
          <w:kern w:val="0"/>
          <w:sz w:val="32"/>
          <w:szCs w:val="32"/>
          <w:highlight w:val="none"/>
        </w:rPr>
        <w:t>万元，执行数为</w:t>
      </w:r>
      <w:r>
        <w:rPr>
          <w:rFonts w:hint="eastAsia" w:cs="黑体" w:asciiTheme="minorEastAsia" w:hAnsiTheme="minorEastAsia"/>
          <w:color w:val="000000"/>
          <w:kern w:val="0"/>
          <w:sz w:val="32"/>
          <w:szCs w:val="32"/>
          <w:highlight w:val="none"/>
          <w:lang w:val="en-US" w:eastAsia="zh-CN"/>
        </w:rPr>
        <w:t>963.67</w:t>
      </w:r>
      <w:r>
        <w:rPr>
          <w:rFonts w:hint="eastAsia" w:cs="黑体" w:asciiTheme="minorEastAsia" w:hAnsiTheme="minorEastAsia"/>
          <w:color w:val="000000"/>
          <w:kern w:val="0"/>
          <w:sz w:val="32"/>
          <w:szCs w:val="32"/>
          <w:highlight w:val="none"/>
        </w:rPr>
        <w:t>万元，完成预算的</w:t>
      </w:r>
      <w:r>
        <w:rPr>
          <w:rFonts w:hint="eastAsia" w:cs="黑体" w:asciiTheme="minorEastAsia" w:hAnsiTheme="minorEastAsia"/>
          <w:color w:val="000000"/>
          <w:kern w:val="0"/>
          <w:sz w:val="32"/>
          <w:szCs w:val="32"/>
          <w:highlight w:val="none"/>
          <w:lang w:val="en-US" w:eastAsia="zh-CN"/>
        </w:rPr>
        <w:t>100.37</w:t>
      </w:r>
      <w:r>
        <w:rPr>
          <w:rFonts w:cs="黑体" w:asciiTheme="minorEastAsia" w:hAnsiTheme="minorEastAsia"/>
          <w:color w:val="000000"/>
          <w:kern w:val="0"/>
          <w:sz w:val="32"/>
          <w:szCs w:val="32"/>
          <w:highlight w:val="none"/>
        </w:rPr>
        <w:t>%</w:t>
      </w:r>
      <w:r>
        <w:rPr>
          <w:rFonts w:hint="eastAsia" w:cs="黑体" w:asciiTheme="minorEastAsia" w:hAnsiTheme="minorEastAsia"/>
          <w:color w:val="000000"/>
          <w:kern w:val="0"/>
          <w:sz w:val="32"/>
          <w:szCs w:val="32"/>
          <w:highlight w:val="none"/>
        </w:rPr>
        <w:t>。</w:t>
      </w:r>
      <w:r>
        <w:rPr>
          <w:rFonts w:hint="eastAsia" w:cs="黑体" w:asciiTheme="minorEastAsia" w:hAnsiTheme="minorEastAsia"/>
          <w:color w:val="000000"/>
          <w:kern w:val="0"/>
          <w:sz w:val="32"/>
          <w:szCs w:val="32"/>
          <w:highlight w:val="none"/>
          <w:lang w:eastAsia="zh-CN"/>
        </w:rPr>
        <w:t>主要产出和效果</w:t>
      </w:r>
      <w:r>
        <w:rPr>
          <w:rFonts w:hint="eastAsia" w:cs="黑体" w:asciiTheme="minorEastAsia" w:hAnsiTheme="minorEastAsia"/>
          <w:color w:val="000000"/>
          <w:kern w:val="0"/>
          <w:sz w:val="32"/>
          <w:szCs w:val="32"/>
          <w:highlight w:val="none"/>
        </w:rPr>
        <w:t>：</w:t>
      </w:r>
      <w:r>
        <w:rPr>
          <w:rFonts w:hint="eastAsia" w:cs="黑体" w:asciiTheme="minorEastAsia" w:hAnsiTheme="minorEastAsia"/>
          <w:color w:val="000000"/>
          <w:kern w:val="0"/>
          <w:sz w:val="32"/>
          <w:szCs w:val="32"/>
          <w:highlight w:val="none"/>
          <w:lang w:val="en-US" w:eastAsia="zh-CN"/>
        </w:rPr>
        <w:t>2021年，祁阳市以全国政法队伍教育整顿和撤市设市为契机，扎实推进政法各项重点工作，全市实现了“无重大政治事件，无暴力恐怖事件和个人极端事件，无重特大群体性事件，无重大刑事治安案件，无重特大公共安全事故”的目标，确保了社会大局稳定。全面开展</w:t>
      </w:r>
      <w:r>
        <w:rPr>
          <w:rFonts w:hint="eastAsia" w:cs="黑体" w:asciiTheme="minorEastAsia" w:hAnsiTheme="minorEastAsia"/>
          <w:color w:val="000000"/>
          <w:kern w:val="0"/>
          <w:sz w:val="32"/>
          <w:szCs w:val="32"/>
          <w:highlight w:val="none"/>
          <w:lang w:eastAsia="zh-CN"/>
        </w:rPr>
        <w:t>政法队伍教育整顿，优化政法队伍；排查各类矛盾纠纷和不稳定隐患，维护社会稳定；推进社会治理创新试点，提高基层社会治理能力；</w:t>
      </w:r>
      <w:r>
        <w:rPr>
          <w:rFonts w:hint="eastAsia" w:cs="黑体" w:asciiTheme="minorEastAsia" w:hAnsiTheme="minorEastAsia"/>
          <w:color w:val="000000"/>
          <w:kern w:val="0"/>
          <w:sz w:val="32"/>
          <w:szCs w:val="32"/>
          <w:highlight w:val="none"/>
          <w:lang w:val="en-US" w:eastAsia="zh-CN"/>
        </w:rPr>
        <w:t>推行政法单位案件质量自查和组织案件质量交叉评查相结合，提升执法水平和质量；</w:t>
      </w:r>
      <w:r>
        <w:rPr>
          <w:rFonts w:hint="eastAsia" w:cs="黑体" w:asciiTheme="minorEastAsia" w:hAnsiTheme="minorEastAsia"/>
          <w:color w:val="000000"/>
          <w:kern w:val="0"/>
          <w:sz w:val="32"/>
          <w:szCs w:val="32"/>
          <w:highlight w:val="none"/>
          <w:lang w:eastAsia="zh-CN"/>
        </w:rPr>
        <w:t>深入推进平安创建活动，常态化推进扫黑除恶，防范邪教工作，</w:t>
      </w:r>
      <w:r>
        <w:rPr>
          <w:rFonts w:hint="eastAsia" w:cs="黑体" w:asciiTheme="minorEastAsia" w:hAnsiTheme="minorEastAsia"/>
          <w:color w:val="000000"/>
          <w:kern w:val="0"/>
          <w:sz w:val="32"/>
          <w:szCs w:val="32"/>
          <w:highlight w:val="none"/>
          <w:lang w:val="en-US" w:eastAsia="zh-CN"/>
        </w:rPr>
        <w:t>2021年公众安全感测评得分较去年前移26位</w:t>
      </w:r>
      <w:r>
        <w:rPr>
          <w:rFonts w:hint="eastAsia" w:ascii="宋体" w:hAnsi="宋体" w:cs="宋体"/>
          <w:color w:val="333333"/>
          <w:kern w:val="0"/>
          <w:sz w:val="24"/>
          <w:szCs w:val="24"/>
          <w:highlight w:val="none"/>
          <w:lang w:val="en-US" w:eastAsia="zh-CN"/>
        </w:rPr>
        <w:t>，</w:t>
      </w:r>
      <w:r>
        <w:rPr>
          <w:rFonts w:hint="eastAsia" w:cs="黑体" w:asciiTheme="minorEastAsia" w:hAnsiTheme="minorEastAsia"/>
          <w:color w:val="000000"/>
          <w:kern w:val="0"/>
          <w:sz w:val="32"/>
          <w:szCs w:val="32"/>
          <w:highlight w:val="none"/>
          <w:lang w:val="en-US" w:eastAsia="zh-CN"/>
        </w:rPr>
        <w:t>达到了年初预定目标，公众安全感和满意度也不断提高，</w:t>
      </w:r>
      <w:r>
        <w:rPr>
          <w:rFonts w:hint="eastAsia" w:cs="黑体" w:asciiTheme="minorEastAsia" w:hAnsiTheme="minorEastAsia"/>
          <w:color w:val="000000"/>
          <w:kern w:val="0"/>
          <w:sz w:val="32"/>
          <w:szCs w:val="32"/>
          <w:highlight w:val="none"/>
          <w:lang w:eastAsia="zh-CN"/>
        </w:rPr>
        <w:t>平安祁阳建设取得新成效。</w:t>
      </w:r>
    </w:p>
    <w:p>
      <w:pPr>
        <w:keepNext w:val="0"/>
        <w:keepLines w:val="0"/>
        <w:pageBreakBefore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highlight w:val="none"/>
          <w:lang w:eastAsia="zh-CN"/>
        </w:rPr>
      </w:pPr>
      <w:r>
        <w:rPr>
          <w:rFonts w:hint="eastAsia" w:cs="黑体" w:asciiTheme="minorEastAsia" w:hAnsiTheme="minorEastAsia"/>
          <w:color w:val="000000"/>
          <w:kern w:val="0"/>
          <w:sz w:val="32"/>
          <w:szCs w:val="32"/>
          <w:highlight w:val="none"/>
        </w:rPr>
        <w:t>发现的主要问题及原因：</w:t>
      </w:r>
      <w:r>
        <w:rPr>
          <w:rFonts w:hint="eastAsia" w:cs="黑体" w:asciiTheme="minorEastAsia" w:hAnsiTheme="minorEastAsia"/>
          <w:color w:val="000000"/>
          <w:kern w:val="0"/>
          <w:sz w:val="32"/>
          <w:szCs w:val="32"/>
          <w:highlight w:val="none"/>
          <w:lang w:eastAsia="zh-CN"/>
        </w:rPr>
        <w:t>一是</w:t>
      </w:r>
      <w:r>
        <w:rPr>
          <w:rFonts w:hint="eastAsia" w:cs="黑体" w:asciiTheme="minorEastAsia" w:hAnsiTheme="minorEastAsia"/>
          <w:color w:val="000000"/>
          <w:kern w:val="0"/>
          <w:sz w:val="32"/>
          <w:szCs w:val="32"/>
          <w:highlight w:val="none"/>
          <w:lang w:val="en-US" w:eastAsia="zh-CN"/>
        </w:rPr>
        <w:t>公用经费不足，导致挤占项目经费。年初预算公用经费无法保证机关正常行政运行，导致挤占项目经费。</w:t>
      </w:r>
      <w:r>
        <w:rPr>
          <w:rFonts w:hint="eastAsia" w:cs="黑体" w:asciiTheme="minorEastAsia" w:hAnsiTheme="minorEastAsia"/>
          <w:color w:val="000000"/>
          <w:kern w:val="0"/>
          <w:sz w:val="32"/>
          <w:szCs w:val="32"/>
          <w:highlight w:val="none"/>
          <w:lang w:eastAsia="zh-CN"/>
        </w:rPr>
        <w:t>二</w:t>
      </w:r>
      <w:r>
        <w:rPr>
          <w:rFonts w:hint="eastAsia" w:cs="黑体" w:asciiTheme="minorEastAsia" w:hAnsiTheme="minorEastAsia"/>
          <w:color w:val="000000"/>
          <w:kern w:val="0"/>
          <w:sz w:val="32"/>
          <w:szCs w:val="32"/>
          <w:highlight w:val="none"/>
        </w:rPr>
        <w:t>是</w:t>
      </w:r>
      <w:r>
        <w:rPr>
          <w:rFonts w:hint="eastAsia" w:cs="黑体" w:asciiTheme="minorEastAsia" w:hAnsiTheme="minorEastAsia"/>
          <w:color w:val="000000"/>
          <w:kern w:val="0"/>
          <w:sz w:val="32"/>
          <w:szCs w:val="32"/>
          <w:highlight w:val="none"/>
          <w:lang w:eastAsia="zh-CN"/>
        </w:rPr>
        <w:t>预算准确率有待提高。原因是综合</w:t>
      </w:r>
      <w:r>
        <w:rPr>
          <w:rFonts w:hint="eastAsia" w:cs="黑体" w:asciiTheme="minorEastAsia" w:hAnsiTheme="minorEastAsia"/>
          <w:color w:val="000000"/>
          <w:kern w:val="0"/>
          <w:sz w:val="32"/>
          <w:szCs w:val="32"/>
          <w:highlight w:val="none"/>
        </w:rPr>
        <w:t>全面考虑预算编制的经验能力不足导致出现预算调剂情况</w:t>
      </w:r>
      <w:r>
        <w:rPr>
          <w:rFonts w:hint="eastAsia" w:cs="黑体" w:asciiTheme="minorEastAsia" w:hAnsiTheme="minorEastAsia"/>
          <w:color w:val="000000"/>
          <w:kern w:val="0"/>
          <w:sz w:val="32"/>
          <w:szCs w:val="32"/>
          <w:highlight w:val="none"/>
          <w:lang w:eastAsia="zh-CN"/>
        </w:rPr>
        <w:t>。三是预算绩效管理方面。绩效管理的意识不强，绩效自评工作水平参差不齐，绩效自评结果应用不够，部分项目执行部门和单位对预算绩效管理的重视程度不够，对相关政策、业务理论的学习培训还有所欠缺。</w:t>
      </w:r>
    </w:p>
    <w:p>
      <w:pPr>
        <w:keepNext w:val="0"/>
        <w:keepLines w:val="0"/>
        <w:pageBreakBefore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highlight w:val="none"/>
          <w:lang w:eastAsia="zh-CN"/>
        </w:rPr>
      </w:pPr>
      <w:r>
        <w:rPr>
          <w:rFonts w:hint="eastAsia" w:cs="黑体" w:asciiTheme="minorEastAsia" w:hAnsiTheme="minorEastAsia"/>
          <w:color w:val="000000"/>
          <w:kern w:val="0"/>
          <w:sz w:val="32"/>
          <w:szCs w:val="32"/>
          <w:highlight w:val="none"/>
          <w:lang w:eastAsia="zh-CN"/>
        </w:rPr>
        <w:t>下一步改进措施：一、严格控制公用经费开支，合理安排使用各项资金。二、在预算编制时财务人员与业务部门要共同分析研究出现偏离风险的可能性。立足下一年度工作计划，做好与上年预算执行情况的比对，提高预算编制预见能力，根据实际情况及时做好项目库的安排、调整，切实提高预算编制的精度，加强项目预算执行绩效监控管理，便于及时发现问题，进一步提高预算执行绩效。三、推动绩效自评结果应用的制度化建设，根据各项目具体实施部门报送的绩效自评材料情况，实施按等级分类跟踪管理，抓好项目实施的监督，从制度上深化自评结果应用，加强对绩效偏离较大的部门的监督，督促其抓好整改，有重点有针对性的开展预算绩效管理业务的培训，提高其绩效管理意识和工作水平。</w:t>
      </w:r>
    </w:p>
    <w:p>
      <w:pPr>
        <w:keepNext w:val="0"/>
        <w:keepLines w:val="0"/>
        <w:pageBreakBefore w:val="0"/>
        <w:numPr>
          <w:ilvl w:val="0"/>
          <w:numId w:val="0"/>
        </w:numPr>
        <w:kinsoku/>
        <w:wordWrap/>
        <w:overflowPunct/>
        <w:topLinePunct w:val="0"/>
        <w:autoSpaceDE w:val="0"/>
        <w:autoSpaceDN w:val="0"/>
        <w:bidi w:val="0"/>
        <w:adjustRightInd w:val="0"/>
        <w:snapToGrid/>
        <w:ind w:firstLine="640" w:firstLineChars="200"/>
        <w:jc w:val="left"/>
        <w:textAlignment w:val="auto"/>
        <w:rPr>
          <w:rFonts w:cs="黑体" w:asciiTheme="minorEastAsia" w:hAnsiTheme="minorEastAsia"/>
          <w:color w:val="000000"/>
          <w:kern w:val="0"/>
          <w:sz w:val="32"/>
          <w:szCs w:val="32"/>
          <w:highlight w:val="none"/>
        </w:rPr>
      </w:pPr>
      <w:r>
        <w:rPr>
          <w:rFonts w:hint="eastAsia" w:cs="黑体" w:asciiTheme="minorEastAsia" w:hAnsiTheme="minorEastAsia"/>
          <w:b/>
          <w:color w:val="000000"/>
          <w:kern w:val="0"/>
          <w:sz w:val="32"/>
          <w:szCs w:val="32"/>
          <w:highlight w:val="none"/>
        </w:rPr>
        <w:t>（</w:t>
      </w:r>
      <w:r>
        <w:rPr>
          <w:rFonts w:cs="黑体" w:asciiTheme="minorEastAsia" w:hAnsiTheme="minorEastAsia"/>
          <w:b/>
          <w:color w:val="000000"/>
          <w:kern w:val="0"/>
          <w:sz w:val="32"/>
          <w:szCs w:val="32"/>
          <w:highlight w:val="none"/>
        </w:rPr>
        <w:t>3</w:t>
      </w:r>
      <w:r>
        <w:rPr>
          <w:rFonts w:hint="eastAsia" w:cs="黑体" w:asciiTheme="minorEastAsia" w:hAnsiTheme="minorEastAsia"/>
          <w:b/>
          <w:color w:val="000000"/>
          <w:kern w:val="0"/>
          <w:sz w:val="32"/>
          <w:szCs w:val="32"/>
          <w:highlight w:val="none"/>
        </w:rPr>
        <w:t>）部门评价项目绩效评价结果。</w:t>
      </w:r>
    </w:p>
    <w:p>
      <w:pPr>
        <w:keepNext w:val="0"/>
        <w:keepLines w:val="0"/>
        <w:pageBreakBefore w:val="0"/>
        <w:kinsoku/>
        <w:wordWrap/>
        <w:overflowPunct/>
        <w:topLinePunct w:val="0"/>
        <w:autoSpaceDE w:val="0"/>
        <w:autoSpaceDN w:val="0"/>
        <w:bidi w:val="0"/>
        <w:adjustRightInd w:val="0"/>
        <w:snapToGrid/>
        <w:ind w:firstLine="640" w:firstLineChars="200"/>
        <w:jc w:val="left"/>
        <w:textAlignment w:val="auto"/>
        <w:rPr>
          <w:rFonts w:ascii="宋体" w:hAnsi="宋体" w:eastAsia="宋体" w:cs="宋体"/>
          <w:sz w:val="32"/>
          <w:szCs w:val="32"/>
          <w:highlight w:val="none"/>
        </w:rPr>
      </w:pPr>
      <w:r>
        <w:rPr>
          <w:rFonts w:hint="eastAsia" w:cs="黑体" w:asciiTheme="minorEastAsia" w:hAnsiTheme="minorEastAsia"/>
          <w:color w:val="000000"/>
          <w:kern w:val="0"/>
          <w:sz w:val="32"/>
          <w:szCs w:val="32"/>
          <w:highlight w:val="none"/>
          <w:lang w:eastAsia="zh-CN"/>
        </w:rPr>
        <w:t>我单位从预算配置、预算执行、预算管理等方面开展了</w:t>
      </w:r>
      <w:r>
        <w:rPr>
          <w:rFonts w:hint="eastAsia" w:cs="黑体" w:asciiTheme="minorEastAsia" w:hAnsiTheme="minorEastAsia"/>
          <w:color w:val="000000"/>
          <w:kern w:val="0"/>
          <w:sz w:val="32"/>
          <w:szCs w:val="32"/>
          <w:highlight w:val="none"/>
          <w:lang w:val="en-US" w:eastAsia="zh-CN"/>
        </w:rPr>
        <w:t>2021年部门整体支出绩效评价。</w:t>
      </w:r>
      <w:r>
        <w:rPr>
          <w:rFonts w:hint="eastAsia" w:cs="黑体" w:asciiTheme="minorEastAsia" w:hAnsiTheme="minorEastAsia"/>
          <w:color w:val="000000"/>
          <w:kern w:val="0"/>
          <w:sz w:val="32"/>
          <w:szCs w:val="32"/>
          <w:highlight w:val="none"/>
          <w:lang w:eastAsia="zh-CN"/>
        </w:rPr>
        <w:t>从绩效评价结果看，整体预算执行仍有提升空间，本年度已完成的项目各项产出指标、效益指标和满意度指标取得了较好的成果，下一步我们将继续加强项目的执行、推进与监督工作。</w:t>
      </w:r>
      <w:r>
        <w:rPr>
          <w:rFonts w:ascii="宋体" w:hAnsi="宋体" w:eastAsia="宋体" w:cs="宋体"/>
          <w:sz w:val="32"/>
          <w:szCs w:val="32"/>
          <w:highlight w:val="none"/>
        </w:rPr>
        <w:t>部门整体支出绩效</w:t>
      </w:r>
      <w:r>
        <w:rPr>
          <w:rFonts w:hint="eastAsia" w:ascii="宋体" w:hAnsi="宋体" w:eastAsia="宋体" w:cs="宋体"/>
          <w:sz w:val="32"/>
          <w:szCs w:val="32"/>
          <w:highlight w:val="none"/>
          <w:lang w:eastAsia="zh-CN"/>
        </w:rPr>
        <w:t>评价</w:t>
      </w:r>
      <w:r>
        <w:rPr>
          <w:rFonts w:ascii="宋体" w:hAnsi="宋体" w:eastAsia="宋体" w:cs="宋体"/>
          <w:sz w:val="32"/>
          <w:szCs w:val="32"/>
          <w:highlight w:val="none"/>
        </w:rPr>
        <w:t>报告按要求作为部门决算附件公开。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15" w:lineRule="atLeast"/>
        <w:ind w:left="0" w:right="0" w:firstLine="640" w:firstLineChars="200"/>
        <w:textAlignment w:val="auto"/>
        <w:rPr>
          <w:rFonts w:hint="eastAsia" w:cs="黑体" w:asciiTheme="minorEastAsia" w:hAnsiTheme="minorEastAsia" w:eastAsiaTheme="minorEastAsia"/>
          <w:b/>
          <w:bCs/>
          <w:i w:val="0"/>
          <w:iCs w:val="0"/>
          <w:caps w:val="0"/>
          <w:color w:val="000000"/>
          <w:spacing w:val="0"/>
          <w:sz w:val="32"/>
          <w:szCs w:val="32"/>
          <w:highlight w:val="none"/>
          <w:u w:val="none"/>
          <w:shd w:val="clear" w:color="auto" w:fill="auto"/>
        </w:rPr>
      </w:pPr>
      <w:r>
        <w:rPr>
          <w:rFonts w:hint="eastAsia" w:cs="黑体" w:asciiTheme="minorEastAsia" w:hAnsiTheme="minorEastAsia" w:eastAsiaTheme="minorEastAsia"/>
          <w:b/>
          <w:bCs/>
          <w:i w:val="0"/>
          <w:iCs w:val="0"/>
          <w:caps w:val="0"/>
          <w:color w:val="000000"/>
          <w:spacing w:val="0"/>
          <w:sz w:val="32"/>
          <w:szCs w:val="32"/>
          <w:highlight w:val="none"/>
          <w:u w:val="none"/>
          <w:shd w:val="clear" w:color="auto" w:fill="auto"/>
          <w:lang w:val="en-US" w:eastAsia="zh-CN"/>
        </w:rPr>
        <w:t>十四</w:t>
      </w:r>
      <w:r>
        <w:rPr>
          <w:rFonts w:hint="eastAsia" w:cs="黑体" w:asciiTheme="minorEastAsia" w:hAnsiTheme="minorEastAsia" w:eastAsiaTheme="minorEastAsia"/>
          <w:b/>
          <w:bCs/>
          <w:i w:val="0"/>
          <w:iCs w:val="0"/>
          <w:caps w:val="0"/>
          <w:color w:val="000000"/>
          <w:spacing w:val="0"/>
          <w:sz w:val="32"/>
          <w:szCs w:val="32"/>
          <w:highlight w:val="none"/>
          <w:u w:val="none"/>
          <w:shd w:val="clear" w:color="auto" w:fill="auto"/>
        </w:rPr>
        <w:t>、国有资本经营预算财政拨款支出决算情况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15" w:lineRule="atLeast"/>
        <w:ind w:left="0" w:right="0" w:firstLine="640" w:firstLineChars="200"/>
        <w:textAlignment w:val="auto"/>
        <w:rPr>
          <w:rFonts w:hint="eastAsia" w:ascii="宋体" w:hAnsi="宋体" w:cs="宋体" w:eastAsiaTheme="minorEastAsia"/>
          <w:i w:val="0"/>
          <w:iCs w:val="0"/>
          <w:caps w:val="0"/>
          <w:color w:val="666666"/>
          <w:spacing w:val="0"/>
          <w:sz w:val="24"/>
          <w:szCs w:val="24"/>
          <w:highlight w:val="none"/>
          <w:u w:val="none"/>
          <w:shd w:val="clear" w:color="auto" w:fill="FFFFFF"/>
          <w:lang w:eastAsia="zh-CN"/>
        </w:rPr>
      </w:pPr>
      <w:r>
        <w:rPr>
          <w:rFonts w:hint="eastAsia" w:cs="黑体" w:asciiTheme="minorEastAsia" w:hAnsiTheme="minorEastAsia" w:eastAsiaTheme="minorEastAsia"/>
          <w:i w:val="0"/>
          <w:iCs w:val="0"/>
          <w:caps w:val="0"/>
          <w:color w:val="000000"/>
          <w:spacing w:val="0"/>
          <w:sz w:val="32"/>
          <w:szCs w:val="32"/>
          <w:highlight w:val="none"/>
          <w:u w:val="none"/>
          <w:shd w:val="clear" w:color="auto" w:fill="auto"/>
        </w:rPr>
        <w:t>2021年度国有资本经营预算财政拨款支出</w:t>
      </w:r>
      <w:r>
        <w:rPr>
          <w:rFonts w:hint="eastAsia" w:cs="黑体" w:asciiTheme="minorEastAsia" w:hAnsiTheme="minorEastAsia" w:eastAsiaTheme="minorEastAsia"/>
          <w:i w:val="0"/>
          <w:iCs w:val="0"/>
          <w:caps w:val="0"/>
          <w:color w:val="000000"/>
          <w:spacing w:val="0"/>
          <w:sz w:val="32"/>
          <w:szCs w:val="32"/>
          <w:highlight w:val="none"/>
          <w:u w:val="none"/>
          <w:shd w:val="clear"/>
          <w:lang w:eastAsia="zh-CN"/>
        </w:rPr>
        <w:t>0</w:t>
      </w:r>
      <w:r>
        <w:rPr>
          <w:rFonts w:hint="eastAsia" w:cs="黑体" w:asciiTheme="minorEastAsia" w:hAnsiTheme="minorEastAsia" w:eastAsiaTheme="minorEastAsia"/>
          <w:i w:val="0"/>
          <w:iCs w:val="0"/>
          <w:caps w:val="0"/>
          <w:color w:val="000000"/>
          <w:spacing w:val="0"/>
          <w:sz w:val="32"/>
          <w:szCs w:val="32"/>
          <w:highlight w:val="none"/>
          <w:u w:val="none"/>
          <w:shd w:val="clear" w:color="auto" w:fill="auto"/>
        </w:rPr>
        <w:t>万元，其中基本支出</w:t>
      </w:r>
      <w:r>
        <w:rPr>
          <w:rFonts w:hint="eastAsia" w:cs="黑体" w:asciiTheme="minorEastAsia" w:hAnsiTheme="minorEastAsia" w:eastAsiaTheme="minorEastAsia"/>
          <w:i w:val="0"/>
          <w:iCs w:val="0"/>
          <w:caps w:val="0"/>
          <w:color w:val="000000"/>
          <w:spacing w:val="0"/>
          <w:sz w:val="32"/>
          <w:szCs w:val="32"/>
          <w:highlight w:val="none"/>
          <w:u w:val="none"/>
          <w:shd w:val="clear"/>
          <w:lang w:eastAsia="zh-CN"/>
        </w:rPr>
        <w:t>0</w:t>
      </w:r>
      <w:r>
        <w:rPr>
          <w:rFonts w:hint="eastAsia" w:cs="黑体" w:asciiTheme="minorEastAsia" w:hAnsiTheme="minorEastAsia" w:eastAsiaTheme="minorEastAsia"/>
          <w:i w:val="0"/>
          <w:iCs w:val="0"/>
          <w:caps w:val="0"/>
          <w:color w:val="000000"/>
          <w:spacing w:val="0"/>
          <w:sz w:val="32"/>
          <w:szCs w:val="32"/>
          <w:highlight w:val="none"/>
          <w:u w:val="none"/>
          <w:shd w:val="clear" w:color="auto" w:fill="auto"/>
        </w:rPr>
        <w:t>万元，项目支出</w:t>
      </w:r>
      <w:r>
        <w:rPr>
          <w:rFonts w:hint="eastAsia" w:cs="黑体" w:asciiTheme="minorEastAsia" w:hAnsiTheme="minorEastAsia" w:eastAsiaTheme="minorEastAsia"/>
          <w:i w:val="0"/>
          <w:iCs w:val="0"/>
          <w:caps w:val="0"/>
          <w:color w:val="000000"/>
          <w:spacing w:val="0"/>
          <w:sz w:val="32"/>
          <w:szCs w:val="32"/>
          <w:highlight w:val="none"/>
          <w:u w:val="none"/>
          <w:shd w:val="clear"/>
          <w:lang w:eastAsia="zh-CN"/>
        </w:rPr>
        <w:t>0</w:t>
      </w:r>
      <w:r>
        <w:rPr>
          <w:rFonts w:hint="eastAsia" w:cs="黑体" w:asciiTheme="minorEastAsia" w:hAnsiTheme="minorEastAsia" w:eastAsiaTheme="minorEastAsia"/>
          <w:i w:val="0"/>
          <w:iCs w:val="0"/>
          <w:caps w:val="0"/>
          <w:color w:val="000000"/>
          <w:spacing w:val="0"/>
          <w:sz w:val="32"/>
          <w:szCs w:val="32"/>
          <w:highlight w:val="none"/>
          <w:u w:val="none"/>
          <w:shd w:val="clear" w:color="auto" w:fill="auto"/>
        </w:rPr>
        <w:t>万元。本单位无国有资本经营预算支出</w:t>
      </w:r>
      <w:r>
        <w:rPr>
          <w:rFonts w:hint="eastAsia" w:cs="黑体" w:asciiTheme="minorEastAsia" w:hAnsiTheme="minorEastAsia" w:eastAsiaTheme="minorEastAsia"/>
          <w:i w:val="0"/>
          <w:iCs w:val="0"/>
          <w:caps w:val="0"/>
          <w:color w:val="000000"/>
          <w:spacing w:val="0"/>
          <w:sz w:val="32"/>
          <w:szCs w:val="32"/>
          <w:highlight w:val="none"/>
          <w:u w:val="none"/>
          <w:shd w:val="clear"/>
          <w:lang w:eastAsia="zh-CN"/>
        </w:rPr>
        <w:t>。</w:t>
      </w:r>
    </w:p>
    <w:p>
      <w:pPr>
        <w:pStyle w:val="2"/>
        <w:keepNext w:val="0"/>
        <w:keepLines w:val="0"/>
        <w:pageBreakBefore w:val="0"/>
        <w:kinsoku/>
        <w:wordWrap/>
        <w:overflowPunct/>
        <w:topLinePunct w:val="0"/>
        <w:bidi w:val="0"/>
        <w:snapToGrid/>
        <w:ind w:firstLine="420" w:firstLineChars="200"/>
        <w:textAlignment w:val="auto"/>
        <w:rPr>
          <w:highlight w:val="none"/>
        </w:rPr>
      </w:pPr>
    </w:p>
    <w:p>
      <w:pPr>
        <w:keepNext w:val="0"/>
        <w:keepLines w:val="0"/>
        <w:pageBreakBefore w:val="0"/>
        <w:kinsoku/>
        <w:wordWrap/>
        <w:overflowPunct/>
        <w:topLinePunct w:val="0"/>
        <w:bidi w:val="0"/>
        <w:snapToGrid/>
        <w:textAlignment w:val="auto"/>
        <w:rPr>
          <w:rFonts w:hint="eastAsia" w:asciiTheme="minorEastAsia" w:hAnsiTheme="minorEastAsia" w:eastAsiaTheme="minorEastAsia"/>
          <w:sz w:val="72"/>
          <w:szCs w:val="72"/>
          <w:highlight w:val="none"/>
        </w:rPr>
      </w:pPr>
      <w:r>
        <w:rPr>
          <w:rFonts w:asciiTheme="minorEastAsia" w:hAnsiTheme="minorEastAsia" w:eastAsiaTheme="minorEastAsia"/>
          <w:sz w:val="72"/>
          <w:szCs w:val="72"/>
          <w:highlight w:val="none"/>
        </w:rPr>
        <w:br w:type="page"/>
      </w:r>
    </w:p>
    <w:p>
      <w:pPr>
        <w:keepNext w:val="0"/>
        <w:keepLines w:val="0"/>
        <w:pageBreakBefore w:val="0"/>
        <w:kinsoku/>
        <w:wordWrap/>
        <w:overflowPunct/>
        <w:topLinePunct w:val="0"/>
        <w:bidi w:val="0"/>
        <w:snapToGrid/>
        <w:jc w:val="center"/>
        <w:textAlignment w:val="auto"/>
        <w:rPr>
          <w:rFonts w:hint="eastAsia" w:asciiTheme="minorEastAsia" w:hAnsiTheme="minorEastAsia" w:eastAsiaTheme="minorEastAsia"/>
          <w:sz w:val="72"/>
          <w:szCs w:val="72"/>
          <w:highlight w:val="none"/>
        </w:rPr>
      </w:pPr>
    </w:p>
    <w:p>
      <w:pPr>
        <w:keepNext w:val="0"/>
        <w:keepLines w:val="0"/>
        <w:pageBreakBefore w:val="0"/>
        <w:kinsoku/>
        <w:wordWrap/>
        <w:overflowPunct/>
        <w:topLinePunct w:val="0"/>
        <w:bidi w:val="0"/>
        <w:snapToGrid/>
        <w:jc w:val="center"/>
        <w:textAlignment w:val="auto"/>
        <w:rPr>
          <w:rFonts w:hint="eastAsia" w:asciiTheme="minorEastAsia" w:hAnsiTheme="minorEastAsia" w:eastAsiaTheme="minorEastAsia"/>
          <w:sz w:val="72"/>
          <w:szCs w:val="72"/>
          <w:highlight w:val="none"/>
        </w:rPr>
      </w:pPr>
    </w:p>
    <w:p>
      <w:pPr>
        <w:keepNext w:val="0"/>
        <w:keepLines w:val="0"/>
        <w:pageBreakBefore w:val="0"/>
        <w:kinsoku/>
        <w:wordWrap/>
        <w:overflowPunct/>
        <w:topLinePunct w:val="0"/>
        <w:bidi w:val="0"/>
        <w:snapToGrid/>
        <w:jc w:val="center"/>
        <w:textAlignment w:val="auto"/>
        <w:rPr>
          <w:rFonts w:hint="eastAsia" w:asciiTheme="minorEastAsia" w:hAnsiTheme="minorEastAsia" w:eastAsiaTheme="minorEastAsia"/>
          <w:sz w:val="72"/>
          <w:szCs w:val="72"/>
          <w:highlight w:val="none"/>
        </w:rPr>
      </w:pPr>
    </w:p>
    <w:p>
      <w:pPr>
        <w:keepNext w:val="0"/>
        <w:keepLines w:val="0"/>
        <w:pageBreakBefore w:val="0"/>
        <w:kinsoku/>
        <w:wordWrap/>
        <w:overflowPunct/>
        <w:topLinePunct w:val="0"/>
        <w:bidi w:val="0"/>
        <w:snapToGrid/>
        <w:jc w:val="center"/>
        <w:textAlignment w:val="auto"/>
        <w:rPr>
          <w:rFonts w:hint="eastAsia" w:asciiTheme="minorEastAsia" w:hAnsiTheme="minorEastAsia" w:eastAsiaTheme="minorEastAsia"/>
          <w:sz w:val="72"/>
          <w:szCs w:val="72"/>
          <w:highlight w:val="none"/>
        </w:rPr>
      </w:pPr>
    </w:p>
    <w:p>
      <w:pPr>
        <w:keepNext w:val="0"/>
        <w:keepLines w:val="0"/>
        <w:pageBreakBefore w:val="0"/>
        <w:kinsoku/>
        <w:wordWrap/>
        <w:overflowPunct/>
        <w:topLinePunct w:val="0"/>
        <w:bidi w:val="0"/>
        <w:snapToGrid/>
        <w:jc w:val="center"/>
        <w:textAlignment w:val="auto"/>
        <w:rPr>
          <w:rFonts w:hint="eastAsia" w:asciiTheme="minorEastAsia" w:hAnsiTheme="minorEastAsia" w:eastAsiaTheme="minorEastAsia"/>
          <w:sz w:val="72"/>
          <w:szCs w:val="72"/>
          <w:highlight w:val="none"/>
        </w:rPr>
      </w:pPr>
    </w:p>
    <w:p>
      <w:pPr>
        <w:keepNext w:val="0"/>
        <w:keepLines w:val="0"/>
        <w:pageBreakBefore w:val="0"/>
        <w:kinsoku/>
        <w:wordWrap/>
        <w:overflowPunct/>
        <w:topLinePunct w:val="0"/>
        <w:bidi w:val="0"/>
        <w:snapToGrid/>
        <w:jc w:val="center"/>
        <w:textAlignment w:val="auto"/>
        <w:rPr>
          <w:rFonts w:hint="eastAsia" w:asciiTheme="minorEastAsia" w:hAnsiTheme="minorEastAsia" w:eastAsiaTheme="minorEastAsia"/>
          <w:sz w:val="72"/>
          <w:szCs w:val="72"/>
          <w:highlight w:val="none"/>
        </w:rPr>
      </w:pPr>
    </w:p>
    <w:p>
      <w:pPr>
        <w:keepNext w:val="0"/>
        <w:keepLines w:val="0"/>
        <w:pageBreakBefore w:val="0"/>
        <w:kinsoku/>
        <w:wordWrap/>
        <w:overflowPunct/>
        <w:topLinePunct w:val="0"/>
        <w:bidi w:val="0"/>
        <w:snapToGrid/>
        <w:jc w:val="center"/>
        <w:textAlignment w:val="auto"/>
        <w:rPr>
          <w:rFonts w:hint="eastAsia" w:asciiTheme="minorEastAsia" w:hAnsiTheme="minorEastAsia" w:eastAsiaTheme="minorEastAsia"/>
          <w:sz w:val="72"/>
          <w:szCs w:val="72"/>
          <w:highlight w:val="none"/>
        </w:rPr>
      </w:pPr>
      <w:r>
        <w:rPr>
          <w:rFonts w:hint="eastAsia" w:asciiTheme="minorEastAsia" w:hAnsiTheme="minorEastAsia" w:eastAsiaTheme="minorEastAsia"/>
          <w:sz w:val="72"/>
          <w:szCs w:val="72"/>
          <w:highlight w:val="none"/>
        </w:rPr>
        <w:t>第四部分</w:t>
      </w:r>
    </w:p>
    <w:p>
      <w:pPr>
        <w:keepNext w:val="0"/>
        <w:keepLines w:val="0"/>
        <w:pageBreakBefore w:val="0"/>
        <w:kinsoku/>
        <w:wordWrap/>
        <w:overflowPunct/>
        <w:topLinePunct w:val="0"/>
        <w:bidi w:val="0"/>
        <w:snapToGrid/>
        <w:jc w:val="center"/>
        <w:textAlignment w:val="auto"/>
        <w:rPr>
          <w:rFonts w:hint="eastAsia" w:asciiTheme="minorEastAsia" w:hAnsiTheme="minorEastAsia" w:eastAsiaTheme="minorEastAsia"/>
          <w:sz w:val="72"/>
          <w:szCs w:val="72"/>
          <w:highlight w:val="none"/>
        </w:rPr>
      </w:pPr>
    </w:p>
    <w:p>
      <w:pPr>
        <w:keepNext w:val="0"/>
        <w:keepLines w:val="0"/>
        <w:pageBreakBefore w:val="0"/>
        <w:kinsoku/>
        <w:wordWrap/>
        <w:overflowPunct/>
        <w:topLinePunct w:val="0"/>
        <w:bidi w:val="0"/>
        <w:snapToGrid/>
        <w:jc w:val="center"/>
        <w:textAlignment w:val="auto"/>
        <w:rPr>
          <w:rFonts w:cs="黑体" w:asciiTheme="minorEastAsia" w:hAnsiTheme="minorEastAsia"/>
          <w:color w:val="000000"/>
          <w:kern w:val="0"/>
          <w:sz w:val="70"/>
          <w:szCs w:val="70"/>
          <w:highlight w:val="none"/>
        </w:rPr>
      </w:pPr>
      <w:r>
        <w:rPr>
          <w:rFonts w:hint="eastAsia" w:cs="黑体" w:asciiTheme="minorEastAsia" w:hAnsiTheme="minorEastAsia"/>
          <w:color w:val="000000"/>
          <w:kern w:val="0"/>
          <w:sz w:val="70"/>
          <w:szCs w:val="70"/>
          <w:highlight w:val="none"/>
        </w:rPr>
        <w:t>名词解释</w:t>
      </w:r>
    </w:p>
    <w:p>
      <w:pPr>
        <w:keepNext w:val="0"/>
        <w:keepLines w:val="0"/>
        <w:pageBreakBefore w:val="0"/>
        <w:widowControl/>
        <w:kinsoku/>
        <w:wordWrap/>
        <w:overflowPunct/>
        <w:topLinePunct w:val="0"/>
        <w:bidi w:val="0"/>
        <w:snapToGrid/>
        <w:ind w:firstLine="1400" w:firstLineChars="200"/>
        <w:jc w:val="left"/>
        <w:textAlignment w:val="auto"/>
        <w:rPr>
          <w:rFonts w:cs="黑体" w:asciiTheme="minorEastAsia" w:hAnsiTheme="minorEastAsia"/>
          <w:color w:val="000000"/>
          <w:kern w:val="0"/>
          <w:sz w:val="32"/>
          <w:szCs w:val="32"/>
          <w:highlight w:val="none"/>
        </w:rPr>
      </w:pPr>
      <w:r>
        <w:rPr>
          <w:rFonts w:cs="黑体" w:asciiTheme="minorEastAsia" w:hAnsiTheme="minorEastAsia"/>
          <w:color w:val="000000"/>
          <w:kern w:val="0"/>
          <w:sz w:val="70"/>
          <w:szCs w:val="70"/>
          <w:highlight w:val="none"/>
        </w:rPr>
        <w:br w:type="page"/>
      </w:r>
    </w:p>
    <w:p>
      <w:pPr>
        <w:keepNext w:val="0"/>
        <w:keepLines w:val="0"/>
        <w:pageBreakBefore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rPr>
        <w:t>财政拨款收入：指本级财政当年拨付的资金。</w:t>
      </w:r>
    </w:p>
    <w:p>
      <w:pPr>
        <w:keepNext w:val="0"/>
        <w:keepLines w:val="0"/>
        <w:pageBreakBefore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rPr>
        <w:t>上年结转和结余：指以前年度尚未完成、结转到本年按有关规定继续使用的资金。</w:t>
      </w:r>
    </w:p>
    <w:p>
      <w:pPr>
        <w:keepNext w:val="0"/>
        <w:keepLines w:val="0"/>
        <w:pageBreakBefore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rPr>
        <w:t>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联事务、群众团体事务、党委办公厅（室）及相关机构事务、组织事务、宣传事务、统战事务、其他一般公共服务等方面的支出，包括保障机构正常运转、完成日常和特定的工作任务或事业发展目标的支出。</w:t>
      </w:r>
    </w:p>
    <w:p>
      <w:pPr>
        <w:keepNext w:val="0"/>
        <w:keepLines w:val="0"/>
        <w:pageBreakBefore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rPr>
        <w:t>基本支出：指保障机构正常运转、完成支日常工作任务而发生的人员支出和公用支出。</w:t>
      </w:r>
    </w:p>
    <w:p>
      <w:pPr>
        <w:keepNext w:val="0"/>
        <w:keepLines w:val="0"/>
        <w:pageBreakBefore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rPr>
        <w:t>项目支出：指在基本支出之外为完成特定行政任务和事业发展目标所发生的支出。</w:t>
      </w:r>
    </w:p>
    <w:p>
      <w:pPr>
        <w:keepNext w:val="0"/>
        <w:keepLines w:val="0"/>
        <w:pageBreakBefore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rPr>
        <w:t>工资福利支出：反映单位开支的在职职工和编制外长期聘用人员的各类劳动报酬，以及为上述人员缴纳的各项社会保险费等。</w:t>
      </w:r>
    </w:p>
    <w:p>
      <w:pPr>
        <w:keepNext w:val="0"/>
        <w:keepLines w:val="0"/>
        <w:pageBreakBefore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rPr>
        <w:t>商品和服务支出：反映单位购买商品和服务的支出（不包括用于购置固定资产的支出、战略性和应急储备支出）。</w:t>
      </w:r>
    </w:p>
    <w:p>
      <w:pPr>
        <w:keepNext w:val="0"/>
        <w:keepLines w:val="0"/>
        <w:pageBreakBefore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highlight w:val="none"/>
          <w:lang w:val="zh-CN"/>
        </w:rPr>
      </w:pPr>
      <w:r>
        <w:rPr>
          <w:rFonts w:hint="eastAsia" w:cs="黑体" w:asciiTheme="minorEastAsia" w:hAnsiTheme="minorEastAsia"/>
          <w:color w:val="000000"/>
          <w:kern w:val="0"/>
          <w:sz w:val="32"/>
          <w:szCs w:val="32"/>
          <w:highlight w:val="none"/>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 办公用房物业管理费、 公务用车运行维护费以及其他费用。</w:t>
      </w:r>
    </w:p>
    <w:p>
      <w:pPr>
        <w:pStyle w:val="14"/>
        <w:keepNext w:val="0"/>
        <w:keepLines w:val="0"/>
        <w:pageBreakBefore w:val="0"/>
        <w:kinsoku/>
        <w:wordWrap/>
        <w:overflowPunct/>
        <w:topLinePunct w:val="0"/>
        <w:bidi w:val="0"/>
        <w:snapToGrid/>
        <w:ind w:firstLine="1440" w:firstLineChars="200"/>
        <w:jc w:val="center"/>
        <w:textAlignment w:val="auto"/>
        <w:rPr>
          <w:rFonts w:asciiTheme="minorEastAsia" w:hAnsiTheme="minorEastAsia" w:eastAsiaTheme="minorEastAsia"/>
          <w:sz w:val="72"/>
          <w:szCs w:val="72"/>
          <w:highlight w:val="none"/>
        </w:rPr>
      </w:pPr>
    </w:p>
    <w:p>
      <w:pPr>
        <w:pStyle w:val="14"/>
        <w:keepNext w:val="0"/>
        <w:keepLines w:val="0"/>
        <w:pageBreakBefore w:val="0"/>
        <w:kinsoku/>
        <w:wordWrap/>
        <w:overflowPunct/>
        <w:topLinePunct w:val="0"/>
        <w:bidi w:val="0"/>
        <w:snapToGrid/>
        <w:ind w:firstLine="1440" w:firstLineChars="200"/>
        <w:jc w:val="center"/>
        <w:textAlignment w:val="auto"/>
        <w:rPr>
          <w:rFonts w:asciiTheme="minorEastAsia" w:hAnsiTheme="minorEastAsia" w:eastAsiaTheme="minorEastAsia"/>
          <w:sz w:val="72"/>
          <w:szCs w:val="72"/>
          <w:highlight w:val="none"/>
        </w:rPr>
      </w:pPr>
    </w:p>
    <w:p>
      <w:pPr>
        <w:pStyle w:val="14"/>
        <w:keepNext w:val="0"/>
        <w:keepLines w:val="0"/>
        <w:pageBreakBefore w:val="0"/>
        <w:kinsoku/>
        <w:wordWrap/>
        <w:overflowPunct/>
        <w:topLinePunct w:val="0"/>
        <w:bidi w:val="0"/>
        <w:snapToGrid/>
        <w:ind w:firstLine="1440" w:firstLineChars="200"/>
        <w:jc w:val="center"/>
        <w:textAlignment w:val="auto"/>
        <w:rPr>
          <w:rFonts w:asciiTheme="minorEastAsia" w:hAnsiTheme="minorEastAsia" w:eastAsiaTheme="minorEastAsia"/>
          <w:sz w:val="72"/>
          <w:szCs w:val="72"/>
          <w:highlight w:val="none"/>
        </w:rPr>
      </w:pPr>
    </w:p>
    <w:p>
      <w:pPr>
        <w:pStyle w:val="14"/>
        <w:keepNext w:val="0"/>
        <w:keepLines w:val="0"/>
        <w:pageBreakBefore w:val="0"/>
        <w:kinsoku/>
        <w:wordWrap/>
        <w:overflowPunct/>
        <w:topLinePunct w:val="0"/>
        <w:bidi w:val="0"/>
        <w:snapToGrid/>
        <w:ind w:firstLine="1440" w:firstLineChars="200"/>
        <w:jc w:val="center"/>
        <w:textAlignment w:val="auto"/>
        <w:rPr>
          <w:rFonts w:asciiTheme="minorEastAsia" w:hAnsiTheme="minorEastAsia" w:eastAsiaTheme="minorEastAsia"/>
          <w:sz w:val="72"/>
          <w:szCs w:val="72"/>
          <w:highlight w:val="none"/>
        </w:rPr>
      </w:pPr>
    </w:p>
    <w:p>
      <w:pPr>
        <w:pStyle w:val="14"/>
        <w:keepNext w:val="0"/>
        <w:keepLines w:val="0"/>
        <w:pageBreakBefore w:val="0"/>
        <w:kinsoku/>
        <w:wordWrap/>
        <w:overflowPunct/>
        <w:topLinePunct w:val="0"/>
        <w:bidi w:val="0"/>
        <w:snapToGrid/>
        <w:ind w:firstLine="1440" w:firstLineChars="200"/>
        <w:jc w:val="center"/>
        <w:textAlignment w:val="auto"/>
        <w:rPr>
          <w:rFonts w:asciiTheme="minorEastAsia" w:hAnsiTheme="minorEastAsia" w:eastAsiaTheme="minorEastAsia"/>
          <w:sz w:val="72"/>
          <w:szCs w:val="72"/>
          <w:highlight w:val="none"/>
        </w:rPr>
      </w:pPr>
    </w:p>
    <w:p>
      <w:pPr>
        <w:pStyle w:val="14"/>
        <w:keepNext w:val="0"/>
        <w:keepLines w:val="0"/>
        <w:pageBreakBefore w:val="0"/>
        <w:kinsoku/>
        <w:wordWrap/>
        <w:overflowPunct/>
        <w:topLinePunct w:val="0"/>
        <w:bidi w:val="0"/>
        <w:snapToGrid/>
        <w:ind w:firstLine="1440" w:firstLineChars="200"/>
        <w:jc w:val="center"/>
        <w:textAlignment w:val="auto"/>
        <w:rPr>
          <w:rFonts w:asciiTheme="minorEastAsia" w:hAnsiTheme="minorEastAsia" w:eastAsiaTheme="minorEastAsia"/>
          <w:sz w:val="72"/>
          <w:szCs w:val="72"/>
          <w:highlight w:val="none"/>
        </w:rPr>
      </w:pPr>
    </w:p>
    <w:p>
      <w:pPr>
        <w:pStyle w:val="14"/>
        <w:keepNext w:val="0"/>
        <w:keepLines w:val="0"/>
        <w:pageBreakBefore w:val="0"/>
        <w:kinsoku/>
        <w:wordWrap/>
        <w:overflowPunct/>
        <w:topLinePunct w:val="0"/>
        <w:bidi w:val="0"/>
        <w:snapToGrid/>
        <w:ind w:firstLine="1440" w:firstLineChars="200"/>
        <w:jc w:val="center"/>
        <w:textAlignment w:val="auto"/>
        <w:rPr>
          <w:rFonts w:asciiTheme="minorEastAsia" w:hAnsiTheme="minorEastAsia" w:eastAsiaTheme="minorEastAsia"/>
          <w:sz w:val="72"/>
          <w:szCs w:val="72"/>
          <w:highlight w:val="none"/>
        </w:rPr>
      </w:pPr>
    </w:p>
    <w:p>
      <w:pPr>
        <w:pStyle w:val="14"/>
        <w:keepNext w:val="0"/>
        <w:keepLines w:val="0"/>
        <w:pageBreakBefore w:val="0"/>
        <w:kinsoku/>
        <w:wordWrap/>
        <w:overflowPunct/>
        <w:topLinePunct w:val="0"/>
        <w:bidi w:val="0"/>
        <w:snapToGrid/>
        <w:ind w:firstLine="1440" w:firstLineChars="200"/>
        <w:jc w:val="center"/>
        <w:textAlignment w:val="auto"/>
        <w:rPr>
          <w:rFonts w:asciiTheme="minorEastAsia" w:hAnsiTheme="minorEastAsia" w:eastAsiaTheme="minorEastAsia"/>
          <w:sz w:val="72"/>
          <w:szCs w:val="72"/>
          <w:highlight w:val="none"/>
        </w:rPr>
      </w:pPr>
    </w:p>
    <w:p>
      <w:pPr>
        <w:pStyle w:val="14"/>
        <w:keepNext w:val="0"/>
        <w:keepLines w:val="0"/>
        <w:pageBreakBefore w:val="0"/>
        <w:kinsoku/>
        <w:wordWrap/>
        <w:overflowPunct/>
        <w:topLinePunct w:val="0"/>
        <w:bidi w:val="0"/>
        <w:snapToGrid/>
        <w:ind w:firstLine="1440" w:firstLineChars="200"/>
        <w:jc w:val="center"/>
        <w:textAlignment w:val="auto"/>
        <w:rPr>
          <w:rFonts w:asciiTheme="minorEastAsia" w:hAnsiTheme="minorEastAsia" w:eastAsiaTheme="minorEastAsia"/>
          <w:sz w:val="72"/>
          <w:szCs w:val="72"/>
          <w:highlight w:val="none"/>
        </w:rPr>
      </w:pPr>
    </w:p>
    <w:p>
      <w:pPr>
        <w:pStyle w:val="14"/>
        <w:keepNext w:val="0"/>
        <w:keepLines w:val="0"/>
        <w:pageBreakBefore w:val="0"/>
        <w:kinsoku/>
        <w:wordWrap/>
        <w:overflowPunct/>
        <w:topLinePunct w:val="0"/>
        <w:bidi w:val="0"/>
        <w:snapToGrid/>
        <w:ind w:firstLine="1440" w:firstLineChars="200"/>
        <w:jc w:val="center"/>
        <w:textAlignment w:val="auto"/>
        <w:rPr>
          <w:rFonts w:asciiTheme="minorEastAsia" w:hAnsiTheme="minorEastAsia" w:eastAsiaTheme="minorEastAsia"/>
          <w:sz w:val="72"/>
          <w:szCs w:val="72"/>
          <w:highlight w:val="none"/>
        </w:rPr>
      </w:pPr>
    </w:p>
    <w:p>
      <w:pPr>
        <w:pStyle w:val="14"/>
        <w:keepNext w:val="0"/>
        <w:keepLines w:val="0"/>
        <w:pageBreakBefore w:val="0"/>
        <w:kinsoku/>
        <w:wordWrap/>
        <w:overflowPunct/>
        <w:topLinePunct w:val="0"/>
        <w:bidi w:val="0"/>
        <w:snapToGrid/>
        <w:ind w:firstLine="1440" w:firstLineChars="200"/>
        <w:jc w:val="center"/>
        <w:textAlignment w:val="auto"/>
        <w:rPr>
          <w:rFonts w:asciiTheme="minorEastAsia" w:hAnsiTheme="minorEastAsia" w:eastAsiaTheme="minorEastAsia"/>
          <w:sz w:val="72"/>
          <w:szCs w:val="72"/>
          <w:highlight w:val="none"/>
        </w:rPr>
      </w:pPr>
    </w:p>
    <w:p>
      <w:pPr>
        <w:pStyle w:val="14"/>
        <w:keepNext w:val="0"/>
        <w:keepLines w:val="0"/>
        <w:pageBreakBefore w:val="0"/>
        <w:kinsoku/>
        <w:wordWrap/>
        <w:overflowPunct/>
        <w:topLinePunct w:val="0"/>
        <w:bidi w:val="0"/>
        <w:snapToGrid/>
        <w:ind w:firstLine="1440" w:firstLineChars="200"/>
        <w:jc w:val="center"/>
        <w:textAlignment w:val="auto"/>
        <w:rPr>
          <w:rFonts w:asciiTheme="minorEastAsia" w:hAnsiTheme="minorEastAsia" w:eastAsiaTheme="minorEastAsia"/>
          <w:sz w:val="72"/>
          <w:szCs w:val="72"/>
          <w:highlight w:val="none"/>
        </w:rPr>
      </w:pPr>
    </w:p>
    <w:p>
      <w:pPr>
        <w:pStyle w:val="14"/>
        <w:keepNext w:val="0"/>
        <w:keepLines w:val="0"/>
        <w:pageBreakBefore w:val="0"/>
        <w:kinsoku/>
        <w:wordWrap/>
        <w:overflowPunct/>
        <w:topLinePunct w:val="0"/>
        <w:bidi w:val="0"/>
        <w:snapToGrid/>
        <w:ind w:firstLine="1440" w:firstLineChars="200"/>
        <w:jc w:val="center"/>
        <w:textAlignment w:val="auto"/>
        <w:rPr>
          <w:rFonts w:asciiTheme="minorEastAsia" w:hAnsiTheme="minorEastAsia" w:eastAsiaTheme="minorEastAsia"/>
          <w:sz w:val="72"/>
          <w:szCs w:val="72"/>
          <w:highlight w:val="none"/>
        </w:rPr>
      </w:pPr>
    </w:p>
    <w:p>
      <w:pPr>
        <w:pStyle w:val="14"/>
        <w:keepNext w:val="0"/>
        <w:keepLines w:val="0"/>
        <w:pageBreakBefore w:val="0"/>
        <w:kinsoku/>
        <w:wordWrap/>
        <w:overflowPunct/>
        <w:topLinePunct w:val="0"/>
        <w:bidi w:val="0"/>
        <w:snapToGrid/>
        <w:ind w:firstLine="1440" w:firstLineChars="200"/>
        <w:jc w:val="center"/>
        <w:textAlignment w:val="auto"/>
        <w:rPr>
          <w:rFonts w:asciiTheme="minorEastAsia" w:hAnsiTheme="minorEastAsia" w:eastAsiaTheme="minorEastAsia"/>
          <w:sz w:val="72"/>
          <w:szCs w:val="72"/>
          <w:highlight w:val="none"/>
        </w:rPr>
      </w:pPr>
    </w:p>
    <w:p>
      <w:pPr>
        <w:pStyle w:val="14"/>
        <w:keepNext w:val="0"/>
        <w:keepLines w:val="0"/>
        <w:pageBreakBefore w:val="0"/>
        <w:kinsoku/>
        <w:wordWrap/>
        <w:overflowPunct/>
        <w:topLinePunct w:val="0"/>
        <w:bidi w:val="0"/>
        <w:snapToGrid/>
        <w:ind w:firstLine="1440" w:firstLineChars="200"/>
        <w:jc w:val="center"/>
        <w:textAlignment w:val="auto"/>
        <w:rPr>
          <w:rFonts w:asciiTheme="minorEastAsia" w:hAnsiTheme="minorEastAsia" w:eastAsiaTheme="minorEastAsia"/>
          <w:sz w:val="72"/>
          <w:szCs w:val="72"/>
          <w:highlight w:val="none"/>
        </w:rPr>
      </w:pPr>
    </w:p>
    <w:p>
      <w:pPr>
        <w:pStyle w:val="14"/>
        <w:keepNext w:val="0"/>
        <w:keepLines w:val="0"/>
        <w:pageBreakBefore w:val="0"/>
        <w:kinsoku/>
        <w:wordWrap/>
        <w:overflowPunct/>
        <w:topLinePunct w:val="0"/>
        <w:bidi w:val="0"/>
        <w:snapToGrid/>
        <w:ind w:firstLine="1440" w:firstLineChars="200"/>
        <w:jc w:val="center"/>
        <w:textAlignment w:val="auto"/>
        <w:rPr>
          <w:rFonts w:asciiTheme="minorEastAsia" w:hAnsiTheme="minorEastAsia" w:eastAsiaTheme="minorEastAsia"/>
          <w:sz w:val="72"/>
          <w:szCs w:val="72"/>
          <w:highlight w:val="none"/>
        </w:rPr>
      </w:pPr>
    </w:p>
    <w:p>
      <w:pPr>
        <w:pStyle w:val="14"/>
        <w:keepNext w:val="0"/>
        <w:keepLines w:val="0"/>
        <w:pageBreakBefore w:val="0"/>
        <w:kinsoku/>
        <w:wordWrap/>
        <w:overflowPunct/>
        <w:topLinePunct w:val="0"/>
        <w:bidi w:val="0"/>
        <w:snapToGrid/>
        <w:ind w:firstLine="1440" w:firstLineChars="200"/>
        <w:jc w:val="center"/>
        <w:textAlignment w:val="auto"/>
        <w:rPr>
          <w:rFonts w:asciiTheme="minorEastAsia" w:hAnsiTheme="minorEastAsia" w:eastAsiaTheme="minorEastAsia"/>
          <w:sz w:val="72"/>
          <w:szCs w:val="72"/>
          <w:highlight w:val="none"/>
        </w:rPr>
      </w:pPr>
    </w:p>
    <w:p>
      <w:pPr>
        <w:pStyle w:val="14"/>
        <w:keepNext w:val="0"/>
        <w:keepLines w:val="0"/>
        <w:pageBreakBefore w:val="0"/>
        <w:kinsoku/>
        <w:wordWrap/>
        <w:overflowPunct/>
        <w:topLinePunct w:val="0"/>
        <w:bidi w:val="0"/>
        <w:snapToGrid/>
        <w:ind w:firstLine="1440" w:firstLineChars="200"/>
        <w:jc w:val="center"/>
        <w:textAlignment w:val="auto"/>
        <w:rPr>
          <w:rFonts w:asciiTheme="minorEastAsia" w:hAnsiTheme="minorEastAsia" w:eastAsiaTheme="minorEastAsia"/>
          <w:sz w:val="72"/>
          <w:szCs w:val="72"/>
          <w:highlight w:val="none"/>
        </w:rPr>
      </w:pPr>
    </w:p>
    <w:p>
      <w:pPr>
        <w:pStyle w:val="14"/>
        <w:keepNext w:val="0"/>
        <w:keepLines w:val="0"/>
        <w:pageBreakBefore w:val="0"/>
        <w:kinsoku/>
        <w:wordWrap/>
        <w:overflowPunct/>
        <w:topLinePunct w:val="0"/>
        <w:bidi w:val="0"/>
        <w:snapToGrid/>
        <w:jc w:val="center"/>
        <w:textAlignment w:val="auto"/>
        <w:rPr>
          <w:rFonts w:asciiTheme="minorEastAsia" w:hAnsiTheme="minorEastAsia" w:eastAsiaTheme="minorEastAsia"/>
          <w:sz w:val="72"/>
          <w:szCs w:val="72"/>
          <w:highlight w:val="none"/>
        </w:rPr>
      </w:pPr>
      <w:r>
        <w:rPr>
          <w:rFonts w:hint="eastAsia" w:asciiTheme="minorEastAsia" w:hAnsiTheme="minorEastAsia" w:eastAsiaTheme="minorEastAsia"/>
          <w:sz w:val="72"/>
          <w:szCs w:val="72"/>
          <w:highlight w:val="none"/>
        </w:rPr>
        <w:t>第五部分</w:t>
      </w:r>
    </w:p>
    <w:p>
      <w:pPr>
        <w:keepNext w:val="0"/>
        <w:keepLines w:val="0"/>
        <w:pageBreakBefore w:val="0"/>
        <w:kinsoku/>
        <w:wordWrap/>
        <w:overflowPunct/>
        <w:topLinePunct w:val="0"/>
        <w:bidi w:val="0"/>
        <w:snapToGrid/>
        <w:ind w:firstLine="1400" w:firstLineChars="200"/>
        <w:jc w:val="center"/>
        <w:textAlignment w:val="auto"/>
        <w:rPr>
          <w:rFonts w:cs="黑体" w:asciiTheme="minorEastAsia" w:hAnsiTheme="minorEastAsia"/>
          <w:color w:val="000000"/>
          <w:kern w:val="0"/>
          <w:sz w:val="70"/>
          <w:szCs w:val="70"/>
          <w:highlight w:val="none"/>
        </w:rPr>
      </w:pPr>
    </w:p>
    <w:p>
      <w:pPr>
        <w:keepNext w:val="0"/>
        <w:keepLines w:val="0"/>
        <w:pageBreakBefore w:val="0"/>
        <w:kinsoku/>
        <w:wordWrap/>
        <w:overflowPunct/>
        <w:topLinePunct w:val="0"/>
        <w:bidi w:val="0"/>
        <w:snapToGrid/>
        <w:jc w:val="center"/>
        <w:textAlignment w:val="auto"/>
        <w:rPr>
          <w:rFonts w:cs="黑体" w:asciiTheme="minorEastAsia" w:hAnsiTheme="minorEastAsia"/>
          <w:color w:val="000000"/>
          <w:kern w:val="0"/>
          <w:sz w:val="70"/>
          <w:szCs w:val="70"/>
          <w:highlight w:val="none"/>
        </w:rPr>
      </w:pPr>
      <w:r>
        <w:rPr>
          <w:rFonts w:hint="eastAsia" w:cs="黑体" w:asciiTheme="minorEastAsia" w:hAnsiTheme="minorEastAsia"/>
          <w:color w:val="000000"/>
          <w:kern w:val="0"/>
          <w:sz w:val="70"/>
          <w:szCs w:val="70"/>
          <w:highlight w:val="none"/>
        </w:rPr>
        <w:t>附件</w:t>
      </w:r>
    </w:p>
    <w:p>
      <w:pPr>
        <w:keepNext w:val="0"/>
        <w:keepLines w:val="0"/>
        <w:pageBreakBefore w:val="0"/>
        <w:widowControl/>
        <w:kinsoku/>
        <w:wordWrap/>
        <w:overflowPunct/>
        <w:topLinePunct w:val="0"/>
        <w:bidi w:val="0"/>
        <w:snapToGrid/>
        <w:ind w:firstLine="1400" w:firstLineChars="200"/>
        <w:jc w:val="left"/>
        <w:textAlignment w:val="auto"/>
        <w:rPr>
          <w:rFonts w:cs="黑体" w:asciiTheme="minorEastAsia" w:hAnsiTheme="minorEastAsia"/>
          <w:color w:val="000000"/>
          <w:kern w:val="0"/>
          <w:sz w:val="70"/>
          <w:szCs w:val="70"/>
          <w:highlight w:val="none"/>
        </w:rPr>
      </w:pPr>
      <w:r>
        <w:rPr>
          <w:rFonts w:cs="黑体" w:asciiTheme="minorEastAsia" w:hAnsiTheme="minorEastAsia"/>
          <w:color w:val="000000"/>
          <w:kern w:val="0"/>
          <w:sz w:val="70"/>
          <w:szCs w:val="70"/>
          <w:highlight w:val="none"/>
        </w:rPr>
        <w:br w:type="page"/>
      </w:r>
    </w:p>
    <w:p>
      <w:pPr>
        <w:keepNext w:val="0"/>
        <w:keepLines w:val="0"/>
        <w:pageBreakBefore w:val="0"/>
        <w:kinsoku/>
        <w:wordWrap/>
        <w:overflowPunct/>
        <w:topLinePunct w:val="0"/>
        <w:bidi w:val="0"/>
        <w:snapToGrid/>
        <w:ind w:firstLine="640" w:firstLineChars="200"/>
        <w:jc w:val="center"/>
        <w:textAlignment w:val="auto"/>
        <w:rPr>
          <w:rFonts w:hint="eastAsia" w:cs="黑体" w:asciiTheme="minorEastAsia" w:hAnsiTheme="minorEastAsia"/>
          <w:b/>
          <w:color w:val="000000"/>
          <w:kern w:val="0"/>
          <w:sz w:val="32"/>
          <w:szCs w:val="32"/>
          <w:highlight w:val="none"/>
        </w:rPr>
      </w:pPr>
    </w:p>
    <w:p>
      <w:pPr>
        <w:keepNext w:val="0"/>
        <w:keepLines w:val="0"/>
        <w:pageBreakBefore w:val="0"/>
        <w:kinsoku/>
        <w:wordWrap/>
        <w:overflowPunct/>
        <w:topLinePunct w:val="0"/>
        <w:autoSpaceDE w:val="0"/>
        <w:autoSpaceDN w:val="0"/>
        <w:bidi w:val="0"/>
        <w:adjustRightInd w:val="0"/>
        <w:snapToGrid/>
        <w:ind w:firstLine="640" w:firstLineChars="200"/>
        <w:jc w:val="center"/>
        <w:textAlignment w:val="auto"/>
        <w:rPr>
          <w:rFonts w:hint="eastAsia" w:cs="黑体" w:asciiTheme="minorEastAsia" w:hAnsiTheme="minorEastAsia"/>
          <w:b/>
          <w:bCs/>
          <w:color w:val="000000"/>
          <w:kern w:val="0"/>
          <w:sz w:val="32"/>
          <w:szCs w:val="32"/>
          <w:highlight w:val="none"/>
        </w:rPr>
      </w:pPr>
      <w:r>
        <w:rPr>
          <w:rFonts w:hint="eastAsia" w:cs="黑体" w:asciiTheme="minorEastAsia" w:hAnsiTheme="minorEastAsia"/>
          <w:b/>
          <w:bCs/>
          <w:color w:val="000000"/>
          <w:kern w:val="0"/>
          <w:sz w:val="32"/>
          <w:szCs w:val="32"/>
          <w:highlight w:val="none"/>
        </w:rPr>
        <w:t>2021年度部门整体支出绩效评价报告</w:t>
      </w:r>
    </w:p>
    <w:p>
      <w:pPr>
        <w:keepNext w:val="0"/>
        <w:keepLines w:val="0"/>
        <w:pageBreakBefore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highlight w:val="none"/>
        </w:rPr>
      </w:pPr>
    </w:p>
    <w:p>
      <w:pPr>
        <w:keepNext w:val="0"/>
        <w:keepLines w:val="0"/>
        <w:pageBreakBefore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highlight w:val="none"/>
          <w:lang w:val="en-US" w:eastAsia="zh-CN"/>
        </w:rPr>
      </w:pPr>
      <w:r>
        <w:rPr>
          <w:rFonts w:hint="eastAsia" w:cs="黑体" w:asciiTheme="minorEastAsia" w:hAnsiTheme="minorEastAsia"/>
          <w:color w:val="000000"/>
          <w:kern w:val="0"/>
          <w:sz w:val="32"/>
          <w:szCs w:val="32"/>
          <w:highlight w:val="none"/>
          <w:lang w:val="en-US" w:eastAsia="zh-CN"/>
        </w:rPr>
        <w:t>一、单位基本情况</w:t>
      </w:r>
    </w:p>
    <w:p>
      <w:pPr>
        <w:keepNext w:val="0"/>
        <w:keepLines w:val="0"/>
        <w:pageBreakBefore w:val="0"/>
        <w:kinsoku/>
        <w:wordWrap/>
        <w:overflowPunct/>
        <w:topLinePunct w:val="0"/>
        <w:autoSpaceDE w:val="0"/>
        <w:autoSpaceDN w:val="0"/>
        <w:bidi w:val="0"/>
        <w:adjustRightInd w:val="0"/>
        <w:snapToGrid/>
        <w:ind w:firstLine="640" w:firstLineChars="200"/>
        <w:jc w:val="left"/>
        <w:textAlignment w:val="auto"/>
        <w:rPr>
          <w:rFonts w:hint="default" w:cs="黑体" w:asciiTheme="minorEastAsia" w:hAnsiTheme="minorEastAsia"/>
          <w:color w:val="000000"/>
          <w:kern w:val="0"/>
          <w:sz w:val="32"/>
          <w:szCs w:val="32"/>
          <w:highlight w:val="none"/>
          <w:lang w:val="en-US" w:eastAsia="zh-CN"/>
        </w:rPr>
      </w:pPr>
      <w:r>
        <w:rPr>
          <w:rFonts w:hint="eastAsia" w:cs="黑体" w:asciiTheme="minorEastAsia" w:hAnsiTheme="minorEastAsia"/>
          <w:color w:val="000000"/>
          <w:kern w:val="0"/>
          <w:sz w:val="32"/>
          <w:szCs w:val="32"/>
          <w:highlight w:val="none"/>
          <w:lang w:val="en-US" w:eastAsia="zh-CN"/>
        </w:rPr>
        <w:t>（一）主要职能职责</w:t>
      </w:r>
    </w:p>
    <w:p>
      <w:pPr>
        <w:keepNext w:val="0"/>
        <w:keepLines w:val="0"/>
        <w:pageBreakBefore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lang w:val="en-US" w:eastAsia="zh-CN"/>
        </w:rPr>
        <w:t>1．根据党的</w:t>
      </w:r>
      <w:bookmarkStart w:id="3" w:name="_GoBack"/>
      <w:r>
        <w:rPr>
          <w:rFonts w:hint="eastAsia" w:cs="黑体" w:asciiTheme="minorEastAsia" w:hAnsiTheme="minorEastAsia"/>
          <w:color w:val="000000"/>
          <w:kern w:val="0"/>
          <w:sz w:val="32"/>
          <w:szCs w:val="32"/>
          <w:highlight w:val="none"/>
          <w:lang w:val="en-US" w:eastAsia="zh-CN"/>
        </w:rPr>
        <w:t>路线</w:t>
      </w:r>
      <w:bookmarkEnd w:id="3"/>
      <w:r>
        <w:rPr>
          <w:rFonts w:hint="eastAsia" w:cs="黑体" w:asciiTheme="minorEastAsia" w:hAnsiTheme="minorEastAsia"/>
          <w:color w:val="000000"/>
          <w:kern w:val="0"/>
          <w:sz w:val="32"/>
          <w:szCs w:val="32"/>
          <w:highlight w:val="none"/>
          <w:lang w:val="en-US" w:eastAsia="zh-CN"/>
        </w:rPr>
        <w:t>、方</w:t>
      </w:r>
      <w:r>
        <w:rPr>
          <w:rFonts w:hint="eastAsia" w:cs="黑体" w:asciiTheme="minorEastAsia" w:hAnsiTheme="minorEastAsia"/>
          <w:color w:val="000000"/>
          <w:kern w:val="0"/>
          <w:sz w:val="32"/>
          <w:szCs w:val="32"/>
          <w:highlight w:val="none"/>
        </w:rPr>
        <w:t>针、政策和市委政法委、</w:t>
      </w:r>
      <w:r>
        <w:rPr>
          <w:rFonts w:hint="eastAsia" w:cs="黑体" w:asciiTheme="minorEastAsia" w:hAnsiTheme="minorEastAsia"/>
          <w:color w:val="000000"/>
          <w:kern w:val="0"/>
          <w:sz w:val="32"/>
          <w:szCs w:val="32"/>
          <w:highlight w:val="none"/>
          <w:lang w:eastAsia="zh-CN"/>
        </w:rPr>
        <w:t>市</w:t>
      </w:r>
      <w:r>
        <w:rPr>
          <w:rFonts w:hint="eastAsia" w:cs="黑体" w:asciiTheme="minorEastAsia" w:hAnsiTheme="minorEastAsia"/>
          <w:color w:val="000000"/>
          <w:kern w:val="0"/>
          <w:sz w:val="32"/>
          <w:szCs w:val="32"/>
          <w:highlight w:val="none"/>
        </w:rPr>
        <w:t>委的部署，统一政法各部门的思想和行动，对一定时期内全</w:t>
      </w:r>
      <w:r>
        <w:rPr>
          <w:rFonts w:hint="eastAsia" w:cs="黑体" w:asciiTheme="minorEastAsia" w:hAnsiTheme="minorEastAsia"/>
          <w:color w:val="000000"/>
          <w:kern w:val="0"/>
          <w:sz w:val="32"/>
          <w:szCs w:val="32"/>
          <w:highlight w:val="none"/>
          <w:lang w:eastAsia="zh-CN"/>
        </w:rPr>
        <w:t>市</w:t>
      </w:r>
      <w:r>
        <w:rPr>
          <w:rFonts w:hint="eastAsia" w:cs="黑体" w:asciiTheme="minorEastAsia" w:hAnsiTheme="minorEastAsia"/>
          <w:color w:val="000000"/>
          <w:kern w:val="0"/>
          <w:sz w:val="32"/>
          <w:szCs w:val="32"/>
          <w:highlight w:val="none"/>
        </w:rPr>
        <w:t>的政法工作作出作局性部署，并督促贯彻落实。</w:t>
      </w:r>
    </w:p>
    <w:p>
      <w:pPr>
        <w:keepNext w:val="0"/>
        <w:keepLines w:val="0"/>
        <w:pageBreakBefore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rPr>
        <w:t>2．组织、协调、指导维护社会稳定的工作，必须时直接参与影响稳定的重大群体性事件的处置。</w:t>
      </w:r>
    </w:p>
    <w:p>
      <w:pPr>
        <w:keepNext w:val="0"/>
        <w:keepLines w:val="0"/>
        <w:pageBreakBefore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rPr>
        <w:t>3．检查政法部门执行法律法规和党的方针、政策的情况，结合实际研究制定严肃执法，落实党的方针、政策的具体措施。</w:t>
      </w:r>
    </w:p>
    <w:p>
      <w:pPr>
        <w:keepNext w:val="0"/>
        <w:keepLines w:val="0"/>
        <w:pageBreakBefore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rPr>
        <w:t>4．大力支持和严格监督政法各部门依法行使职权，指导和协调政法各部门在依法相互制约的同时密切配合，督促和推动大案、要案的查处工作，研究、协调有争议的重大、疑难案件。</w:t>
      </w:r>
    </w:p>
    <w:p>
      <w:pPr>
        <w:keepNext w:val="0"/>
        <w:keepLines w:val="0"/>
        <w:pageBreakBefore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rPr>
        <w:t>5．组织、协调社会管理综合治理工作，推动社会管理综合治理各项措施的落实。</w:t>
      </w:r>
    </w:p>
    <w:p>
      <w:pPr>
        <w:keepNext w:val="0"/>
        <w:keepLines w:val="0"/>
        <w:pageBreakBefore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rPr>
        <w:t>6．组织推动政法战线的调查研究工作，总结新经验、解决新问题，改革和加强政法工作。</w:t>
      </w:r>
    </w:p>
    <w:p>
      <w:pPr>
        <w:keepNext w:val="0"/>
        <w:keepLines w:val="0"/>
        <w:pageBreakBefore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rPr>
        <w:t>7．协助党委及其他组织部门管理好政法部门的领导班子和干部队伍。组织查处政法系统干部、干警中有重大影响的违法违纪案件。</w:t>
      </w:r>
    </w:p>
    <w:p>
      <w:pPr>
        <w:keepNext w:val="0"/>
        <w:keepLines w:val="0"/>
        <w:pageBreakBefore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rPr>
        <w:t>8．承办</w:t>
      </w:r>
      <w:r>
        <w:rPr>
          <w:rFonts w:hint="eastAsia" w:cs="黑体" w:asciiTheme="minorEastAsia" w:hAnsiTheme="minorEastAsia"/>
          <w:color w:val="000000"/>
          <w:kern w:val="0"/>
          <w:sz w:val="32"/>
          <w:szCs w:val="32"/>
          <w:highlight w:val="none"/>
          <w:lang w:eastAsia="zh-CN"/>
        </w:rPr>
        <w:t>市</w:t>
      </w:r>
      <w:r>
        <w:rPr>
          <w:rFonts w:hint="eastAsia" w:cs="黑体" w:asciiTheme="minorEastAsia" w:hAnsiTheme="minorEastAsia"/>
          <w:color w:val="000000"/>
          <w:kern w:val="0"/>
          <w:sz w:val="32"/>
          <w:szCs w:val="32"/>
          <w:highlight w:val="none"/>
        </w:rPr>
        <w:t>委、</w:t>
      </w:r>
      <w:r>
        <w:rPr>
          <w:rFonts w:hint="eastAsia" w:cs="黑体" w:asciiTheme="minorEastAsia" w:hAnsiTheme="minorEastAsia"/>
          <w:color w:val="000000"/>
          <w:kern w:val="0"/>
          <w:sz w:val="32"/>
          <w:szCs w:val="32"/>
          <w:highlight w:val="none"/>
          <w:lang w:eastAsia="zh-CN"/>
        </w:rPr>
        <w:t>市</w:t>
      </w:r>
      <w:r>
        <w:rPr>
          <w:rFonts w:hint="eastAsia" w:cs="黑体" w:asciiTheme="minorEastAsia" w:hAnsiTheme="minorEastAsia"/>
          <w:color w:val="000000"/>
          <w:kern w:val="0"/>
          <w:sz w:val="32"/>
          <w:szCs w:val="32"/>
          <w:highlight w:val="none"/>
        </w:rPr>
        <w:t>人民政府和上级政法委员交办的其他事项。</w:t>
      </w:r>
    </w:p>
    <w:p>
      <w:pPr>
        <w:keepNext w:val="0"/>
        <w:keepLines w:val="0"/>
        <w:pageBreakBefore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highlight w:val="none"/>
          <w:lang w:val="en-US" w:eastAsia="zh-CN"/>
        </w:rPr>
      </w:pPr>
      <w:r>
        <w:rPr>
          <w:rFonts w:hint="eastAsia" w:cs="黑体" w:asciiTheme="minorEastAsia" w:hAnsiTheme="minorEastAsia"/>
          <w:color w:val="000000"/>
          <w:kern w:val="0"/>
          <w:sz w:val="32"/>
          <w:szCs w:val="32"/>
          <w:highlight w:val="none"/>
          <w:lang w:eastAsia="zh-CN"/>
        </w:rPr>
        <w:t>（二）</w:t>
      </w:r>
      <w:r>
        <w:rPr>
          <w:rFonts w:hint="eastAsia" w:cs="黑体" w:asciiTheme="minorEastAsia" w:hAnsiTheme="minorEastAsia"/>
          <w:color w:val="000000"/>
          <w:kern w:val="0"/>
          <w:sz w:val="32"/>
          <w:szCs w:val="32"/>
          <w:highlight w:val="none"/>
          <w:lang w:val="en-US" w:eastAsia="zh-CN"/>
        </w:rPr>
        <w:t>年初整体支出绩效目标</w:t>
      </w:r>
    </w:p>
    <w:p>
      <w:pPr>
        <w:keepNext w:val="0"/>
        <w:keepLines w:val="0"/>
        <w:pageBreakBefore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highlight w:val="none"/>
          <w:lang w:val="en-US" w:eastAsia="zh-CN"/>
        </w:rPr>
      </w:pPr>
      <w:r>
        <w:rPr>
          <w:rFonts w:hint="eastAsia" w:cs="黑体" w:asciiTheme="minorEastAsia" w:hAnsiTheme="minorEastAsia"/>
          <w:color w:val="000000"/>
          <w:kern w:val="0"/>
          <w:sz w:val="32"/>
          <w:szCs w:val="32"/>
          <w:highlight w:val="none"/>
          <w:lang w:val="en-US" w:eastAsia="zh-CN"/>
        </w:rPr>
        <w:t>2021年，祁阳市以全国政法队伍教育整顿和撤市设市为契机，认真贯彻落实习近平法治思想和习近平总书记关于政法工作的重要指示精神，坚持讲政治、顾大局、重稳定、谋和谐，推动政法工作落细落实，全市实现了“无重大政治事件，无暴力恐怖事件和个人极端事件，无重特大群体性事件，无重大刑事治安案件，无重特大公共安全事故”的目标，坚决维护国家安全，推进全面依法治市、社会治理创新、政法领域改革，加强政法队伍建设，主动服务经济社会大局，确保群众安全感幸福感和满意度稳步提升。</w:t>
      </w:r>
    </w:p>
    <w:p>
      <w:pPr>
        <w:keepNext w:val="0"/>
        <w:keepLines w:val="0"/>
        <w:pageBreakBefore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highlight w:val="none"/>
          <w:lang w:val="en-US" w:eastAsia="zh-CN"/>
        </w:rPr>
      </w:pPr>
      <w:r>
        <w:rPr>
          <w:rFonts w:hint="eastAsia" w:cs="黑体" w:asciiTheme="minorEastAsia" w:hAnsiTheme="minorEastAsia"/>
          <w:color w:val="000000"/>
          <w:kern w:val="0"/>
          <w:sz w:val="32"/>
          <w:szCs w:val="32"/>
          <w:highlight w:val="none"/>
          <w:lang w:val="en-US" w:eastAsia="zh-CN"/>
        </w:rPr>
        <w:t>二、一般公共预算支出情况</w:t>
      </w:r>
    </w:p>
    <w:p>
      <w:pPr>
        <w:keepNext w:val="0"/>
        <w:keepLines w:val="0"/>
        <w:pageBreakBefore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highlight w:val="none"/>
          <w:lang w:val="en-US" w:eastAsia="zh-CN"/>
        </w:rPr>
      </w:pPr>
      <w:r>
        <w:rPr>
          <w:rFonts w:hint="eastAsia" w:cs="黑体" w:asciiTheme="minorEastAsia" w:hAnsiTheme="minorEastAsia"/>
          <w:color w:val="000000"/>
          <w:kern w:val="0"/>
          <w:sz w:val="32"/>
          <w:szCs w:val="32"/>
          <w:highlight w:val="none"/>
          <w:lang w:val="en-US" w:eastAsia="zh-CN"/>
        </w:rPr>
        <w:t>（一）基本支出情况</w:t>
      </w:r>
    </w:p>
    <w:p>
      <w:pPr>
        <w:keepNext w:val="0"/>
        <w:keepLines w:val="0"/>
        <w:pageBreakBefore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highlight w:val="none"/>
          <w:lang w:val="en-US" w:eastAsia="zh-CN"/>
        </w:rPr>
      </w:pPr>
      <w:r>
        <w:rPr>
          <w:rFonts w:hint="eastAsia" w:cs="黑体" w:asciiTheme="minorEastAsia" w:hAnsiTheme="minorEastAsia"/>
          <w:color w:val="000000"/>
          <w:kern w:val="0"/>
          <w:sz w:val="32"/>
          <w:szCs w:val="32"/>
          <w:highlight w:val="none"/>
          <w:lang w:val="en-US" w:eastAsia="zh-CN"/>
        </w:rPr>
        <w:t>基本支出系保障我委机关人员、行政运行发生的各项支出，包括用于在职和离退休人员基本工资、津贴补贴等人员经费以及办公费、印刷费、水电费、办公设备购置等日常公用经费。</w:t>
      </w:r>
    </w:p>
    <w:p>
      <w:pPr>
        <w:keepNext w:val="0"/>
        <w:keepLines w:val="0"/>
        <w:pageBreakBefore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highlight w:val="none"/>
          <w:lang w:val="en-US" w:eastAsia="zh-CN"/>
        </w:rPr>
      </w:pPr>
      <w:r>
        <w:rPr>
          <w:rFonts w:hint="eastAsia" w:cs="黑体" w:asciiTheme="minorEastAsia" w:hAnsiTheme="minorEastAsia"/>
          <w:color w:val="000000"/>
          <w:kern w:val="0"/>
          <w:sz w:val="32"/>
          <w:szCs w:val="32"/>
          <w:highlight w:val="none"/>
          <w:lang w:val="en-US" w:eastAsia="zh-CN"/>
        </w:rPr>
        <w:t>2021年预算批复的基本支出为250.11万元，其中工资福利支出预算数为215.96万元，商品和服务支出预算数为34.15万元；2021年基本支出决算数为508.17万元，其中工资福利支出决算数为271.35万元，决算数大于预算数是因为人员异动调整增加及年末追加人员奖金；商品和服务支出决算数为236.82万元，决算数大于预算数是因为增加了政法队伍教育整顿、扫黑除恶工作常态化和市域社会治理现代工作经费以及将专项经费中用于商品与服务支出的开支计入在内。</w:t>
      </w:r>
    </w:p>
    <w:p>
      <w:pPr>
        <w:keepNext w:val="0"/>
        <w:keepLines w:val="0"/>
        <w:pageBreakBefore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highlight w:val="none"/>
          <w:lang w:val="en-US" w:eastAsia="zh-CN"/>
        </w:rPr>
      </w:pPr>
      <w:r>
        <w:rPr>
          <w:rFonts w:hint="eastAsia" w:cs="黑体" w:asciiTheme="minorEastAsia" w:hAnsiTheme="minorEastAsia"/>
          <w:color w:val="000000"/>
          <w:kern w:val="0"/>
          <w:sz w:val="32"/>
          <w:szCs w:val="32"/>
          <w:highlight w:val="none"/>
          <w:lang w:val="en-US" w:eastAsia="zh-CN"/>
        </w:rPr>
        <w:t>（二）项目支出情况</w:t>
      </w:r>
    </w:p>
    <w:p>
      <w:pPr>
        <w:keepNext w:val="0"/>
        <w:keepLines w:val="0"/>
        <w:pageBreakBefore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highlight w:val="none"/>
          <w:lang w:val="en-US" w:eastAsia="zh-CN"/>
        </w:rPr>
      </w:pPr>
      <w:r>
        <w:rPr>
          <w:rFonts w:hint="eastAsia" w:cs="黑体" w:asciiTheme="minorEastAsia" w:hAnsiTheme="minorEastAsia"/>
          <w:color w:val="000000"/>
          <w:kern w:val="0"/>
          <w:sz w:val="32"/>
          <w:szCs w:val="32"/>
          <w:highlight w:val="none"/>
          <w:lang w:val="en-US" w:eastAsia="zh-CN"/>
        </w:rPr>
        <w:t>项目支出是我委为完成特定行政工作任务或事业发展目标而发生的专项性业务工作经费。</w:t>
      </w:r>
    </w:p>
    <w:p>
      <w:pPr>
        <w:keepNext w:val="0"/>
        <w:keepLines w:val="0"/>
        <w:pageBreakBefore w:val="0"/>
        <w:kinsoku/>
        <w:wordWrap/>
        <w:overflowPunct/>
        <w:topLinePunct w:val="0"/>
        <w:autoSpaceDE w:val="0"/>
        <w:autoSpaceDN w:val="0"/>
        <w:bidi w:val="0"/>
        <w:adjustRightInd w:val="0"/>
        <w:snapToGrid/>
        <w:ind w:firstLine="640" w:firstLineChars="200"/>
        <w:jc w:val="left"/>
        <w:textAlignment w:val="auto"/>
        <w:rPr>
          <w:rFonts w:hint="default" w:cs="黑体" w:asciiTheme="minorEastAsia" w:hAnsiTheme="minorEastAsia"/>
          <w:color w:val="000000"/>
          <w:kern w:val="0"/>
          <w:sz w:val="32"/>
          <w:szCs w:val="32"/>
          <w:highlight w:val="none"/>
          <w:lang w:val="en-US" w:eastAsia="zh-CN"/>
        </w:rPr>
      </w:pPr>
      <w:r>
        <w:rPr>
          <w:rFonts w:hint="eastAsia" w:cs="黑体" w:asciiTheme="minorEastAsia" w:hAnsiTheme="minorEastAsia"/>
          <w:color w:val="000000"/>
          <w:kern w:val="0"/>
          <w:sz w:val="32"/>
          <w:szCs w:val="32"/>
          <w:highlight w:val="none"/>
          <w:lang w:val="en-US" w:eastAsia="zh-CN"/>
        </w:rPr>
        <w:t>2021年预算批复的项目支出为710万元，2021年决算的项目支出为455.50万元。决算数少于预算数的是因为社区网格管理员实际数比预算数少导致支出减少。</w:t>
      </w:r>
    </w:p>
    <w:p>
      <w:pPr>
        <w:keepNext w:val="0"/>
        <w:keepLines w:val="0"/>
        <w:pageBreakBefore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highlight w:val="none"/>
          <w:lang w:val="en-US" w:eastAsia="zh-CN"/>
        </w:rPr>
      </w:pPr>
      <w:r>
        <w:rPr>
          <w:rFonts w:hint="eastAsia" w:cs="黑体" w:asciiTheme="minorEastAsia" w:hAnsiTheme="minorEastAsia"/>
          <w:color w:val="000000"/>
          <w:kern w:val="0"/>
          <w:sz w:val="32"/>
          <w:szCs w:val="32"/>
          <w:highlight w:val="none"/>
          <w:lang w:val="en-US" w:eastAsia="zh-CN"/>
        </w:rPr>
        <w:t>三、部门整体支出绩效情况</w:t>
      </w:r>
    </w:p>
    <w:p>
      <w:pPr>
        <w:keepNext w:val="0"/>
        <w:keepLines w:val="0"/>
        <w:pageBreakBefore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highlight w:val="none"/>
          <w:lang w:val="en-US" w:eastAsia="zh-CN"/>
        </w:rPr>
      </w:pPr>
      <w:r>
        <w:rPr>
          <w:rFonts w:hint="eastAsia" w:cs="黑体" w:asciiTheme="minorEastAsia" w:hAnsiTheme="minorEastAsia"/>
          <w:color w:val="000000"/>
          <w:kern w:val="0"/>
          <w:sz w:val="32"/>
          <w:szCs w:val="32"/>
          <w:highlight w:val="none"/>
          <w:lang w:val="en-US" w:eastAsia="zh-CN"/>
        </w:rPr>
        <w:t>2021年，我委严格按照有关财政资金管理要求，严格执行会计制度和财务制度，依法管理项目资金，结合我委的工作实际，对项目开支进行规范化、工作制度化，对经费使用范围的各类支出，按照经费使用审批的程序办理，财务人员做到依法理财，保障账目真实、完整、规范，项目总体执行情况较好，预期的绩效目标基本实现。现对我委2021年度整体支出绩效总结如下：</w:t>
      </w:r>
    </w:p>
    <w:p>
      <w:pPr>
        <w:keepNext w:val="0"/>
        <w:keepLines w:val="0"/>
        <w:pageBreakBefore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highlight w:val="none"/>
          <w:lang w:val="en-US" w:eastAsia="zh-CN"/>
        </w:rPr>
      </w:pPr>
      <w:r>
        <w:rPr>
          <w:rFonts w:hint="eastAsia" w:cs="黑体" w:asciiTheme="minorEastAsia" w:hAnsiTheme="minorEastAsia"/>
          <w:color w:val="000000"/>
          <w:kern w:val="0"/>
          <w:sz w:val="32"/>
          <w:szCs w:val="32"/>
          <w:highlight w:val="none"/>
          <w:lang w:val="en-US" w:eastAsia="zh-CN"/>
        </w:rPr>
        <w:t>1、综治维稳更加坚实。全市共排查各类矛盾纠纷和不稳定隐患928件。建立健全刑释人员信息库，全面做好刑释人员衔接事宜，对重点人员做到了必接必送。正式启用远程视频会见系统，实现了强制戒毒人员、在押犯人跨区域远程探视与会见。反恐维稳、命案侦破、扫黑除恶等工作连续多年获省市先进。毒品中转集散“国字号”、“省字号”帽子全部成功摘除；道路交通秩序逐年好转，信访维稳持续呈现“四降三无一好转”良好态势。严打整治战果丰硕。聚焦各类违法犯罪突出问题，主动作为，积极履职，全面推进严打斗争。</w:t>
      </w:r>
    </w:p>
    <w:p>
      <w:pPr>
        <w:keepNext w:val="0"/>
        <w:keepLines w:val="0"/>
        <w:pageBreakBefore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highlight w:val="none"/>
          <w:lang w:val="en-US" w:eastAsia="zh-CN"/>
        </w:rPr>
      </w:pPr>
      <w:r>
        <w:rPr>
          <w:rFonts w:hint="eastAsia" w:cs="黑体" w:asciiTheme="minorEastAsia" w:hAnsiTheme="minorEastAsia"/>
          <w:color w:val="000000"/>
          <w:kern w:val="0"/>
          <w:sz w:val="32"/>
          <w:szCs w:val="32"/>
          <w:highlight w:val="none"/>
          <w:lang w:val="en-US" w:eastAsia="zh-CN"/>
        </w:rPr>
        <w:t>2、社会治理更加巩固。一是打造新时代网格化服务管理升级版，加快网格员队伍转型。自推行网格化管理工作以来，祁阳党建网格化、创卫网格化、禁毒网格化、消防网格化、城管网格化、电力网格化、烟草网格化、燃气网格化全面铺开，社区工作者与网格员有机融合，形成一岗多责、一岗多能机制。畅通基层网格员晋升渠道，提升队伍综合素质。目前，已有65名专职网格员将在2022年正式转为社区工作者，进入社区两委班子。二是推进社会治理创新试点。根据省委、省政府两办名义印发《关于推进社会治理创新的指导意见》，一体推进市县乡村四级社会治理创新试点，实施以“雪亮工程”为代表的城乡末端智能感知系统布局，已建成了村级监控平台560余个、镇级监控平台22个，20个示范村呈现了“村庄美、民风正、产业兴”的景象。同时积极开展乡村治理法治“村为主”，加强村（社区）法治小游园、广场、长廊等法治文化阵地建设，让群众在休闲娱乐中潜移默化接受法治的熏陶。依托“平安乡村.雪亮工程”平台，潘市镇率先在全镇搭建了一个群众积极参与、适合乡村治理的集电视娱乐、手机媒体、视频监控、政策宣传、便民服务、农产品销售于一体的智慧网络平台。三是强力推进“政法五老”调解工作室建设。通过选聘退休老法官、老检察官、老警官、老司法行政人员、老律师"五老人员"，积极组建培育专职化、专业化、专家化的"五老"人民调解员，进驻祁阳市信访接待中心、各乡镇（街道）办公，深入开展矛盾纠纷排查调处，确保矛盾纠纷隐患发现在萌芽、化解在基层，形成基层社会矛盾纠纷小事不出村，大事不出镇，矛盾不上交的社会治理新格局。四是全力搞好精神病人摸排管控工作。充分发挥各职能部门作用，按照“全面摸排、重点管控”的原则和“精准、完整、鲜活、到位”的要求，对肇事肇祸等严重精神障碍患者开展摸排管控，实现底数清、情况明、管得住。对每名摸排确诊的肇事肇祸等严重精神障碍患者逐人建立社区关爱帮扶小组，落实看护人员责任，采取针对性救治、服务、管理措施，从源头上消除安全隐患。</w:t>
      </w:r>
    </w:p>
    <w:p>
      <w:pPr>
        <w:keepNext w:val="0"/>
        <w:keepLines w:val="0"/>
        <w:pageBreakBefore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highlight w:val="none"/>
          <w:lang w:val="en-US" w:eastAsia="zh-CN"/>
        </w:rPr>
      </w:pPr>
      <w:r>
        <w:rPr>
          <w:rFonts w:hint="eastAsia" w:cs="黑体" w:asciiTheme="minorEastAsia" w:hAnsiTheme="minorEastAsia"/>
          <w:color w:val="000000"/>
          <w:kern w:val="0"/>
          <w:sz w:val="32"/>
          <w:szCs w:val="32"/>
          <w:highlight w:val="none"/>
          <w:lang w:val="en-US" w:eastAsia="zh-CN"/>
        </w:rPr>
        <w:t>3、民调工作有序运行。2021年度民调工作分上、下半年开展，组织人员扎实开展走访督导，并在走访过程中摸排的问题和诉求归纳汇总交办给相关单位和职能部门，解决了一批群众关心的热点难点问题；编印了宣传手册50000余册，印刷宣传单150000余份。2021年度民调工作综合成绩排名全市第九，在全省第62位，较2020年前移了26位，达到了年初预定目标，公众安全感和满意度也不断提高，取得了良好的社会效应。</w:t>
      </w:r>
    </w:p>
    <w:p>
      <w:pPr>
        <w:keepNext w:val="0"/>
        <w:keepLines w:val="0"/>
        <w:pageBreakBefore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highlight w:val="none"/>
          <w:lang w:val="en-US" w:eastAsia="zh-CN"/>
        </w:rPr>
      </w:pPr>
      <w:r>
        <w:rPr>
          <w:rFonts w:hint="eastAsia" w:cs="黑体" w:asciiTheme="minorEastAsia" w:hAnsiTheme="minorEastAsia"/>
          <w:color w:val="000000"/>
          <w:kern w:val="0"/>
          <w:sz w:val="32"/>
          <w:szCs w:val="32"/>
          <w:highlight w:val="none"/>
          <w:lang w:val="en-US" w:eastAsia="zh-CN"/>
        </w:rPr>
        <w:t>4、防范和处理邪教工作成效良好。一是认真落实工作责任，把各项目标任务分解到具体单位与人员，纳入年度平安创建工作考评范畴。二是落实定期走访帮教工作措施，积极开展教育转化工作。三是加强摸底排查，依法严厉打击，及时处置邪教活动。四是强化教育警示，提高群众防范邪教意识。五是抓好“法轮功”等邪教人员管控，实现了全年“五个不发生”目标任务。</w:t>
      </w:r>
    </w:p>
    <w:p>
      <w:pPr>
        <w:keepNext w:val="0"/>
        <w:keepLines w:val="0"/>
        <w:pageBreakBefore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highlight w:val="none"/>
          <w:lang w:val="en-US" w:eastAsia="zh-CN"/>
        </w:rPr>
      </w:pPr>
      <w:r>
        <w:rPr>
          <w:rFonts w:hint="eastAsia" w:cs="黑体" w:asciiTheme="minorEastAsia" w:hAnsiTheme="minorEastAsia"/>
          <w:color w:val="000000"/>
          <w:kern w:val="0"/>
          <w:sz w:val="32"/>
          <w:szCs w:val="32"/>
          <w:highlight w:val="none"/>
          <w:lang w:val="en-US" w:eastAsia="zh-CN"/>
        </w:rPr>
        <w:t>4、政法队伍更加优化。一是强化思想引领，抓实学习教育。扎实开展好“不忘初心、牢记使命”主题教育及党史学习教育和全国政法队伍教育整顿；坚持把学原著、学党史、学纪法、学案例、学典型融合推进，全面促进干警筑牢政治忠诚，树牢“四个意识”，坚定“四个自信”，做到“两个维护”。政治教育强基、党史教育明理、警示教育正行、英模教育振心；坚持重大事项请示报告；坚持以党建带队建、促发展，认真落实意识形态工作责任制，强化阵地建设和管理；开展队伍巡查，督导检查政法各单位班子建设、队伍管理、廉洁执法、纪律作风、选人用人和政治生态等方面的情况，梳理发现政法队伍建设存在的问题；健全政法干部轮岗交流机制，打破固有的惯性思维，激发全新的工作热情，基层政法单位精神面貌焕然一新。二是强化正风肃纪，狠抓队伍作风建设。坚持把政治建警作为根本保证，狠抓政治建设，以“不忘初心、牢记使命”主题教育和全国第一批政法队伍教育整顿为载体，借力“民主生活会”“学习强国”等平台，坚持“严”的主基调，严格线索核查，严实“七查”举措；开展“顽瘴痼疾”整治六大专项行动，对排查出来的问题线索建立问题台账，坚持即查即治、边查边治、限期整治，及时跟进对策措施，实行销号管理，不断规范执法司法行为，优化法治环境；落实政治建警各项工作，深入开展正风肃纪专项活动。三是强化素质提升，狠抓队伍能力建设。政法队伍教育整顿、“清朗警营”专项整治和“形式主义官僚主义”专项整治等行动深入开展，监督执纪“四种形态”全面落地落实，从严治警力度前所未有；狠抓履职能力建设，开展大练兵活动，培养了一批办（破）案能手、调解能手、服务能手。</w:t>
      </w:r>
    </w:p>
    <w:p>
      <w:pPr>
        <w:keepNext w:val="0"/>
        <w:keepLines w:val="0"/>
        <w:pageBreakBefore w:val="0"/>
        <w:kinsoku/>
        <w:wordWrap/>
        <w:overflowPunct/>
        <w:topLinePunct w:val="0"/>
        <w:autoSpaceDE w:val="0"/>
        <w:autoSpaceDN w:val="0"/>
        <w:bidi w:val="0"/>
        <w:adjustRightInd w:val="0"/>
        <w:snapToGrid/>
        <w:ind w:firstLine="640" w:firstLineChars="200"/>
        <w:jc w:val="left"/>
        <w:textAlignment w:val="auto"/>
        <w:rPr>
          <w:rFonts w:hint="eastAsia" w:cs="黑体" w:asciiTheme="minorEastAsia" w:hAnsiTheme="minorEastAsia"/>
          <w:color w:val="000000"/>
          <w:kern w:val="0"/>
          <w:sz w:val="32"/>
          <w:szCs w:val="32"/>
          <w:highlight w:val="none"/>
          <w:lang w:val="en-US" w:eastAsia="zh-CN"/>
        </w:rPr>
      </w:pPr>
      <w:r>
        <w:rPr>
          <w:rFonts w:hint="eastAsia" w:cs="黑体" w:asciiTheme="minorEastAsia" w:hAnsiTheme="minorEastAsia"/>
          <w:color w:val="000000"/>
          <w:kern w:val="0"/>
          <w:sz w:val="32"/>
          <w:szCs w:val="32"/>
          <w:highlight w:val="none"/>
          <w:lang w:val="en-US" w:eastAsia="zh-CN"/>
        </w:rPr>
        <w:t>5、扫黑除恶更加有力。一是坚持高位推动，精心组织谋划推进。市扫黑办积极发挥“中枢”作用，强化运用线索案件会商机制，统一办案思想，强化部门协作，加强调度、督促。二是坚持依法严惩，打击成效明显。依法严厉打击了一批破坏经济社会秩序的黑恶势力，全市济社会发展环境明显改善。三是坚持除恶务尽，“打伞”“断财”同步推进。我们在打伞破网、打财断血上下足功夫，始终保持了对黑恶势力违法犯罪严打高压态势。四是坚持综合治理，行业监管力度加大。各行业主管部门加强与政法机关联动衔接，加强行业监管，扎实推进行业乱象整治行动。（扫黑除恶成效具体数据不便公开）</w:t>
      </w:r>
    </w:p>
    <w:p>
      <w:pPr>
        <w:jc w:val="left"/>
        <w:rPr>
          <w:rFonts w:cs="黑体" w:asciiTheme="minorEastAsia" w:hAnsiTheme="minorEastAsia"/>
          <w:color w:val="000000"/>
          <w:kern w:val="0"/>
          <w:sz w:val="32"/>
          <w:szCs w:val="32"/>
          <w:highlight w:val="none"/>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97DC6F"/>
    <w:multiLevelType w:val="singleLevel"/>
    <w:tmpl w:val="3F97DC6F"/>
    <w:lvl w:ilvl="0" w:tentative="0">
      <w:start w:val="5"/>
      <w:numFmt w:val="decimal"/>
      <w:suff w:val="nothing"/>
      <w:lvlText w:val="%1、"/>
      <w:lvlJc w:val="left"/>
    </w:lvl>
  </w:abstractNum>
  <w:abstractNum w:abstractNumId="1">
    <w:nsid w:val="49D62DF1"/>
    <w:multiLevelType w:val="singleLevel"/>
    <w:tmpl w:val="49D62DF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NkYjUzMmQ2ZmM2NzUwZDgyZjAxMjY3OWYyYmFiYW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1F5145"/>
    <w:rsid w:val="00202C14"/>
    <w:rsid w:val="00202C82"/>
    <w:rsid w:val="00214427"/>
    <w:rsid w:val="00226CB7"/>
    <w:rsid w:val="00264552"/>
    <w:rsid w:val="00264EF9"/>
    <w:rsid w:val="00265724"/>
    <w:rsid w:val="0027426B"/>
    <w:rsid w:val="002D6582"/>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4D19"/>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C4EDA"/>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D3CBD"/>
    <w:rsid w:val="00AF4A9E"/>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382BF0"/>
    <w:rsid w:val="023D0B8F"/>
    <w:rsid w:val="02770E8A"/>
    <w:rsid w:val="04781ECF"/>
    <w:rsid w:val="04820ADC"/>
    <w:rsid w:val="0520214C"/>
    <w:rsid w:val="05AB2D7A"/>
    <w:rsid w:val="07742EA5"/>
    <w:rsid w:val="084C668D"/>
    <w:rsid w:val="0A2D14EA"/>
    <w:rsid w:val="0B640F3B"/>
    <w:rsid w:val="0D7111BC"/>
    <w:rsid w:val="0DB6308B"/>
    <w:rsid w:val="0E2203CD"/>
    <w:rsid w:val="0EDD4088"/>
    <w:rsid w:val="0EF33AB3"/>
    <w:rsid w:val="0FB535AD"/>
    <w:rsid w:val="10520C08"/>
    <w:rsid w:val="132C69EE"/>
    <w:rsid w:val="15046C5D"/>
    <w:rsid w:val="16823C12"/>
    <w:rsid w:val="1783538F"/>
    <w:rsid w:val="181A629A"/>
    <w:rsid w:val="18AF7A2D"/>
    <w:rsid w:val="1A4B59CE"/>
    <w:rsid w:val="1C014C1E"/>
    <w:rsid w:val="1C071E01"/>
    <w:rsid w:val="1D244C3C"/>
    <w:rsid w:val="1D2D5631"/>
    <w:rsid w:val="1D43122E"/>
    <w:rsid w:val="1DD160A6"/>
    <w:rsid w:val="1DEF77E3"/>
    <w:rsid w:val="1E725B31"/>
    <w:rsid w:val="1FF32540"/>
    <w:rsid w:val="21100EFD"/>
    <w:rsid w:val="234171BE"/>
    <w:rsid w:val="2436731B"/>
    <w:rsid w:val="2455087A"/>
    <w:rsid w:val="2462126E"/>
    <w:rsid w:val="25F33409"/>
    <w:rsid w:val="25F660D7"/>
    <w:rsid w:val="260E7CC6"/>
    <w:rsid w:val="26417654"/>
    <w:rsid w:val="26D96DA7"/>
    <w:rsid w:val="26F83F35"/>
    <w:rsid w:val="2B9B40AD"/>
    <w:rsid w:val="2B9E1909"/>
    <w:rsid w:val="2C4A3E4F"/>
    <w:rsid w:val="2C6335D9"/>
    <w:rsid w:val="2CDA5D3C"/>
    <w:rsid w:val="2D1B7EF0"/>
    <w:rsid w:val="2EC16336"/>
    <w:rsid w:val="30296DC9"/>
    <w:rsid w:val="30CE286F"/>
    <w:rsid w:val="339715FE"/>
    <w:rsid w:val="33CC1196"/>
    <w:rsid w:val="33D53E37"/>
    <w:rsid w:val="34AF1FAA"/>
    <w:rsid w:val="350C5A51"/>
    <w:rsid w:val="3513157E"/>
    <w:rsid w:val="35F2338D"/>
    <w:rsid w:val="3601278A"/>
    <w:rsid w:val="369915A3"/>
    <w:rsid w:val="36CA1E3C"/>
    <w:rsid w:val="36D80123"/>
    <w:rsid w:val="36EB2C9D"/>
    <w:rsid w:val="37A73BCB"/>
    <w:rsid w:val="38167642"/>
    <w:rsid w:val="382E0A5C"/>
    <w:rsid w:val="38843602"/>
    <w:rsid w:val="39A3297E"/>
    <w:rsid w:val="3B40257B"/>
    <w:rsid w:val="3C0637C5"/>
    <w:rsid w:val="3C686A41"/>
    <w:rsid w:val="3E7C7647"/>
    <w:rsid w:val="3ECA0ADA"/>
    <w:rsid w:val="3ECC729E"/>
    <w:rsid w:val="3F456695"/>
    <w:rsid w:val="3FA07A8C"/>
    <w:rsid w:val="42303B00"/>
    <w:rsid w:val="436E048A"/>
    <w:rsid w:val="43F71D59"/>
    <w:rsid w:val="44303DB4"/>
    <w:rsid w:val="44BF4277"/>
    <w:rsid w:val="45AE4C3B"/>
    <w:rsid w:val="462140AB"/>
    <w:rsid w:val="47181A4B"/>
    <w:rsid w:val="48012F07"/>
    <w:rsid w:val="48401995"/>
    <w:rsid w:val="48DE6A3D"/>
    <w:rsid w:val="49180694"/>
    <w:rsid w:val="497E7342"/>
    <w:rsid w:val="4AA3092D"/>
    <w:rsid w:val="4B3612A5"/>
    <w:rsid w:val="4BED2946"/>
    <w:rsid w:val="4CA87F80"/>
    <w:rsid w:val="4E8F4D09"/>
    <w:rsid w:val="4EC960C1"/>
    <w:rsid w:val="4FA90297"/>
    <w:rsid w:val="500E5CC2"/>
    <w:rsid w:val="50824153"/>
    <w:rsid w:val="50EC5631"/>
    <w:rsid w:val="512239C3"/>
    <w:rsid w:val="523F1A72"/>
    <w:rsid w:val="56680DD2"/>
    <w:rsid w:val="566A3CE9"/>
    <w:rsid w:val="57405985"/>
    <w:rsid w:val="575064EA"/>
    <w:rsid w:val="57AE108B"/>
    <w:rsid w:val="585A6E01"/>
    <w:rsid w:val="593E7C09"/>
    <w:rsid w:val="594B0611"/>
    <w:rsid w:val="595E6596"/>
    <w:rsid w:val="596926C2"/>
    <w:rsid w:val="59943D66"/>
    <w:rsid w:val="59B50AEE"/>
    <w:rsid w:val="5A2C7900"/>
    <w:rsid w:val="5BFE62CB"/>
    <w:rsid w:val="5C2634BB"/>
    <w:rsid w:val="5C7016D4"/>
    <w:rsid w:val="5E033269"/>
    <w:rsid w:val="617B314A"/>
    <w:rsid w:val="621954CB"/>
    <w:rsid w:val="62F33FBC"/>
    <w:rsid w:val="62F8276B"/>
    <w:rsid w:val="64D65E75"/>
    <w:rsid w:val="66397BA0"/>
    <w:rsid w:val="670126CA"/>
    <w:rsid w:val="675B2A2A"/>
    <w:rsid w:val="67616CA5"/>
    <w:rsid w:val="677F74D6"/>
    <w:rsid w:val="67CA2BE2"/>
    <w:rsid w:val="6829731D"/>
    <w:rsid w:val="68C00CE3"/>
    <w:rsid w:val="696C2247"/>
    <w:rsid w:val="6A1A46D5"/>
    <w:rsid w:val="6AA45DD3"/>
    <w:rsid w:val="6B1271E1"/>
    <w:rsid w:val="6C116020"/>
    <w:rsid w:val="6EAD0866"/>
    <w:rsid w:val="6F1B1ED1"/>
    <w:rsid w:val="6F3A4760"/>
    <w:rsid w:val="703E2A87"/>
    <w:rsid w:val="70F10A1E"/>
    <w:rsid w:val="7107761A"/>
    <w:rsid w:val="72B94E61"/>
    <w:rsid w:val="73775FE8"/>
    <w:rsid w:val="743972B2"/>
    <w:rsid w:val="744E3F8D"/>
    <w:rsid w:val="75950C25"/>
    <w:rsid w:val="75B34205"/>
    <w:rsid w:val="75FD62D3"/>
    <w:rsid w:val="780E6FBC"/>
    <w:rsid w:val="78E76884"/>
    <w:rsid w:val="79C46EB6"/>
    <w:rsid w:val="7A233F4D"/>
    <w:rsid w:val="7A550195"/>
    <w:rsid w:val="7A5C11B0"/>
    <w:rsid w:val="7B26797F"/>
    <w:rsid w:val="7C6E07BA"/>
    <w:rsid w:val="7CE73101"/>
    <w:rsid w:val="7DE71A07"/>
    <w:rsid w:val="7DE9592E"/>
    <w:rsid w:val="7E1D0A13"/>
    <w:rsid w:val="7F7878FB"/>
    <w:rsid w:val="7FF44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oc 5"/>
    <w:basedOn w:val="1"/>
    <w:next w:val="1"/>
    <w:qFormat/>
    <w:uiPriority w:val="0"/>
    <w:pPr>
      <w:ind w:left="1680" w:leftChars="800"/>
    </w:pPr>
  </w:style>
  <w:style w:type="paragraph" w:styleId="4">
    <w:name w:val="annotation text"/>
    <w:basedOn w:val="1"/>
    <w:semiHidden/>
    <w:unhideWhenUsed/>
    <w:qFormat/>
    <w:uiPriority w:val="99"/>
    <w:pPr>
      <w:jc w:val="left"/>
    </w:pPr>
  </w:style>
  <w:style w:type="paragraph" w:styleId="5">
    <w:name w:val="Balloon Text"/>
    <w:basedOn w:val="1"/>
    <w:link w:val="16"/>
    <w:semiHidden/>
    <w:unhideWhenUsed/>
    <w:qFormat/>
    <w:uiPriority w:val="99"/>
    <w:rPr>
      <w:sz w:val="18"/>
      <w:szCs w:val="18"/>
    </w:rPr>
  </w:style>
  <w:style w:type="paragraph" w:styleId="6">
    <w:name w:val="footer"/>
    <w:basedOn w:val="1"/>
    <w:next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r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CF310-44A4-41A8-A093-92C32625739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13557</Words>
  <Characters>15637</Characters>
  <Lines>69</Lines>
  <Paragraphs>19</Paragraphs>
  <TotalTime>17</TotalTime>
  <ScaleCrop>false</ScaleCrop>
  <LinksUpToDate>false</LinksUpToDate>
  <CharactersWithSpaces>16571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文档存本地丢失不负责</cp:lastModifiedBy>
  <cp:lastPrinted>2022-07-27T12:55:00Z</cp:lastPrinted>
  <dcterms:modified xsi:type="dcterms:W3CDTF">2024-01-04T03:41:22Z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ACF008FE0C9D485997B55FD30D80E798</vt:lpwstr>
  </property>
</Properties>
</file>