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jc w:val="center"/>
        <w:rPr>
          <w:rFonts w:ascii="仿宋_GB2312" w:eastAsia="仿宋_GB2312"/>
          <w:sz w:val="84"/>
          <w:szCs w:val="84"/>
        </w:rPr>
      </w:pPr>
    </w:p>
    <w:p>
      <w:pPr>
        <w:pStyle w:val="13"/>
        <w:jc w:val="center"/>
        <w:rPr>
          <w:rFonts w:hint="eastAsia" w:ascii="方正小标宋简体" w:hAnsi="方正小标宋简体" w:eastAsia="方正小标宋简体" w:cs="方正小标宋简体"/>
          <w:sz w:val="84"/>
          <w:szCs w:val="84"/>
        </w:rPr>
      </w:pPr>
    </w:p>
    <w:p>
      <w:pPr>
        <w:pStyle w:val="13"/>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2021</w:t>
      </w:r>
      <w:r>
        <w:rPr>
          <w:rFonts w:hint="eastAsia" w:ascii="方正小标宋简体" w:hAnsi="方正小标宋简体" w:eastAsia="方正小标宋简体" w:cs="方正小标宋简体"/>
          <w:sz w:val="72"/>
          <w:szCs w:val="72"/>
        </w:rPr>
        <w:t>年度</w:t>
      </w:r>
    </w:p>
    <w:p>
      <w:pPr>
        <w:pStyle w:val="13"/>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lang w:eastAsia="zh-CN"/>
        </w:rPr>
        <w:t>祁阳市</w:t>
      </w:r>
      <w:r>
        <w:rPr>
          <w:rFonts w:hint="eastAsia" w:ascii="方正小标宋简体" w:hAnsi="方正小标宋简体" w:eastAsia="方正小标宋简体" w:cs="方正小标宋简体"/>
          <w:sz w:val="56"/>
          <w:szCs w:val="56"/>
        </w:rPr>
        <w:t>工业企业改制服务办公室</w:t>
      </w:r>
    </w:p>
    <w:p>
      <w:pPr>
        <w:pStyle w:val="13"/>
        <w:jc w:val="center"/>
        <w:rPr>
          <w:rFonts w:hint="eastAsia" w:ascii="方正小标宋简体" w:hAnsi="方正小标宋简体" w:eastAsia="方正小标宋简体" w:cs="方正小标宋简体"/>
          <w:sz w:val="72"/>
          <w:szCs w:val="72"/>
          <w:u w:val="none"/>
        </w:rPr>
      </w:pPr>
      <w:r>
        <w:rPr>
          <w:rFonts w:hint="eastAsia" w:ascii="方正小标宋简体" w:hAnsi="方正小标宋简体" w:eastAsia="方正小标宋简体" w:cs="方正小标宋简体"/>
          <w:sz w:val="72"/>
          <w:szCs w:val="72"/>
          <w:u w:val="none"/>
        </w:rPr>
        <w:t>部门决算</w:t>
      </w:r>
    </w:p>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jc w:val="center"/>
        <w:rPr>
          <w:rFonts w:ascii="仿宋_GB2312" w:eastAsia="仿宋_GB2312"/>
          <w:sz w:val="56"/>
          <w:szCs w:val="56"/>
        </w:rPr>
      </w:pPr>
    </w:p>
    <w:p>
      <w:pPr>
        <w:pStyle w:val="13"/>
        <w:spacing w:line="480" w:lineRule="exact"/>
        <w:jc w:val="center"/>
        <w:rPr>
          <w:rFonts w:ascii="仿宋_GB2312" w:eastAsia="仿宋_GB2312"/>
          <w:sz w:val="56"/>
          <w:szCs w:val="56"/>
        </w:rPr>
      </w:pPr>
      <w:r>
        <w:rPr>
          <w:rFonts w:hint="eastAsia" w:ascii="仿宋_GB2312" w:eastAsia="仿宋_GB2312"/>
          <w:b/>
          <w:bCs/>
          <w:sz w:val="36"/>
          <w:szCs w:val="36"/>
        </w:rPr>
        <w:t>目录</w:t>
      </w:r>
    </w:p>
    <w:p>
      <w:pPr>
        <w:pStyle w:val="13"/>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b/>
          <w:sz w:val="28"/>
          <w:szCs w:val="28"/>
        </w:rPr>
      </w:pPr>
      <w:r>
        <w:rPr>
          <w:rFonts w:hint="eastAsia" w:ascii="仿宋_GB2312" w:eastAsia="仿宋_GB2312"/>
          <w:b/>
          <w:sz w:val="28"/>
          <w:szCs w:val="28"/>
        </w:rPr>
        <w:t>第一部分</w:t>
      </w:r>
      <w:r>
        <w:rPr>
          <w:rFonts w:hint="eastAsia" w:ascii="仿宋_GB2312" w:eastAsia="仿宋_GB2312"/>
          <w:b/>
          <w:sz w:val="28"/>
          <w:szCs w:val="28"/>
          <w:lang w:eastAsia="zh-CN"/>
        </w:rPr>
        <w:t>祁阳市</w:t>
      </w:r>
      <w:r>
        <w:rPr>
          <w:rFonts w:hint="eastAsia" w:ascii="仿宋_GB2312" w:eastAsia="仿宋_GB2312"/>
          <w:b/>
          <w:sz w:val="28"/>
          <w:szCs w:val="28"/>
        </w:rPr>
        <w:t>工业企业改制服务办公室部门概况</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一、部门职责</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default" w:ascii="仿宋_GB2312" w:eastAsia="仿宋_GB2312" w:cs="仿宋_GB2312" w:hAnsiTheme="minorEastAsia"/>
          <w:sz w:val="28"/>
          <w:szCs w:val="28"/>
          <w:lang w:val="en-US" w:eastAsia="zh-CN"/>
        </w:rPr>
      </w:pPr>
      <w:r>
        <w:rPr>
          <w:rFonts w:hint="eastAsia" w:ascii="仿宋_GB2312" w:eastAsia="仿宋_GB2312" w:cs="仿宋_GB2312" w:hAnsiTheme="minorEastAsia"/>
          <w:sz w:val="28"/>
          <w:szCs w:val="28"/>
        </w:rPr>
        <w:t>二、机构设置</w:t>
      </w:r>
      <w:r>
        <w:rPr>
          <w:rFonts w:hint="eastAsia" w:ascii="仿宋_GB2312" w:eastAsia="仿宋_GB2312" w:cs="仿宋_GB2312" w:hAnsiTheme="minorEastAsia"/>
          <w:sz w:val="28"/>
          <w:szCs w:val="28"/>
          <w:lang w:val="en-US" w:eastAsia="zh-CN"/>
        </w:rPr>
        <w:t>及决算单位构成</w:t>
      </w:r>
    </w:p>
    <w:p>
      <w:pPr>
        <w:pStyle w:val="13"/>
        <w:keepNext w:val="0"/>
        <w:keepLines w:val="0"/>
        <w:pageBreakBefore w:val="0"/>
        <w:widowControl w:val="0"/>
        <w:kinsoku/>
        <w:wordWrap/>
        <w:overflowPunct/>
        <w:topLinePunct w:val="0"/>
        <w:bidi w:val="0"/>
        <w:snapToGrid/>
        <w:spacing w:line="460" w:lineRule="exact"/>
        <w:textAlignment w:val="auto"/>
        <w:rPr>
          <w:rFonts w:ascii="仿宋_GB2312" w:hAnsi="仿宋_GB2312" w:eastAsia="仿宋_GB2312" w:cs="仿宋_GB2312"/>
          <w:b/>
          <w:sz w:val="28"/>
          <w:szCs w:val="28"/>
        </w:rPr>
      </w:pPr>
      <w:r>
        <w:rPr>
          <w:rFonts w:hint="eastAsia" w:ascii="仿宋_GB2312" w:hAnsi="仿宋_GB2312" w:eastAsia="仿宋_GB2312"/>
          <w:b/>
          <w:sz w:val="28"/>
          <w:szCs w:val="28"/>
        </w:rPr>
        <w:t>第二部分</w:t>
      </w:r>
      <w:r>
        <w:rPr>
          <w:rFonts w:hint="eastAsia" w:ascii="仿宋_GB2312" w:hAnsi="仿宋_GB2312" w:eastAsia="仿宋_GB2312"/>
          <w:b/>
          <w:sz w:val="28"/>
          <w:szCs w:val="28"/>
          <w:lang w:eastAsia="zh-CN"/>
        </w:rPr>
        <w:t>2021</w:t>
      </w:r>
      <w:r>
        <w:rPr>
          <w:rFonts w:hint="eastAsia" w:ascii="仿宋_GB2312" w:hAnsi="仿宋_GB2312" w:eastAsia="仿宋_GB2312"/>
          <w:b/>
          <w:sz w:val="28"/>
          <w:szCs w:val="28"/>
        </w:rPr>
        <w:t>年度部门决算表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八、政府性基金预算财政拨款收入支出决算表</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九、国有资本经营预算财政拨款支出决算表</w:t>
      </w:r>
    </w:p>
    <w:p>
      <w:pPr>
        <w:pStyle w:val="13"/>
        <w:keepNext w:val="0"/>
        <w:keepLines w:val="0"/>
        <w:pageBreakBefore w:val="0"/>
        <w:widowControl w:val="0"/>
        <w:kinsoku/>
        <w:wordWrap/>
        <w:overflowPunct/>
        <w:topLinePunct w:val="0"/>
        <w:bidi w:val="0"/>
        <w:snapToGrid/>
        <w:spacing w:line="460" w:lineRule="exact"/>
        <w:textAlignment w:val="auto"/>
        <w:rPr>
          <w:rFonts w:ascii="仿宋_GB2312" w:hAnsi="仿宋_GB2312" w:eastAsia="仿宋_GB2312" w:cs="仿宋_GB2312"/>
          <w:b/>
          <w:sz w:val="28"/>
          <w:szCs w:val="28"/>
        </w:rPr>
      </w:pPr>
      <w:r>
        <w:rPr>
          <w:rFonts w:hint="eastAsia" w:ascii="仿宋_GB2312" w:hAnsi="仿宋_GB2312" w:eastAsia="仿宋_GB2312"/>
          <w:b/>
          <w:sz w:val="28"/>
          <w:szCs w:val="28"/>
        </w:rPr>
        <w:t>第三部分</w:t>
      </w:r>
      <w:r>
        <w:rPr>
          <w:rFonts w:hint="eastAsia" w:ascii="仿宋_GB2312" w:hAnsi="仿宋_GB2312" w:eastAsia="仿宋_GB2312"/>
          <w:b/>
          <w:sz w:val="28"/>
          <w:szCs w:val="28"/>
          <w:lang w:eastAsia="zh-CN"/>
        </w:rPr>
        <w:t>2021</w:t>
      </w:r>
      <w:r>
        <w:rPr>
          <w:rFonts w:hint="eastAsia" w:ascii="仿宋_GB2312" w:hAnsi="仿宋_GB2312" w:eastAsia="仿宋_GB2312"/>
          <w:b/>
          <w:sz w:val="28"/>
          <w:szCs w:val="28"/>
        </w:rPr>
        <w:t>年度部门决算情况说明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一、收入支出决算总体情况说明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四、财政拨款收入支出决算总体情况说明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八、政府性基金预算收入支出决算情况</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九、机关运行经费支出说明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十、一般性支出情况说明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十一、政府采购支出说明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十二、国有资产占用情况说明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十三、2021年度预算绩效情况说明</w:t>
      </w:r>
    </w:p>
    <w:p>
      <w:pPr>
        <w:pStyle w:val="13"/>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eastAsia="仿宋_GB2312" w:cs="仿宋_GB2312" w:hAnsiTheme="minorEastAsia"/>
          <w:sz w:val="28"/>
          <w:szCs w:val="28"/>
        </w:rPr>
      </w:pPr>
      <w:r>
        <w:rPr>
          <w:rFonts w:hint="eastAsia" w:ascii="仿宋_GB2312" w:eastAsia="仿宋_GB2312" w:cs="仿宋_GB2312" w:hAnsiTheme="minorEastAsia"/>
          <w:sz w:val="28"/>
          <w:szCs w:val="28"/>
        </w:rPr>
        <w:t>十四、国有资本经营预算财政拨款支出决算情况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黑体" w:eastAsia="仿宋_GB2312" w:cs="仿宋_GB2312"/>
          <w:b/>
          <w:color w:val="000000"/>
          <w:kern w:val="0"/>
          <w:sz w:val="28"/>
          <w:szCs w:val="28"/>
        </w:rPr>
      </w:pPr>
      <w:r>
        <w:rPr>
          <w:rFonts w:hint="eastAsia" w:ascii="仿宋_GB2312" w:hAnsi="黑体" w:eastAsia="仿宋_GB2312" w:cs="黑体"/>
          <w:b/>
          <w:color w:val="000000"/>
          <w:kern w:val="0"/>
          <w:sz w:val="28"/>
          <w:szCs w:val="28"/>
        </w:rPr>
        <w:t>第四部分名词解释</w:t>
      </w:r>
    </w:p>
    <w:p>
      <w:pPr>
        <w:keepNext w:val="0"/>
        <w:keepLines w:val="0"/>
        <w:pageBreakBefore w:val="0"/>
        <w:widowControl w:val="0"/>
        <w:kinsoku/>
        <w:wordWrap/>
        <w:overflowPunct/>
        <w:topLinePunct w:val="0"/>
        <w:bidi w:val="0"/>
        <w:snapToGrid/>
        <w:spacing w:line="460" w:lineRule="exact"/>
        <w:jc w:val="left"/>
        <w:textAlignment w:val="auto"/>
        <w:rPr>
          <w:rFonts w:ascii="仿宋_GB2312" w:hAnsi="黑体" w:eastAsia="仿宋_GB2312" w:cs="黑体"/>
          <w:b/>
          <w:color w:val="000000"/>
          <w:kern w:val="0"/>
          <w:sz w:val="28"/>
          <w:szCs w:val="28"/>
        </w:rPr>
      </w:pPr>
      <w:r>
        <w:rPr>
          <w:rFonts w:hint="eastAsia" w:ascii="仿宋_GB2312" w:hAnsi="黑体" w:eastAsia="仿宋_GB2312" w:cs="黑体"/>
          <w:b/>
          <w:color w:val="000000"/>
          <w:kern w:val="0"/>
          <w:sz w:val="28"/>
          <w:szCs w:val="28"/>
        </w:rPr>
        <w:t>第五部分附件</w:t>
      </w:r>
    </w:p>
    <w:p>
      <w:pPr>
        <w:pStyle w:val="13"/>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w:t>
      </w:r>
      <w:r>
        <w:rPr>
          <w:rFonts w:hint="eastAsia" w:ascii="方正小标宋简体" w:hAnsi="方正小标宋简体" w:eastAsia="方正小标宋简体" w:cs="方正小标宋简体"/>
          <w:b w:val="0"/>
          <w:bCs w:val="0"/>
          <w:sz w:val="36"/>
          <w:szCs w:val="36"/>
          <w:lang w:eastAsia="zh-CN"/>
        </w:rPr>
        <w:t>祁阳市</w:t>
      </w:r>
      <w:r>
        <w:rPr>
          <w:rFonts w:hint="eastAsia" w:ascii="方正小标宋简体" w:hAnsi="方正小标宋简体" w:eastAsia="方正小标宋简体" w:cs="方正小标宋简体"/>
          <w:b w:val="0"/>
          <w:bCs w:val="0"/>
          <w:sz w:val="36"/>
          <w:szCs w:val="36"/>
        </w:rPr>
        <w:t>工业企业改制服务办公室部门概况</w:t>
      </w:r>
    </w:p>
    <w:p>
      <w:pPr>
        <w:widowControl/>
        <w:spacing w:line="600" w:lineRule="exact"/>
        <w:ind w:firstLine="643" w:firstLineChars="200"/>
        <w:rPr>
          <w:rFonts w:ascii="仿宋_GB2312" w:hAnsi="仿宋_GB2312" w:eastAsia="仿宋_GB2312" w:cs="仿宋_GB2312"/>
          <w:b/>
          <w:kern w:val="0"/>
          <w:sz w:val="32"/>
          <w:szCs w:val="32"/>
        </w:rPr>
      </w:pP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一、部门职责</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根据祁政办（2017）7号机构编制的文件精神，县工业企业改制服务办公室为挂靠县科工委的正科级全额拨款的事业单位，主要工作职责是：</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1、为原经信委系统有关工业、煤炭企业改制做好服务工作，并做好改制企业离退休人员管理服务工作。</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2、维护改制工业企业及其职工的合法权利，积极提供有关法律、政策等咨询服务，认真做好信访及稳定工作。</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3、负责原县二轻事务管理办公室（县二轻工业局）所属联社资产及因机构组建而从相关部门、行业划入资产的物业管理，行使上述资产使用权的租赁、收益等权利，加强资产维护，确保资产安全和保值增值。</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4、负责所属单位、企业的思想政治工作，抓好领导班子建设及离退休人员管理工作。</w:t>
      </w:r>
    </w:p>
    <w:p>
      <w:pPr>
        <w:widowControl/>
        <w:spacing w:line="600" w:lineRule="atLeast"/>
        <w:ind w:firstLine="627"/>
        <w:jc w:val="left"/>
        <w:rPr>
          <w:rFonts w:ascii="宋体" w:hAnsi="宋体" w:eastAsia="宋体" w:cs="宋体"/>
          <w:sz w:val="28"/>
          <w:szCs w:val="28"/>
        </w:rPr>
      </w:pPr>
      <w:r>
        <w:rPr>
          <w:rFonts w:hint="eastAsia" w:ascii="仿宋_GB2312" w:hAnsi="仿宋_GB2312" w:eastAsia="仿宋_GB2312" w:cs="仿宋_GB2312"/>
          <w:sz w:val="28"/>
          <w:szCs w:val="28"/>
        </w:rPr>
        <w:t>5、完成县委、县政府交办的其它事项</w:t>
      </w:r>
      <w:r>
        <w:rPr>
          <w:rFonts w:hint="eastAsia" w:ascii="宋体" w:hAnsi="宋体" w:eastAsia="宋体" w:cs="宋体"/>
          <w:sz w:val="28"/>
          <w:szCs w:val="28"/>
        </w:rPr>
        <w:t>。</w:t>
      </w:r>
    </w:p>
    <w:p>
      <w:pPr>
        <w:widowControl/>
        <w:spacing w:line="600" w:lineRule="atLeast"/>
        <w:ind w:firstLine="627"/>
        <w:jc w:val="left"/>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shd w:val="clear" w:color="auto" w:fill="FFFFFF"/>
        </w:rPr>
        <w:t>二、机构设置</w:t>
      </w:r>
      <w:r>
        <w:rPr>
          <w:rFonts w:hint="eastAsia" w:ascii="仿宋_GB2312" w:hAnsi="仿宋_GB2312" w:eastAsia="仿宋_GB2312" w:cs="仿宋_GB2312"/>
          <w:b/>
          <w:sz w:val="32"/>
          <w:szCs w:val="32"/>
          <w:shd w:val="clear" w:color="auto" w:fill="FFFFFF"/>
          <w:lang w:val="en-US" w:eastAsia="zh-CN"/>
        </w:rPr>
        <w:t>及决算单位构成</w:t>
      </w:r>
    </w:p>
    <w:p>
      <w:pPr>
        <w:pStyle w:val="8"/>
        <w:spacing w:before="0" w:beforeAutospacing="0" w:after="0" w:afterAutospacing="0" w:line="600" w:lineRule="exact"/>
        <w:ind w:firstLine="562" w:firstLineChars="200"/>
        <w:jc w:val="both"/>
        <w:rPr>
          <w:rFonts w:hint="eastAsia" w:ascii="楷体_GB2312" w:hAnsi="仿宋_GB2312" w:eastAsia="楷体_GB2312" w:cs="仿宋_GB2312"/>
          <w:b/>
          <w:sz w:val="28"/>
          <w:szCs w:val="28"/>
          <w:shd w:val="clear" w:color="auto" w:fill="FFFFFF"/>
          <w:lang w:eastAsia="zh-CN"/>
        </w:rPr>
      </w:pPr>
      <w:r>
        <w:rPr>
          <w:rFonts w:hint="eastAsia" w:ascii="楷体_GB2312" w:hAnsi="仿宋_GB2312" w:eastAsia="楷体_GB2312" w:cs="仿宋_GB2312"/>
          <w:b/>
          <w:bCs/>
          <w:sz w:val="28"/>
          <w:szCs w:val="28"/>
          <w:shd w:val="clear" w:color="auto" w:fill="FFFFFF"/>
        </w:rPr>
        <w:t>（一）内设机构设置</w:t>
      </w:r>
    </w:p>
    <w:p>
      <w:pPr>
        <w:pStyle w:val="8"/>
        <w:spacing w:before="0" w:beforeAutospacing="0" w:after="0" w:afterAutospacing="0" w:line="600" w:lineRule="exact"/>
        <w:ind w:firstLine="560" w:firstLineChars="200"/>
        <w:jc w:val="both"/>
        <w:rPr>
          <w:sz w:val="28"/>
          <w:szCs w:val="28"/>
          <w:shd w:val="clear" w:color="auto" w:fill="FFFFFF"/>
        </w:rPr>
      </w:pPr>
      <w:r>
        <w:rPr>
          <w:rFonts w:hint="eastAsia" w:ascii="仿宋_GB2312" w:hAnsi="仿宋_GB2312" w:eastAsia="仿宋_GB2312" w:cs="仿宋_GB2312"/>
          <w:sz w:val="28"/>
          <w:szCs w:val="28"/>
          <w:shd w:val="clear" w:color="auto" w:fill="FFFFFF"/>
        </w:rPr>
        <w:t>根据编委核定，县工改办内设股室4个，分别是</w:t>
      </w:r>
      <w:r>
        <w:rPr>
          <w:rFonts w:hint="eastAsia" w:ascii="仿宋_GB2312" w:hAnsi="仿宋_GB2312" w:eastAsia="仿宋_GB2312" w:cs="仿宋_GB2312"/>
          <w:sz w:val="28"/>
          <w:szCs w:val="28"/>
        </w:rPr>
        <w:t>办公室、政工股、资产财务股、服务管理股，</w:t>
      </w:r>
      <w:r>
        <w:rPr>
          <w:rFonts w:hint="eastAsia" w:ascii="仿宋_GB2312" w:hAnsi="仿宋_GB2312" w:eastAsia="仿宋_GB2312" w:cs="仿宋_GB2312"/>
          <w:sz w:val="28"/>
          <w:szCs w:val="28"/>
          <w:shd w:val="clear" w:color="auto" w:fill="FFFFFF"/>
        </w:rPr>
        <w:t>无所属事业单位或二级单位。</w:t>
      </w:r>
    </w:p>
    <w:p>
      <w:pPr>
        <w:pStyle w:val="8"/>
        <w:spacing w:before="0" w:beforeAutospacing="0" w:after="0" w:afterAutospacing="0" w:line="600" w:lineRule="exact"/>
        <w:ind w:firstLine="562" w:firstLineChars="200"/>
        <w:jc w:val="both"/>
        <w:rPr>
          <w:rFonts w:ascii="楷体_GB2312" w:hAnsi="仿宋_GB2312" w:eastAsia="楷体_GB2312" w:cs="仿宋_GB2312"/>
          <w:b/>
          <w:bCs w:val="0"/>
          <w:sz w:val="28"/>
          <w:szCs w:val="28"/>
          <w:shd w:val="clear" w:color="auto" w:fill="FFFFFF"/>
        </w:rPr>
      </w:pPr>
      <w:r>
        <w:rPr>
          <w:rFonts w:hint="eastAsia" w:ascii="楷体_GB2312" w:hAnsi="仿宋_GB2312" w:eastAsia="楷体_GB2312" w:cs="仿宋_GB2312"/>
          <w:b/>
          <w:bCs w:val="0"/>
          <w:sz w:val="28"/>
          <w:szCs w:val="28"/>
          <w:shd w:val="clear" w:color="auto" w:fill="FFFFFF"/>
        </w:rPr>
        <w:t>（二）决算单位构成</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lang w:eastAsia="zh-CN"/>
        </w:rPr>
        <w:t>2021</w:t>
      </w:r>
      <w:r>
        <w:rPr>
          <w:rFonts w:hint="eastAsia" w:ascii="仿宋_GB2312" w:hAnsi="仿宋_GB2312" w:eastAsia="仿宋_GB2312" w:cs="仿宋_GB2312"/>
          <w:bCs/>
          <w:kern w:val="0"/>
          <w:sz w:val="28"/>
          <w:szCs w:val="28"/>
        </w:rPr>
        <w:t>年部门决算汇总公开单位构成为本单位本级，无下级或二级单位。</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第二部分</w:t>
      </w:r>
      <w:r>
        <w:rPr>
          <w:rFonts w:hint="eastAsia" w:ascii="方正小标宋简体" w:hAnsi="方正小标宋简体" w:eastAsia="方正小标宋简体" w:cs="方正小标宋简体"/>
          <w:b w:val="0"/>
          <w:bCs w:val="0"/>
          <w:sz w:val="52"/>
          <w:szCs w:val="52"/>
          <w:lang w:eastAsia="zh-CN"/>
        </w:rPr>
        <w:t>2021</w:t>
      </w:r>
      <w:r>
        <w:rPr>
          <w:rFonts w:hint="eastAsia" w:ascii="方正小标宋简体" w:hAnsi="方正小标宋简体" w:eastAsia="方正小标宋简体" w:cs="方正小标宋简体"/>
          <w:b w:val="0"/>
          <w:bCs w:val="0"/>
          <w:sz w:val="52"/>
          <w:szCs w:val="52"/>
        </w:rPr>
        <w:t>年部门决算表</w:t>
      </w:r>
    </w:p>
    <w:p>
      <w:pPr>
        <w:ind w:firstLine="560" w:firstLineChars="200"/>
        <w:jc w:val="center"/>
        <w:rPr>
          <w:rFonts w:hint="eastAsia" w:ascii="仿宋_GB2312" w:hAnsi="仿宋_GB2312" w:eastAsia="仿宋_GB2312" w:cs="仿宋_GB2312"/>
          <w:bCs/>
          <w:kern w:val="0"/>
          <w:sz w:val="28"/>
          <w:szCs w:val="28"/>
        </w:rPr>
      </w:pPr>
    </w:p>
    <w:p>
      <w:pPr>
        <w:ind w:firstLine="560" w:firstLineChars="200"/>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详见附件）</w:t>
      </w:r>
    </w:p>
    <w:p>
      <w:pPr>
        <w:pStyle w:val="13"/>
        <w:jc w:val="center"/>
        <w:rPr>
          <w:rFonts w:ascii="仿宋_GB2312" w:eastAsia="仿宋_GB2312"/>
          <w:sz w:val="72"/>
          <w:szCs w:val="72"/>
        </w:rPr>
        <w:sectPr>
          <w:pgSz w:w="11906" w:h="16838"/>
          <w:pgMar w:top="1440" w:right="1803" w:bottom="1440" w:left="1803" w:header="851" w:footer="992" w:gutter="0"/>
          <w:cols w:space="0" w:num="1"/>
          <w:docGrid w:type="lines" w:linePitch="319" w:charSpace="0"/>
        </w:sectPr>
      </w:pPr>
    </w:p>
    <w:p>
      <w:pPr>
        <w:pStyle w:val="1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第三部分2021年度部门决算情况说明</w:t>
      </w:r>
    </w:p>
    <w:p>
      <w:pPr>
        <w:pStyle w:val="13"/>
        <w:keepNext w:val="0"/>
        <w:keepLines w:val="0"/>
        <w:pageBreakBefore w:val="0"/>
        <w:kinsoku/>
        <w:wordWrap/>
        <w:overflowPunct/>
        <w:topLinePunct w:val="0"/>
        <w:bidi w:val="0"/>
        <w:snapToGrid/>
        <w:spacing w:line="560" w:lineRule="exact"/>
        <w:ind w:firstLine="640" w:firstLineChars="200"/>
        <w:jc w:val="both"/>
        <w:textAlignment w:val="auto"/>
        <w:rPr>
          <w:rFonts w:hAnsi="黑体" w:cs="仿宋_GB2312"/>
          <w:bCs/>
          <w:color w:val="auto"/>
          <w:kern w:val="2"/>
          <w:sz w:val="32"/>
          <w:szCs w:val="32"/>
          <w:shd w:val="clear" w:color="auto" w:fill="FFFFFF"/>
        </w:rPr>
      </w:pP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Ansi="黑体" w:cs="仿宋_GB2312"/>
          <w:bCs/>
          <w:color w:val="auto"/>
          <w:kern w:val="2"/>
          <w:sz w:val="32"/>
          <w:szCs w:val="32"/>
          <w:shd w:val="clear" w:color="auto" w:fill="FFFFFF"/>
        </w:rPr>
      </w:pPr>
      <w:r>
        <w:rPr>
          <w:rFonts w:hint="eastAsia" w:hAnsi="黑体" w:cs="仿宋_GB2312"/>
          <w:bCs/>
          <w:color w:val="auto"/>
          <w:kern w:val="2"/>
          <w:sz w:val="32"/>
          <w:szCs w:val="32"/>
          <w:shd w:val="clear" w:color="auto" w:fill="FFFFFF"/>
        </w:rPr>
        <w:t>一、收入支出决算总体情况说明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eastAsia="zh-CN"/>
        </w:rPr>
        <w:t>1054.47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与上年相比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增加756.31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增加71.72</w:t>
      </w:r>
      <w:r>
        <w:rPr>
          <w:rFonts w:hint="eastAsia" w:ascii="仿宋_GB2312" w:hAnsi="仿宋_GB2312" w:eastAsia="仿宋_GB2312" w:cs="仿宋_GB2312"/>
          <w:sz w:val="32"/>
          <w:szCs w:val="32"/>
        </w:rPr>
        <w:t>%。主要原因是项目经费预算调整</w:t>
      </w:r>
      <w:r>
        <w:rPr>
          <w:rFonts w:hint="eastAsia" w:ascii="仿宋_GB2312" w:hAnsi="仿宋_GB2312" w:eastAsia="仿宋_GB2312" w:cs="仿宋_GB2312"/>
          <w:sz w:val="32"/>
          <w:szCs w:val="32"/>
          <w:lang w:val="en-US" w:eastAsia="zh-CN"/>
        </w:rPr>
        <w:t>增加所致</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Ansi="黑体" w:cs="仿宋_GB2312"/>
          <w:bCs/>
          <w:color w:val="auto"/>
          <w:kern w:val="2"/>
          <w:sz w:val="32"/>
          <w:szCs w:val="32"/>
          <w:shd w:val="clear" w:color="auto" w:fill="FFFFFF"/>
        </w:rPr>
      </w:pPr>
      <w:r>
        <w:rPr>
          <w:rFonts w:hint="eastAsia" w:hAnsi="黑体" w:cs="仿宋_GB2312"/>
          <w:bCs/>
          <w:color w:val="auto"/>
          <w:kern w:val="2"/>
          <w:sz w:val="32"/>
          <w:szCs w:val="32"/>
          <w:shd w:val="clear" w:color="auto" w:fill="FFFFFF"/>
        </w:rPr>
        <w:t>二、收入决算情况说明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本年收入合计</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万元，其中：财政拨款收入</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万元，占100%；上级补助收入0万元，占0%；事业收入0万元，占0%；经营收入0万元，占0%；附属单位上缴收入0万元，占0%；其他收入0万元，占0%。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三、支出决算情况说明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本年支出合计</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万元，其中：基本支出</w:t>
      </w:r>
      <w:r>
        <w:rPr>
          <w:rFonts w:hint="eastAsia" w:ascii="仿宋_GB2312" w:eastAsia="仿宋_GB2312" w:hAnsiTheme="minorEastAsia"/>
          <w:sz w:val="32"/>
          <w:szCs w:val="32"/>
          <w:lang w:eastAsia="zh-CN"/>
        </w:rPr>
        <w:t>204.22</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19.37</w:t>
      </w:r>
      <w:r>
        <w:rPr>
          <w:rFonts w:hint="eastAsia" w:ascii="仿宋_GB2312" w:eastAsia="仿宋_GB2312" w:hAnsiTheme="minorEastAsia"/>
          <w:sz w:val="32"/>
          <w:szCs w:val="32"/>
        </w:rPr>
        <w:t>%；项目支出</w:t>
      </w:r>
      <w:r>
        <w:rPr>
          <w:rFonts w:hint="eastAsia" w:ascii="仿宋_GB2312" w:eastAsia="仿宋_GB2312" w:hAnsiTheme="minorEastAsia"/>
          <w:sz w:val="32"/>
          <w:szCs w:val="32"/>
          <w:lang w:eastAsia="zh-CN"/>
        </w:rPr>
        <w:t>850.25</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80.63</w:t>
      </w:r>
      <w:r>
        <w:rPr>
          <w:rFonts w:hint="eastAsia" w:ascii="仿宋_GB2312" w:eastAsia="仿宋_GB2312" w:hAnsiTheme="minorEastAsia"/>
          <w:sz w:val="32"/>
          <w:szCs w:val="32"/>
        </w:rPr>
        <w:t>%；上缴上级支出0万元，占0%；经营支出0万元，占0%；对附属单位补助支出0万元，占0%。</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四、财政拨款收入支出决算总体情况说明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年度财政拨款收、支总计</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与上年相比</w:t>
      </w:r>
      <w:r>
        <w:rPr>
          <w:rFonts w:hint="eastAsia" w:ascii="仿宋_GB2312" w:eastAsia="仿宋_GB2312" w:hAnsiTheme="minorEastAsia"/>
          <w:sz w:val="32"/>
          <w:szCs w:val="32"/>
        </w:rPr>
        <w:t>，</w:t>
      </w:r>
      <w:r>
        <w:rPr>
          <w:rFonts w:hint="eastAsia" w:ascii="仿宋_GB2312" w:hAnsi="仿宋_GB2312" w:eastAsia="仿宋_GB2312" w:cs="仿宋_GB2312"/>
          <w:sz w:val="32"/>
          <w:szCs w:val="32"/>
          <w:lang w:val="en-US" w:eastAsia="zh-CN"/>
        </w:rPr>
        <w:t>增加756.31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增加71.72</w:t>
      </w:r>
      <w:r>
        <w:rPr>
          <w:rFonts w:hint="eastAsia" w:ascii="仿宋_GB2312" w:hAnsi="仿宋_GB2312" w:eastAsia="仿宋_GB2312" w:cs="仿宋_GB2312"/>
          <w:sz w:val="32"/>
          <w:szCs w:val="32"/>
        </w:rPr>
        <w:t>%。主要原因是项目经费预算调整</w:t>
      </w:r>
      <w:r>
        <w:rPr>
          <w:rFonts w:hint="eastAsia" w:ascii="仿宋_GB2312" w:hAnsi="仿宋_GB2312" w:eastAsia="仿宋_GB2312" w:cs="仿宋_GB2312"/>
          <w:sz w:val="32"/>
          <w:szCs w:val="32"/>
          <w:lang w:val="en-US" w:eastAsia="zh-CN"/>
        </w:rPr>
        <w:t>增加所致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五、一般公共预算财政拨款支出决算情况说明</w:t>
      </w:r>
    </w:p>
    <w:p>
      <w:pPr>
        <w:pStyle w:val="13"/>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（一）财政拨款支出决算总体情况</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年度财政拨款支出</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万元，占本年支出合计的100%，</w:t>
      </w:r>
      <w:r>
        <w:rPr>
          <w:rFonts w:hint="eastAsia" w:ascii="仿宋_GB2312" w:eastAsia="仿宋_GB2312" w:hAnsiTheme="minorEastAsia"/>
          <w:sz w:val="32"/>
          <w:szCs w:val="32"/>
          <w:lang w:eastAsia="zh-CN"/>
        </w:rPr>
        <w:t>与上年相比</w:t>
      </w:r>
      <w:r>
        <w:rPr>
          <w:rFonts w:hint="eastAsia" w:ascii="仿宋_GB2312" w:eastAsia="仿宋_GB2312" w:hAnsiTheme="minorEastAsia"/>
          <w:sz w:val="32"/>
          <w:szCs w:val="32"/>
        </w:rPr>
        <w:t>，财政拨款支出</w:t>
      </w:r>
      <w:r>
        <w:rPr>
          <w:rFonts w:hint="eastAsia" w:ascii="仿宋_GB2312" w:hAnsi="仿宋_GB2312" w:eastAsia="仿宋_GB2312" w:cs="仿宋_GB2312"/>
          <w:sz w:val="32"/>
          <w:szCs w:val="32"/>
          <w:lang w:val="en-US" w:eastAsia="zh-CN"/>
        </w:rPr>
        <w:t>增加756.31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增加71.72</w:t>
      </w:r>
      <w:r>
        <w:rPr>
          <w:rFonts w:hint="eastAsia" w:ascii="仿宋_GB2312" w:hAnsi="仿宋_GB2312" w:eastAsia="仿宋_GB2312" w:cs="仿宋_GB2312"/>
          <w:sz w:val="32"/>
          <w:szCs w:val="32"/>
        </w:rPr>
        <w:t>%。主要原因是项目经费预算调整</w:t>
      </w:r>
      <w:r>
        <w:rPr>
          <w:rFonts w:hint="eastAsia" w:ascii="仿宋_GB2312" w:hAnsi="仿宋_GB2312" w:eastAsia="仿宋_GB2312" w:cs="仿宋_GB2312"/>
          <w:sz w:val="32"/>
          <w:szCs w:val="32"/>
          <w:lang w:val="en-US" w:eastAsia="zh-CN"/>
        </w:rPr>
        <w:t>增加所致</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（二）财政拨款支出决算结构情况</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年度财政拨款支出</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万元，主要用于以下方面：社会保障和就业（类）支出</w:t>
      </w:r>
      <w:r>
        <w:rPr>
          <w:rFonts w:hint="eastAsia" w:ascii="仿宋_GB2312" w:eastAsia="仿宋_GB2312" w:hAnsiTheme="minorEastAsia"/>
          <w:sz w:val="32"/>
          <w:szCs w:val="32"/>
          <w:lang w:val="en-US" w:eastAsia="zh-CN"/>
        </w:rPr>
        <w:t>35.13</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3.33</w:t>
      </w:r>
      <w:r>
        <w:rPr>
          <w:rFonts w:hint="eastAsia" w:ascii="仿宋_GB2312" w:eastAsia="仿宋_GB2312" w:hAnsiTheme="minorEastAsia"/>
          <w:sz w:val="32"/>
          <w:szCs w:val="32"/>
        </w:rPr>
        <w:t>%；卫生健康（类）支出7</w:t>
      </w:r>
      <w:r>
        <w:rPr>
          <w:rFonts w:hint="eastAsia" w:ascii="仿宋_GB2312" w:eastAsia="仿宋_GB2312" w:hAnsiTheme="minorEastAsia"/>
          <w:sz w:val="32"/>
          <w:szCs w:val="32"/>
          <w:lang w:val="en-US" w:eastAsia="zh-CN"/>
        </w:rPr>
        <w:t>.78</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0.74</w:t>
      </w:r>
      <w:r>
        <w:rPr>
          <w:rFonts w:hint="eastAsia" w:ascii="仿宋_GB2312" w:eastAsia="仿宋_GB2312" w:hAnsiTheme="minorEastAsia"/>
          <w:sz w:val="32"/>
          <w:szCs w:val="32"/>
        </w:rPr>
        <w:t>%;资源勘探工业信息等（类）支出</w:t>
      </w:r>
      <w:r>
        <w:rPr>
          <w:rFonts w:hint="eastAsia" w:ascii="仿宋_GB2312" w:eastAsia="仿宋_GB2312" w:hAnsiTheme="minorEastAsia"/>
          <w:sz w:val="32"/>
          <w:szCs w:val="32"/>
          <w:lang w:val="en-US" w:eastAsia="zh-CN"/>
        </w:rPr>
        <w:t>999.9</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94.82</w:t>
      </w:r>
      <w:r>
        <w:rPr>
          <w:rFonts w:hint="eastAsia" w:ascii="仿宋_GB2312" w:eastAsia="仿宋_GB2312" w:hAnsiTheme="minorEastAsia"/>
          <w:sz w:val="32"/>
          <w:szCs w:val="32"/>
        </w:rPr>
        <w:t>%；住房保障（类）支出</w:t>
      </w:r>
      <w:r>
        <w:rPr>
          <w:rFonts w:hint="eastAsia" w:ascii="仿宋_GB2312" w:eastAsia="仿宋_GB2312" w:hAnsiTheme="minorEastAsia"/>
          <w:sz w:val="32"/>
          <w:szCs w:val="32"/>
          <w:lang w:val="en-US" w:eastAsia="zh-CN"/>
        </w:rPr>
        <w:t>11.66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1.11</w:t>
      </w:r>
      <w:r>
        <w:rPr>
          <w:rFonts w:hint="eastAsia" w:ascii="仿宋_GB2312" w:eastAsia="仿宋_GB2312" w:hAnsiTheme="minorEastAsia"/>
          <w:sz w:val="32"/>
          <w:szCs w:val="32"/>
        </w:rPr>
        <w:t>%。</w:t>
      </w:r>
    </w:p>
    <w:p>
      <w:pPr>
        <w:pStyle w:val="13"/>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（三）财政拨款支出决算具体情况</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年度财政拨款支出年初预算数为</w:t>
      </w:r>
      <w:r>
        <w:rPr>
          <w:rFonts w:hint="eastAsia" w:ascii="仿宋_GB2312" w:eastAsia="仿宋_GB2312" w:hAnsiTheme="minorEastAsia"/>
          <w:sz w:val="32"/>
          <w:szCs w:val="32"/>
          <w:lang w:val="en-US" w:eastAsia="zh-CN"/>
        </w:rPr>
        <w:t>211.46</w:t>
      </w:r>
      <w:r>
        <w:rPr>
          <w:rFonts w:hint="eastAsia" w:ascii="仿宋_GB2312" w:eastAsia="仿宋_GB2312" w:hAnsiTheme="minorEastAsia"/>
          <w:sz w:val="32"/>
          <w:szCs w:val="32"/>
        </w:rPr>
        <w:t>万元，支出决算数为</w:t>
      </w:r>
      <w:r>
        <w:rPr>
          <w:rFonts w:hint="eastAsia" w:ascii="仿宋_GB2312" w:eastAsia="仿宋_GB2312" w:hAnsiTheme="minorEastAsia"/>
          <w:sz w:val="32"/>
          <w:szCs w:val="32"/>
          <w:lang w:eastAsia="zh-CN"/>
        </w:rPr>
        <w:t>1054.47</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498.66</w:t>
      </w:r>
      <w:r>
        <w:rPr>
          <w:rFonts w:hint="eastAsia" w:ascii="仿宋_GB2312" w:eastAsia="仿宋_GB2312" w:hAnsiTheme="minorEastAsia"/>
          <w:sz w:val="32"/>
          <w:szCs w:val="32"/>
        </w:rPr>
        <w:t>%，其中：</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1、社会保障和就业支出（类）行政事业单位养老支出（款）机关事业单位基本养老保险缴费支出（项）。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hAnsiTheme="minorEastAsia"/>
          <w:sz w:val="32"/>
          <w:szCs w:val="32"/>
          <w:highlight w:val="none"/>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16.84</w:t>
      </w:r>
      <w:r>
        <w:rPr>
          <w:rFonts w:hint="eastAsia" w:ascii="仿宋_GB2312" w:eastAsia="仿宋_GB2312" w:hAnsiTheme="minorEastAsia"/>
          <w:sz w:val="32"/>
          <w:szCs w:val="32"/>
        </w:rPr>
        <w:t>元，支出决算为</w:t>
      </w:r>
      <w:r>
        <w:rPr>
          <w:rFonts w:hint="eastAsia" w:ascii="仿宋_GB2312" w:eastAsia="仿宋_GB2312" w:hAnsiTheme="minorEastAsia"/>
          <w:sz w:val="32"/>
          <w:szCs w:val="32"/>
          <w:lang w:val="en-US" w:eastAsia="zh-CN"/>
        </w:rPr>
        <w:t>16.84</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w:t>
      </w:r>
      <w:r>
        <w:rPr>
          <w:rFonts w:hint="eastAsia" w:ascii="仿宋_GB2312" w:eastAsia="仿宋_GB2312" w:hAnsiTheme="minorEastAsia"/>
          <w:sz w:val="32"/>
          <w:szCs w:val="32"/>
          <w:highlight w:val="none"/>
        </w:rPr>
        <w:t>决算数</w:t>
      </w:r>
      <w:r>
        <w:rPr>
          <w:rFonts w:hint="eastAsia" w:ascii="仿宋_GB2312" w:eastAsia="仿宋_GB2312" w:hAnsiTheme="minorEastAsia"/>
          <w:sz w:val="32"/>
          <w:szCs w:val="32"/>
          <w:highlight w:val="none"/>
          <w:lang w:val="en-US" w:eastAsia="zh-CN"/>
        </w:rPr>
        <w:t>等于</w:t>
      </w:r>
      <w:r>
        <w:rPr>
          <w:rFonts w:hint="eastAsia" w:ascii="仿宋_GB2312" w:eastAsia="仿宋_GB2312" w:hAnsiTheme="minorEastAsia"/>
          <w:sz w:val="32"/>
          <w:szCs w:val="32"/>
          <w:highlight w:val="none"/>
        </w:rPr>
        <w:t>年初预算数的主要原因是：</w:t>
      </w:r>
      <w:r>
        <w:rPr>
          <w:rFonts w:hint="eastAsia" w:ascii="仿宋_GB2312" w:eastAsia="仿宋_GB2312" w:hAnsiTheme="minorEastAsia"/>
          <w:sz w:val="32"/>
          <w:szCs w:val="32"/>
          <w:highlight w:val="none"/>
          <w:lang w:val="en-US" w:eastAsia="zh-CN"/>
        </w:rPr>
        <w:t>严格按照预算执行。</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、社会保障和就业支出（类）</w:t>
      </w:r>
      <w:r>
        <w:rPr>
          <w:rFonts w:hint="eastAsia" w:ascii="仿宋_GB2312" w:eastAsia="仿宋_GB2312" w:hAnsiTheme="minorEastAsia"/>
          <w:sz w:val="32"/>
          <w:szCs w:val="32"/>
          <w:lang w:val="en-US" w:eastAsia="zh-CN"/>
        </w:rPr>
        <w:t>抚恤</w:t>
      </w:r>
      <w:r>
        <w:rPr>
          <w:rFonts w:hint="eastAsia" w:ascii="仿宋_GB2312" w:eastAsia="仿宋_GB2312" w:hAnsiTheme="minorEastAsia"/>
          <w:sz w:val="32"/>
          <w:szCs w:val="32"/>
        </w:rPr>
        <w:t>（款）死亡抚恤（项）。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16.29</w:t>
      </w:r>
      <w:r>
        <w:rPr>
          <w:rFonts w:hint="eastAsia" w:ascii="仿宋_GB2312" w:eastAsia="仿宋_GB2312" w:hAnsiTheme="minorEastAsia"/>
          <w:sz w:val="32"/>
          <w:szCs w:val="32"/>
        </w:rPr>
        <w:t>万元，由于预算数为0，无法计算百分比，</w:t>
      </w:r>
      <w:r>
        <w:rPr>
          <w:rFonts w:hint="eastAsia" w:ascii="仿宋_GB2312" w:eastAsia="仿宋_GB2312" w:hAnsiTheme="minorEastAsia"/>
          <w:color w:val="auto"/>
          <w:sz w:val="32"/>
          <w:szCs w:val="32"/>
          <w:lang w:val="en-US" w:eastAsia="zh-CN"/>
        </w:rPr>
        <w:t>决算数大于年初预算数的主要</w:t>
      </w:r>
      <w:r>
        <w:rPr>
          <w:rFonts w:hint="eastAsia" w:ascii="仿宋_GB2312" w:hAnsi="宋体" w:eastAsia="仿宋_GB2312" w:cs="宋体"/>
          <w:sz w:val="32"/>
          <w:szCs w:val="32"/>
          <w:lang w:val="en-US" w:eastAsia="zh-CN"/>
        </w:rPr>
        <w:t>原因是退休人员死亡，年中财政拨款，未纳入年初预算。</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、社会保障和就业支出（类）</w:t>
      </w:r>
      <w:r>
        <w:rPr>
          <w:rFonts w:hint="eastAsia" w:ascii="仿宋_GB2312" w:eastAsia="仿宋_GB2312" w:hAnsiTheme="minorEastAsia"/>
          <w:sz w:val="32"/>
          <w:szCs w:val="32"/>
          <w:lang w:val="en-US" w:eastAsia="zh-CN"/>
        </w:rPr>
        <w:t>退役安置</w:t>
      </w:r>
      <w:r>
        <w:rPr>
          <w:rFonts w:hint="eastAsia" w:ascii="仿宋_GB2312" w:eastAsia="仿宋_GB2312" w:hAnsiTheme="minorEastAsia"/>
          <w:sz w:val="32"/>
          <w:szCs w:val="32"/>
        </w:rPr>
        <w:t>（款）军队转业干部安置（项）。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万元，由于预算数为0，无法计算百分比，</w:t>
      </w:r>
      <w:r>
        <w:rPr>
          <w:rFonts w:hint="eastAsia" w:ascii="仿宋_GB2312" w:eastAsia="仿宋_GB2312" w:hAnsiTheme="minorEastAsia"/>
          <w:color w:val="auto"/>
          <w:sz w:val="32"/>
          <w:szCs w:val="32"/>
          <w:lang w:val="en-US" w:eastAsia="zh-CN"/>
        </w:rPr>
        <w:t>决算数大于年初预算数的主要</w:t>
      </w:r>
      <w:r>
        <w:rPr>
          <w:rFonts w:hint="eastAsia" w:ascii="仿宋_GB2312" w:hAnsi="宋体" w:eastAsia="仿宋_GB2312" w:cs="宋体"/>
          <w:sz w:val="32"/>
          <w:szCs w:val="32"/>
          <w:lang w:val="en-US" w:eastAsia="zh-CN"/>
        </w:rPr>
        <w:t>原因是此项费用为其他部门转入，未纳入年初预算。</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4、卫生健康支出（类）行政事业单位医疗（款）</w:t>
      </w:r>
      <w:r>
        <w:rPr>
          <w:rFonts w:hint="eastAsia" w:ascii="仿宋_GB2312" w:eastAsia="仿宋_GB2312" w:hAnsiTheme="minorEastAsia"/>
          <w:sz w:val="32"/>
          <w:szCs w:val="32"/>
          <w:lang w:val="en-US" w:eastAsia="zh-CN"/>
        </w:rPr>
        <w:t>事业</w:t>
      </w:r>
      <w:r>
        <w:rPr>
          <w:rFonts w:hint="eastAsia" w:ascii="仿宋_GB2312" w:eastAsia="仿宋_GB2312" w:hAnsiTheme="minorEastAsia"/>
          <w:sz w:val="32"/>
          <w:szCs w:val="32"/>
        </w:rPr>
        <w:t>单位医疗（项）。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hAnsiTheme="minorEastAsia"/>
          <w:sz w:val="32"/>
          <w:szCs w:val="32"/>
          <w:highlight w:val="yellow"/>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7.7</w:t>
      </w:r>
      <w:r>
        <w:rPr>
          <w:rFonts w:hint="eastAsia" w:ascii="仿宋_GB2312" w:eastAsia="仿宋_GB2312" w:hAnsiTheme="minorEastAsia"/>
          <w:sz w:val="32"/>
          <w:szCs w:val="32"/>
        </w:rPr>
        <w:t>8万元，支出决算为7.</w:t>
      </w:r>
      <w:r>
        <w:rPr>
          <w:rFonts w:hint="eastAsia" w:ascii="仿宋_GB2312" w:eastAsia="仿宋_GB2312" w:hAnsiTheme="minorEastAsia"/>
          <w:sz w:val="32"/>
          <w:szCs w:val="32"/>
          <w:lang w:val="en-US" w:eastAsia="zh-CN"/>
        </w:rPr>
        <w:t>78</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w:t>
      </w:r>
      <w:r>
        <w:rPr>
          <w:rFonts w:hint="eastAsia" w:ascii="仿宋_GB2312" w:eastAsia="仿宋_GB2312" w:hAnsiTheme="minorEastAsia"/>
          <w:sz w:val="32"/>
          <w:szCs w:val="32"/>
          <w:highlight w:val="none"/>
        </w:rPr>
        <w:t>。决算数等于年初预算数的主要原因是：</w:t>
      </w:r>
      <w:r>
        <w:rPr>
          <w:rFonts w:hint="eastAsia" w:ascii="仿宋_GB2312" w:eastAsia="仿宋_GB2312" w:hAnsiTheme="minorEastAsia"/>
          <w:sz w:val="32"/>
          <w:szCs w:val="32"/>
          <w:highlight w:val="none"/>
          <w:lang w:val="en-US" w:eastAsia="zh-CN"/>
        </w:rPr>
        <w:t>严格按照预算执行。</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5、资源勘探工业信息等支出（类）工业和信息产业监管（款）行政运行（项）。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年初预算为</w:t>
      </w:r>
      <w:r>
        <w:rPr>
          <w:rFonts w:hint="eastAsia" w:ascii="仿宋_GB2312" w:eastAsia="仿宋_GB2312" w:hAnsiTheme="minorEastAsia"/>
          <w:color w:val="000000" w:themeColor="text1"/>
          <w:sz w:val="32"/>
          <w:szCs w:val="32"/>
          <w:lang w:val="en-US" w:eastAsia="zh-CN"/>
          <w14:textFill>
            <w14:solidFill>
              <w14:schemeClr w14:val="tx1"/>
            </w14:solidFill>
          </w14:textFill>
        </w:rPr>
        <w:t>123.64</w:t>
      </w:r>
      <w:r>
        <w:rPr>
          <w:rFonts w:hint="eastAsia" w:ascii="仿宋_GB2312" w:eastAsia="仿宋_GB2312" w:hAnsiTheme="minorEastAsia"/>
          <w:color w:val="000000" w:themeColor="text1"/>
          <w:sz w:val="32"/>
          <w:szCs w:val="32"/>
          <w14:textFill>
            <w14:solidFill>
              <w14:schemeClr w14:val="tx1"/>
            </w14:solidFill>
          </w14:textFill>
        </w:rPr>
        <w:t>万元，支出决算为</w:t>
      </w:r>
      <w:r>
        <w:rPr>
          <w:rFonts w:hint="eastAsia" w:ascii="仿宋_GB2312" w:eastAsia="仿宋_GB2312" w:hAnsiTheme="minorEastAsia"/>
          <w:color w:val="000000" w:themeColor="text1"/>
          <w:sz w:val="32"/>
          <w:szCs w:val="32"/>
          <w:lang w:val="en-US" w:eastAsia="zh-CN"/>
          <w14:textFill>
            <w14:solidFill>
              <w14:schemeClr w14:val="tx1"/>
            </w14:solidFill>
          </w14:textFill>
        </w:rPr>
        <w:t>149.65</w:t>
      </w:r>
      <w:r>
        <w:rPr>
          <w:rFonts w:hint="eastAsia" w:ascii="仿宋_GB2312" w:eastAsia="仿宋_GB2312" w:hAnsiTheme="minorEastAsia"/>
          <w:color w:val="000000" w:themeColor="text1"/>
          <w:sz w:val="32"/>
          <w:szCs w:val="32"/>
          <w14:textFill>
            <w14:solidFill>
              <w14:schemeClr w14:val="tx1"/>
            </w14:solidFill>
          </w14:textFill>
        </w:rPr>
        <w:t>万元，完成年初预算的</w:t>
      </w:r>
      <w:r>
        <w:rPr>
          <w:rFonts w:hint="eastAsia" w:ascii="仿宋_GB2312" w:eastAsia="仿宋_GB2312" w:hAnsiTheme="minorEastAsia"/>
          <w:color w:val="000000" w:themeColor="text1"/>
          <w:sz w:val="32"/>
          <w:szCs w:val="32"/>
          <w:lang w:val="en-US" w:eastAsia="zh-CN"/>
          <w14:textFill>
            <w14:solidFill>
              <w14:schemeClr w14:val="tx1"/>
            </w14:solidFill>
          </w14:textFill>
        </w:rPr>
        <w:t>121.04</w:t>
      </w:r>
      <w:r>
        <w:rPr>
          <w:rFonts w:hint="eastAsia" w:ascii="仿宋_GB2312" w:eastAsia="仿宋_GB2312" w:hAnsiTheme="minorEastAsia"/>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决算数大于年初预算数的主要原因是：包含上年度人员工资调增所致</w:t>
      </w:r>
      <w:r>
        <w:rPr>
          <w:rFonts w:hint="eastAsia" w:ascii="仿宋_GB2312" w:eastAsia="仿宋_GB2312" w:hAnsiTheme="minorEastAsia"/>
          <w:color w:val="000000" w:themeColor="text1"/>
          <w:sz w:val="32"/>
          <w:szCs w:val="32"/>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6、资源勘探工业信息等支出（类）工业和信息产业监管（款）一般行政管理事务（项）。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年初预算为</w:t>
      </w:r>
      <w:r>
        <w:rPr>
          <w:rFonts w:hint="eastAsia" w:ascii="仿宋_GB2312" w:eastAsia="仿宋_GB2312" w:hAnsiTheme="minorEastAsia"/>
          <w:color w:val="000000" w:themeColor="text1"/>
          <w:sz w:val="32"/>
          <w:szCs w:val="32"/>
          <w:lang w:val="en-US" w:eastAsia="zh-CN"/>
          <w14:textFill>
            <w14:solidFill>
              <w14:schemeClr w14:val="tx1"/>
            </w14:solidFill>
          </w14:textFill>
        </w:rPr>
        <w:t>58.2</w:t>
      </w:r>
      <w:r>
        <w:rPr>
          <w:rFonts w:hint="eastAsia" w:ascii="仿宋_GB2312" w:eastAsia="仿宋_GB2312" w:hAnsiTheme="minorEastAsia"/>
          <w:color w:val="000000" w:themeColor="text1"/>
          <w:sz w:val="32"/>
          <w:szCs w:val="32"/>
          <w14:textFill>
            <w14:solidFill>
              <w14:schemeClr w14:val="tx1"/>
            </w14:solidFill>
          </w14:textFill>
        </w:rPr>
        <w:t>万元，支出决算为</w:t>
      </w:r>
      <w:r>
        <w:rPr>
          <w:rFonts w:hint="eastAsia" w:ascii="仿宋_GB2312" w:eastAsia="仿宋_GB2312" w:hAnsiTheme="minorEastAsia"/>
          <w:color w:val="000000" w:themeColor="text1"/>
          <w:sz w:val="32"/>
          <w:szCs w:val="32"/>
          <w:lang w:val="en-US" w:eastAsia="zh-CN"/>
          <w14:textFill>
            <w14:solidFill>
              <w14:schemeClr w14:val="tx1"/>
            </w14:solidFill>
          </w14:textFill>
        </w:rPr>
        <w:t>263.04</w:t>
      </w:r>
      <w:r>
        <w:rPr>
          <w:rFonts w:hint="eastAsia" w:ascii="仿宋_GB2312" w:eastAsia="仿宋_GB2312" w:hAnsiTheme="minorEastAsia"/>
          <w:color w:val="000000" w:themeColor="text1"/>
          <w:sz w:val="32"/>
          <w:szCs w:val="32"/>
          <w14:textFill>
            <w14:solidFill>
              <w14:schemeClr w14:val="tx1"/>
            </w14:solidFill>
          </w14:textFill>
        </w:rPr>
        <w:t>万元，完成年初预算的</w:t>
      </w:r>
      <w:r>
        <w:rPr>
          <w:rFonts w:hint="eastAsia" w:ascii="仿宋_GB2312" w:eastAsia="仿宋_GB2312" w:hAnsiTheme="minorEastAsia"/>
          <w:color w:val="000000" w:themeColor="text1"/>
          <w:sz w:val="32"/>
          <w:szCs w:val="32"/>
          <w:lang w:val="en-US" w:eastAsia="zh-CN"/>
          <w14:textFill>
            <w14:solidFill>
              <w14:schemeClr w14:val="tx1"/>
            </w14:solidFill>
          </w14:textFill>
        </w:rPr>
        <w:t>451.96</w:t>
      </w:r>
      <w:r>
        <w:rPr>
          <w:rFonts w:hint="eastAsia" w:ascii="仿宋_GB2312" w:eastAsia="仿宋_GB2312" w:hAnsiTheme="minorEastAsia"/>
          <w:color w:val="000000" w:themeColor="text1"/>
          <w:sz w:val="32"/>
          <w:szCs w:val="32"/>
          <w14:textFill>
            <w14:solidFill>
              <w14:schemeClr w14:val="tx1"/>
            </w14:solidFill>
          </w14:textFill>
        </w:rPr>
        <w:t>%，决算数</w:t>
      </w:r>
      <w:r>
        <w:rPr>
          <w:rFonts w:hint="eastAsia" w:ascii="仿宋_GB2312" w:eastAsia="仿宋_GB2312" w:hAnsiTheme="minorEastAsia"/>
          <w:color w:val="000000" w:themeColor="text1"/>
          <w:sz w:val="32"/>
          <w:szCs w:val="32"/>
          <w:lang w:val="en-US" w:eastAsia="zh-CN"/>
          <w14:textFill>
            <w14:solidFill>
              <w14:schemeClr w14:val="tx1"/>
            </w14:solidFill>
          </w14:textFill>
        </w:rPr>
        <w:t>大</w:t>
      </w:r>
      <w:r>
        <w:rPr>
          <w:rFonts w:hint="eastAsia" w:ascii="仿宋_GB2312" w:eastAsia="仿宋_GB2312" w:hAnsiTheme="minorEastAsia"/>
          <w:color w:val="000000" w:themeColor="text1"/>
          <w:sz w:val="32"/>
          <w:szCs w:val="32"/>
          <w14:textFill>
            <w14:solidFill>
              <w14:schemeClr w14:val="tx1"/>
            </w14:solidFill>
          </w14:textFill>
        </w:rPr>
        <w:t>于年初预算数的主要原因是项目经费财政预算调整</w:t>
      </w:r>
      <w:r>
        <w:rPr>
          <w:rFonts w:hint="eastAsia" w:ascii="仿宋_GB2312" w:eastAsia="仿宋_GB2312" w:hAnsiTheme="minorEastAsia"/>
          <w:color w:val="000000" w:themeColor="text1"/>
          <w:sz w:val="32"/>
          <w:szCs w:val="32"/>
          <w:lang w:val="en-US" w:eastAsia="zh-CN"/>
          <w14:textFill>
            <w14:solidFill>
              <w14:schemeClr w14:val="tx1"/>
            </w14:solidFill>
          </w14:textFill>
        </w:rPr>
        <w:t>增加</w:t>
      </w:r>
      <w:r>
        <w:rPr>
          <w:rFonts w:hint="eastAsia" w:ascii="仿宋_GB2312" w:eastAsia="仿宋_GB2312" w:hAnsiTheme="minorEastAsia"/>
          <w:color w:val="000000" w:themeColor="text1"/>
          <w:sz w:val="32"/>
          <w:szCs w:val="32"/>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7、资源勘探工业信息等支出（类）工业和信息产业监管（款）其他工业和信息产业监管支出（项）。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hAnsiTheme="minorEastAsia"/>
          <w:color w:val="auto"/>
          <w:sz w:val="32"/>
          <w:szCs w:val="32"/>
          <w:highlight w:val="none"/>
          <w:lang w:eastAsia="zh-CN"/>
        </w:rPr>
      </w:pPr>
      <w:r>
        <w:rPr>
          <w:rFonts w:hint="eastAsia" w:ascii="仿宋_GB2312" w:eastAsia="仿宋_GB2312" w:hAnsiTheme="minorEastAsia"/>
          <w:color w:val="auto"/>
          <w:sz w:val="32"/>
          <w:szCs w:val="32"/>
        </w:rPr>
        <w:t>年初预算为</w:t>
      </w:r>
      <w:r>
        <w:rPr>
          <w:rFonts w:hint="eastAsia" w:ascii="仿宋_GB2312" w:eastAsia="仿宋_GB2312" w:hAnsiTheme="minorEastAsia"/>
          <w:color w:val="auto"/>
          <w:sz w:val="32"/>
          <w:szCs w:val="32"/>
          <w:lang w:val="en-US" w:eastAsia="zh-CN"/>
        </w:rPr>
        <w:t>5</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5</w:t>
      </w:r>
      <w:r>
        <w:rPr>
          <w:rFonts w:hint="eastAsia" w:ascii="仿宋_GB2312" w:eastAsia="仿宋_GB2312" w:hAnsiTheme="minorEastAsia"/>
          <w:color w:val="auto"/>
          <w:sz w:val="32"/>
          <w:szCs w:val="32"/>
        </w:rPr>
        <w:t>万元，完成年初预算的</w:t>
      </w:r>
      <w:r>
        <w:rPr>
          <w:rFonts w:hint="eastAsia" w:ascii="仿宋_GB2312" w:eastAsia="仿宋_GB2312" w:hAnsiTheme="minorEastAsia"/>
          <w:color w:val="auto"/>
          <w:sz w:val="32"/>
          <w:szCs w:val="32"/>
          <w:lang w:val="en-US" w:eastAsia="zh-CN"/>
        </w:rPr>
        <w:t>100</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w:t>
      </w:r>
      <w:r>
        <w:rPr>
          <w:rFonts w:hint="eastAsia" w:ascii="仿宋_GB2312" w:eastAsia="仿宋_GB2312" w:hAnsiTheme="minorEastAsia"/>
          <w:sz w:val="32"/>
          <w:szCs w:val="32"/>
          <w:highlight w:val="none"/>
        </w:rPr>
        <w:t>决算数</w:t>
      </w:r>
      <w:r>
        <w:rPr>
          <w:rFonts w:hint="eastAsia" w:ascii="仿宋_GB2312" w:eastAsia="仿宋_GB2312" w:hAnsiTheme="minorEastAsia"/>
          <w:sz w:val="32"/>
          <w:szCs w:val="32"/>
          <w:highlight w:val="none"/>
          <w:lang w:val="en-US" w:eastAsia="zh-CN"/>
        </w:rPr>
        <w:t>等于</w:t>
      </w:r>
      <w:r>
        <w:rPr>
          <w:rFonts w:hint="eastAsia" w:ascii="仿宋_GB2312" w:eastAsia="仿宋_GB2312" w:hAnsiTheme="minorEastAsia"/>
          <w:sz w:val="32"/>
          <w:szCs w:val="32"/>
          <w:highlight w:val="none"/>
        </w:rPr>
        <w:t>年初预算数的主要原因是：</w:t>
      </w:r>
      <w:r>
        <w:rPr>
          <w:rFonts w:hint="eastAsia" w:ascii="仿宋_GB2312" w:eastAsia="仿宋_GB2312" w:hAnsiTheme="minorEastAsia"/>
          <w:sz w:val="32"/>
          <w:szCs w:val="32"/>
          <w:highlight w:val="none"/>
          <w:lang w:val="en-US" w:eastAsia="zh-CN"/>
        </w:rPr>
        <w:t>严格按照预算执行。</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8、资源勘探工业信息等支出（类）其他资源勘探工业信息等支出（款）其他资源勘探工业信息等支出（项）。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年初预算为</w:t>
      </w:r>
      <w:r>
        <w:rPr>
          <w:rFonts w:hint="eastAsia" w:ascii="仿宋_GB2312" w:eastAsia="仿宋_GB2312" w:hAnsi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olor w:val="000000" w:themeColor="text1"/>
          <w:sz w:val="32"/>
          <w:szCs w:val="32"/>
          <w14:textFill>
            <w14:solidFill>
              <w14:schemeClr w14:val="tx1"/>
            </w14:solidFill>
          </w14:textFill>
        </w:rPr>
        <w:t>万元，支出决算为</w:t>
      </w:r>
      <w:r>
        <w:rPr>
          <w:rFonts w:hint="eastAsia" w:ascii="仿宋_GB2312" w:eastAsia="仿宋_GB2312" w:hAnsiTheme="minorEastAsia"/>
          <w:color w:val="000000" w:themeColor="text1"/>
          <w:sz w:val="32"/>
          <w:szCs w:val="32"/>
          <w:lang w:val="en-US" w:eastAsia="zh-CN"/>
          <w14:textFill>
            <w14:solidFill>
              <w14:schemeClr w14:val="tx1"/>
            </w14:solidFill>
          </w14:textFill>
        </w:rPr>
        <w:t>582.21</w:t>
      </w:r>
      <w:r>
        <w:rPr>
          <w:rFonts w:hint="eastAsia" w:ascii="仿宋_GB2312" w:eastAsia="仿宋_GB2312" w:hAnsiTheme="minorEastAsia"/>
          <w:color w:val="000000" w:themeColor="text1"/>
          <w:sz w:val="32"/>
          <w:szCs w:val="32"/>
          <w14:textFill>
            <w14:solidFill>
              <w14:schemeClr w14:val="tx1"/>
            </w14:solidFill>
          </w14:textFill>
        </w:rPr>
        <w:t>万元，由于预算数为0，无法计算百分比，</w:t>
      </w:r>
      <w:r>
        <w:rPr>
          <w:rFonts w:hint="eastAsia" w:ascii="仿宋_GB2312" w:eastAsia="仿宋_GB2312" w:hAnsiTheme="minorEastAsia"/>
          <w:color w:val="auto"/>
          <w:sz w:val="32"/>
          <w:szCs w:val="32"/>
          <w:lang w:val="en-US" w:eastAsia="zh-CN"/>
        </w:rPr>
        <w:t>决算数大于年初预算数的</w:t>
      </w:r>
      <w:r>
        <w:rPr>
          <w:rFonts w:hint="eastAsia" w:ascii="仿宋_GB2312" w:eastAsia="仿宋_GB2312" w:hAnsiTheme="minorEastAsia"/>
          <w:color w:val="000000" w:themeColor="text1"/>
          <w:sz w:val="32"/>
          <w:szCs w:val="32"/>
          <w14:textFill>
            <w14:solidFill>
              <w14:schemeClr w14:val="tx1"/>
            </w14:solidFill>
          </w14:textFill>
        </w:rPr>
        <w:t>主要原因是</w:t>
      </w:r>
      <w:r>
        <w:rPr>
          <w:rFonts w:hint="eastAsia" w:ascii="仿宋_GB2312" w:eastAsia="仿宋_GB2312" w:hAnsiTheme="minorEastAsia"/>
          <w:color w:val="000000" w:themeColor="text1"/>
          <w:sz w:val="32"/>
          <w:szCs w:val="32"/>
          <w:lang w:val="en-US" w:eastAsia="zh-CN"/>
          <w14:textFill>
            <w14:solidFill>
              <w14:schemeClr w14:val="tx1"/>
            </w14:solidFill>
          </w14:textFill>
        </w:rPr>
        <w:t>此</w:t>
      </w:r>
      <w:r>
        <w:rPr>
          <w:rFonts w:hint="eastAsia" w:ascii="仿宋_GB2312" w:eastAsia="仿宋_GB2312" w:hAnsiTheme="minorEastAsia"/>
          <w:color w:val="000000" w:themeColor="text1"/>
          <w:sz w:val="32"/>
          <w:szCs w:val="32"/>
          <w14:textFill>
            <w14:solidFill>
              <w14:schemeClr w14:val="tx1"/>
            </w14:solidFill>
          </w14:textFill>
        </w:rPr>
        <w:t>项目经费财政预算调整</w:t>
      </w:r>
      <w:r>
        <w:rPr>
          <w:rFonts w:hint="eastAsia" w:ascii="仿宋_GB2312" w:eastAsia="仿宋_GB2312" w:hAnsiTheme="minorEastAsia"/>
          <w:color w:val="000000" w:themeColor="text1"/>
          <w:sz w:val="32"/>
          <w:szCs w:val="32"/>
          <w:lang w:val="en-US" w:eastAsia="zh-CN"/>
          <w14:textFill>
            <w14:solidFill>
              <w14:schemeClr w14:val="tx1"/>
            </w14:solidFill>
          </w14:textFill>
        </w:rPr>
        <w:t>增加所致，未纳入年初预算</w:t>
      </w:r>
      <w:r>
        <w:rPr>
          <w:rFonts w:hint="eastAsia" w:ascii="仿宋_GB2312" w:eastAsia="仿宋_GB2312" w:hAnsiTheme="minorEastAsia"/>
          <w:color w:val="000000" w:themeColor="text1"/>
          <w:sz w:val="32"/>
          <w:szCs w:val="32"/>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9、住房保障支出（类）住房改革支出（款）住房公积金（项）。</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宋体" w:eastAsia="仿宋_GB2312" w:cs="宋体"/>
          <w:sz w:val="32"/>
          <w:szCs w:val="32"/>
          <w:lang w:val="en-US" w:eastAsia="zh-CN"/>
        </w:rPr>
      </w:pPr>
      <w:r>
        <w:rPr>
          <w:rFonts w:hint="eastAsia" w:ascii="仿宋_GB2312" w:eastAsia="仿宋_GB2312" w:hAnsiTheme="minorEastAsia"/>
          <w:color w:val="auto"/>
          <w:sz w:val="32"/>
          <w:szCs w:val="32"/>
        </w:rPr>
        <w:t>年初预算为</w:t>
      </w:r>
      <w:r>
        <w:rPr>
          <w:rFonts w:hint="eastAsia" w:ascii="仿宋_GB2312" w:eastAsia="仿宋_GB2312" w:hAnsiTheme="minorEastAsia"/>
          <w:color w:val="auto"/>
          <w:sz w:val="32"/>
          <w:szCs w:val="32"/>
          <w:lang w:val="en-US" w:eastAsia="zh-CN"/>
        </w:rPr>
        <w:t>0</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11.66</w:t>
      </w:r>
      <w:r>
        <w:rPr>
          <w:rFonts w:hint="eastAsia" w:ascii="仿宋_GB2312" w:eastAsia="仿宋_GB2312" w:hAnsiTheme="minorEastAsia"/>
          <w:color w:val="auto"/>
          <w:sz w:val="32"/>
          <w:szCs w:val="32"/>
        </w:rPr>
        <w:t>万元，由于预算数为0，无法计算百分比，</w:t>
      </w:r>
      <w:r>
        <w:rPr>
          <w:rFonts w:hint="eastAsia" w:ascii="仿宋_GB2312" w:eastAsia="仿宋_GB2312" w:hAnsiTheme="minorEastAsia"/>
          <w:color w:val="auto"/>
          <w:sz w:val="32"/>
          <w:szCs w:val="32"/>
          <w:lang w:val="en-US" w:eastAsia="zh-CN"/>
        </w:rPr>
        <w:t>决算数大于年初预算数的主要</w:t>
      </w:r>
      <w:r>
        <w:rPr>
          <w:rFonts w:hint="eastAsia" w:ascii="仿宋_GB2312" w:hAnsi="宋体" w:eastAsia="仿宋_GB2312" w:cs="宋体"/>
          <w:sz w:val="32"/>
          <w:szCs w:val="32"/>
          <w:lang w:val="en-US" w:eastAsia="zh-CN"/>
        </w:rPr>
        <w:t>原因是财政未将此项费用纳入预算。</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六、一般公共预算财政拨款基本支出决算情况说明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年度财政拨款基本支出</w:t>
      </w:r>
      <w:r>
        <w:rPr>
          <w:rFonts w:hint="eastAsia" w:ascii="仿宋_GB2312" w:eastAsia="仿宋_GB2312" w:hAnsiTheme="minorEastAsia"/>
          <w:sz w:val="32"/>
          <w:szCs w:val="32"/>
          <w:lang w:eastAsia="zh-CN"/>
        </w:rPr>
        <w:t>204.22</w:t>
      </w:r>
      <w:r>
        <w:rPr>
          <w:rFonts w:hint="eastAsia" w:ascii="仿宋_GB2312" w:eastAsia="仿宋_GB2312" w:hAnsiTheme="minorEastAsia"/>
          <w:sz w:val="32"/>
          <w:szCs w:val="32"/>
        </w:rPr>
        <w:t>万元，其中：人员经费</w:t>
      </w:r>
      <w:r>
        <w:rPr>
          <w:rFonts w:hint="eastAsia" w:ascii="仿宋_GB2312" w:eastAsia="仿宋_GB2312" w:hAnsiTheme="minorEastAsia"/>
          <w:sz w:val="32"/>
          <w:szCs w:val="32"/>
          <w:lang w:val="en-US" w:eastAsia="zh-CN"/>
        </w:rPr>
        <w:t>172.72</w:t>
      </w:r>
      <w:r>
        <w:rPr>
          <w:rFonts w:hint="eastAsia" w:ascii="仿宋_GB2312" w:eastAsia="仿宋_GB2312" w:hAnsiTheme="minorEastAsia"/>
          <w:sz w:val="32"/>
          <w:szCs w:val="32"/>
        </w:rPr>
        <w:t>万元，占基本支出的</w:t>
      </w:r>
      <w:r>
        <w:rPr>
          <w:rFonts w:hint="eastAsia" w:ascii="仿宋_GB2312" w:eastAsia="仿宋_GB2312" w:hAnsiTheme="minorEastAsia"/>
          <w:sz w:val="32"/>
          <w:szCs w:val="32"/>
          <w:lang w:val="en-US" w:eastAsia="zh-CN"/>
        </w:rPr>
        <w:t>84.58</w:t>
      </w:r>
      <w:r>
        <w:rPr>
          <w:rFonts w:hint="eastAsia" w:ascii="仿宋_GB2312" w:eastAsia="仿宋_GB2312" w:hAnsiTheme="minorEastAsia"/>
          <w:sz w:val="32"/>
          <w:szCs w:val="32"/>
        </w:rPr>
        <w:t>%,主要包括基本工资、津贴补贴、基本养老缴费、基本医疗缴费、其他社保缴费、住房公积金等；公用经费</w:t>
      </w:r>
      <w:r>
        <w:rPr>
          <w:rFonts w:hint="eastAsia" w:ascii="仿宋_GB2312" w:eastAsia="仿宋_GB2312" w:hAnsiTheme="minorEastAsia"/>
          <w:sz w:val="32"/>
          <w:szCs w:val="32"/>
          <w:lang w:val="en-US" w:eastAsia="zh-CN"/>
        </w:rPr>
        <w:t>31.5</w:t>
      </w:r>
      <w:r>
        <w:rPr>
          <w:rFonts w:hint="eastAsia" w:ascii="仿宋_GB2312" w:eastAsia="仿宋_GB2312" w:hAnsiTheme="minorEastAsia"/>
          <w:sz w:val="32"/>
          <w:szCs w:val="32"/>
        </w:rPr>
        <w:t>万元，占基本支出的</w:t>
      </w:r>
      <w:r>
        <w:rPr>
          <w:rFonts w:hint="eastAsia" w:ascii="仿宋_GB2312" w:eastAsia="仿宋_GB2312" w:hAnsiTheme="minorEastAsia"/>
          <w:sz w:val="32"/>
          <w:szCs w:val="32"/>
          <w:lang w:val="en-US" w:eastAsia="zh-CN"/>
        </w:rPr>
        <w:t>15.42</w:t>
      </w:r>
      <w:r>
        <w:rPr>
          <w:rFonts w:hint="eastAsia" w:ascii="仿宋_GB2312" w:eastAsia="仿宋_GB2312" w:hAnsiTheme="minorEastAsia"/>
          <w:sz w:val="32"/>
          <w:szCs w:val="32"/>
        </w:rPr>
        <w:t>%，主要包括办公费、水电费、邮电费、接待费、工会经费、福利费、税金和其他等。</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七、一般公共预算财政拨款三公经费支出决算情况说明</w:t>
      </w:r>
    </w:p>
    <w:p>
      <w:pPr>
        <w:pStyle w:val="13"/>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“三公”经费财政拨款支出预算为5</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3.89</w:t>
      </w:r>
      <w:r>
        <w:rPr>
          <w:rFonts w:hint="eastAsia" w:ascii="仿宋_GB2312" w:eastAsia="仿宋_GB2312" w:hAnsiTheme="minorEastAsia"/>
          <w:sz w:val="32"/>
          <w:szCs w:val="32"/>
        </w:rPr>
        <w:t>万元，完成预算的</w:t>
      </w:r>
      <w:r>
        <w:rPr>
          <w:rFonts w:hint="eastAsia" w:ascii="仿宋_GB2312" w:eastAsia="仿宋_GB2312" w:hAnsiTheme="minorEastAsia"/>
          <w:sz w:val="32"/>
          <w:szCs w:val="32"/>
          <w:lang w:val="en-US" w:eastAsia="zh-CN"/>
        </w:rPr>
        <w:t>67.07</w:t>
      </w:r>
      <w:r>
        <w:rPr>
          <w:rFonts w:hint="eastAsia" w:ascii="仿宋_GB2312" w:eastAsia="仿宋_GB2312" w:hAnsiTheme="minorEastAsia"/>
          <w:sz w:val="32"/>
          <w:szCs w:val="32"/>
        </w:rPr>
        <w:t>%，其中：</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eastAsia="仿宋_GB2312" w:hAnsiTheme="minorEastAsia"/>
          <w:sz w:val="32"/>
          <w:szCs w:val="32"/>
          <w:highlight w:val="none"/>
          <w:lang w:val="en-US" w:eastAsia="zh-CN"/>
        </w:rPr>
      </w:pPr>
      <w:r>
        <w:rPr>
          <w:rFonts w:hint="eastAsia" w:ascii="仿宋_GB2312" w:eastAsia="仿宋_GB2312" w:hAnsiTheme="minorEastAsia"/>
          <w:sz w:val="32"/>
          <w:szCs w:val="32"/>
        </w:rPr>
        <w:t>因公出国（境）费支出预算为0万元，支出决算为0万元，由于预算数为0，无法计算百分比，</w:t>
      </w:r>
      <w:r>
        <w:rPr>
          <w:rFonts w:hint="eastAsia" w:ascii="仿宋_GB2312" w:eastAsia="仿宋_GB2312" w:hAnsiTheme="minorEastAsia"/>
          <w:sz w:val="32"/>
          <w:szCs w:val="32"/>
          <w:lang w:val="en-US" w:eastAsia="zh-CN"/>
        </w:rPr>
        <w:t>决算数与年初预算数无变化的主要原因是无因公出国人员，与上年相比无增减变化，</w:t>
      </w:r>
      <w:r>
        <w:rPr>
          <w:rFonts w:hint="eastAsia" w:ascii="仿宋_GB2312" w:eastAsia="仿宋_GB2312" w:hAnsiTheme="minorEastAsia"/>
          <w:sz w:val="32"/>
          <w:szCs w:val="32"/>
          <w:highlight w:val="none"/>
          <w:lang w:val="en-US" w:eastAsia="zh-CN"/>
        </w:rPr>
        <w:t>主要原因是无</w:t>
      </w:r>
      <w:r>
        <w:rPr>
          <w:rFonts w:hint="eastAsia" w:ascii="仿宋_GB2312" w:eastAsia="仿宋_GB2312" w:hAnsiTheme="minorEastAsia"/>
          <w:sz w:val="32"/>
          <w:szCs w:val="32"/>
          <w:highlight w:val="none"/>
        </w:rPr>
        <w:t>因公出国（境）费支出</w:t>
      </w:r>
      <w:r>
        <w:rPr>
          <w:rFonts w:hint="eastAsia" w:ascii="仿宋_GB2312" w:eastAsia="仿宋_GB2312" w:hAnsiTheme="minorEastAsia"/>
          <w:sz w:val="32"/>
          <w:szCs w:val="32"/>
          <w:highlight w:val="none"/>
          <w:lang w:eastAsia="zh-CN"/>
        </w:rPr>
        <w:t>。</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hAnsiTheme="minorEastAsia"/>
          <w:sz w:val="32"/>
          <w:szCs w:val="32"/>
        </w:rPr>
        <w:t>公务接待费支出预算为5</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3.89</w:t>
      </w:r>
      <w:r>
        <w:rPr>
          <w:rFonts w:hint="eastAsia" w:ascii="仿宋_GB2312" w:eastAsia="仿宋_GB2312" w:hAnsiTheme="minorEastAsia"/>
          <w:sz w:val="32"/>
          <w:szCs w:val="32"/>
        </w:rPr>
        <w:t>万元，完成预算的</w:t>
      </w:r>
      <w:r>
        <w:rPr>
          <w:rFonts w:hint="eastAsia" w:ascii="仿宋_GB2312" w:eastAsia="仿宋_GB2312" w:hAnsiTheme="minorEastAsia"/>
          <w:sz w:val="32"/>
          <w:szCs w:val="32"/>
          <w:lang w:val="en-US" w:eastAsia="zh-CN"/>
        </w:rPr>
        <w:t>67.07</w:t>
      </w:r>
      <w:r>
        <w:rPr>
          <w:rFonts w:hint="eastAsia" w:ascii="仿宋_GB2312" w:eastAsia="仿宋_GB2312" w:hAnsiTheme="minorEastAsia"/>
          <w:sz w:val="32"/>
          <w:szCs w:val="32"/>
        </w:rPr>
        <w:t>%，决算数小于年初预算数的主要原因是</w:t>
      </w:r>
      <w:r>
        <w:rPr>
          <w:rFonts w:hint="eastAsia" w:ascii="仿宋_GB2312" w:hAnsi="仿宋_GB2312" w:eastAsia="仿宋_GB2312" w:cs="仿宋_GB2312"/>
          <w:bCs/>
          <w:sz w:val="32"/>
          <w:szCs w:val="32"/>
        </w:rPr>
        <w:t>关于公务接待费要从严控制的结果</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13.37</w:t>
      </w:r>
      <w:r>
        <w:rPr>
          <w:rFonts w:hint="eastAsia" w:ascii="仿宋_GB2312" w:hAnsi="仿宋_GB2312" w:eastAsia="仿宋_GB2312" w:cs="仿宋_GB2312"/>
          <w:sz w:val="32"/>
          <w:szCs w:val="32"/>
        </w:rPr>
        <w:t>%,减少的主要原因是按照国家政策规定，公务招待费要逐年减少。</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公务用车购置费及运行维护费支出预算为0万元，支出决算为0万元，由于预算数为0，无法计算百分比，</w:t>
      </w:r>
      <w:r>
        <w:rPr>
          <w:rFonts w:hint="eastAsia" w:ascii="仿宋_GB2312" w:eastAsia="仿宋_GB2312" w:hAnsiTheme="minorEastAsia"/>
          <w:sz w:val="32"/>
          <w:szCs w:val="32"/>
          <w:lang w:val="en-US" w:eastAsia="zh-CN"/>
        </w:rPr>
        <w:t>决算数与年初预算数无变化，且与上年相比无增减变化，</w:t>
      </w:r>
      <w:r>
        <w:rPr>
          <w:rFonts w:hint="eastAsia" w:ascii="仿宋_GB2312" w:hAnsi="仿宋_GB2312" w:eastAsia="仿宋_GB2312" w:cs="仿宋_GB2312"/>
          <w:sz w:val="32"/>
          <w:szCs w:val="32"/>
        </w:rPr>
        <w:t>没有支出的原因是</w:t>
      </w:r>
      <w:r>
        <w:rPr>
          <w:rFonts w:hint="eastAsia" w:ascii="仿宋_GB2312" w:hAnsi="仿宋_GB2312" w:eastAsia="仿宋_GB2312" w:cs="仿宋_GB2312"/>
          <w:bCs/>
          <w:sz w:val="32"/>
          <w:szCs w:val="32"/>
        </w:rPr>
        <w:t>本单位因公车改革而没有公车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年度“三公”经费财政拨款支出决算中，公务接待费支出决算</w:t>
      </w:r>
      <w:r>
        <w:rPr>
          <w:rFonts w:hint="eastAsia" w:ascii="仿宋_GB2312" w:eastAsia="仿宋_GB2312" w:hAnsiTheme="minorEastAsia"/>
          <w:sz w:val="32"/>
          <w:szCs w:val="32"/>
          <w:lang w:val="en-US" w:eastAsia="zh-CN"/>
        </w:rPr>
        <w:t>3.89</w:t>
      </w:r>
      <w:r>
        <w:rPr>
          <w:rFonts w:hint="eastAsia" w:ascii="仿宋_GB2312" w:eastAsia="仿宋_GB2312" w:hAnsiTheme="minorEastAsia"/>
          <w:sz w:val="32"/>
          <w:szCs w:val="32"/>
        </w:rPr>
        <w:t>万元，占100%,因公出国（境）费支出决算0万元，占0%,公务用车购置费及运行维护费支出决算0万元，占0%。其中：</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1、因公出国（境）费支出决算为0万元，全年安排因公出国（境）团组0个，累计0人次。</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sz w:val="32"/>
          <w:szCs w:val="32"/>
        </w:rPr>
      </w:pPr>
      <w:r>
        <w:rPr>
          <w:rFonts w:hint="eastAsia" w:ascii="仿宋_GB2312" w:eastAsia="仿宋_GB2312" w:hAnsiTheme="minorEastAsia"/>
          <w:sz w:val="32"/>
          <w:szCs w:val="32"/>
        </w:rPr>
        <w:t>2、公务接待费支出决算为</w:t>
      </w:r>
      <w:r>
        <w:rPr>
          <w:rFonts w:hint="eastAsia" w:ascii="仿宋_GB2312" w:eastAsia="仿宋_GB2312" w:hAnsiTheme="minorEastAsia"/>
          <w:sz w:val="32"/>
          <w:szCs w:val="32"/>
          <w:lang w:val="en-US" w:eastAsia="zh-CN"/>
        </w:rPr>
        <w:t>3.89</w:t>
      </w:r>
      <w:r>
        <w:rPr>
          <w:rFonts w:hint="eastAsia" w:ascii="仿宋_GB2312" w:eastAsia="仿宋_GB2312" w:hAnsiTheme="minorEastAsia"/>
          <w:sz w:val="32"/>
          <w:szCs w:val="32"/>
        </w:rPr>
        <w:t>万元，全年共接待来访团组</w:t>
      </w:r>
      <w:r>
        <w:rPr>
          <w:rFonts w:hint="eastAsia" w:ascii="仿宋_GB2312" w:eastAsia="仿宋_GB2312" w:hAnsiTheme="minorEastAsia"/>
          <w:sz w:val="32"/>
          <w:szCs w:val="32"/>
          <w:lang w:val="en-US" w:eastAsia="zh-CN"/>
        </w:rPr>
        <w:t>48</w:t>
      </w:r>
      <w:r>
        <w:rPr>
          <w:rFonts w:hint="eastAsia" w:ascii="仿宋_GB2312" w:eastAsia="仿宋_GB2312" w:hAnsiTheme="minorEastAsia"/>
          <w:sz w:val="32"/>
          <w:szCs w:val="32"/>
        </w:rPr>
        <w:t>个、来宾</w:t>
      </w:r>
      <w:r>
        <w:rPr>
          <w:rFonts w:hint="eastAsia" w:ascii="仿宋_GB2312" w:eastAsia="仿宋_GB2312" w:hAnsiTheme="minorEastAsia"/>
          <w:sz w:val="32"/>
          <w:szCs w:val="32"/>
          <w:lang w:val="en-US" w:eastAsia="zh-CN"/>
        </w:rPr>
        <w:t>378</w:t>
      </w:r>
      <w:r>
        <w:rPr>
          <w:rFonts w:hint="eastAsia" w:ascii="仿宋_GB2312" w:eastAsia="仿宋_GB2312" w:hAnsiTheme="minorEastAsia"/>
          <w:sz w:val="32"/>
          <w:szCs w:val="32"/>
        </w:rPr>
        <w:t>人次，主要是对口扶贫村来县汇报和反映情况、市工改办和其他县区工改办来我</w:t>
      </w:r>
      <w:r>
        <w:rPr>
          <w:rFonts w:hint="eastAsia" w:ascii="仿宋_GB2312" w:eastAsia="仿宋_GB2312" w:hAnsiTheme="minorEastAsia"/>
          <w:sz w:val="32"/>
          <w:szCs w:val="32"/>
          <w:lang w:val="en-US" w:eastAsia="zh-CN"/>
        </w:rPr>
        <w:t>市</w:t>
      </w:r>
      <w:r>
        <w:rPr>
          <w:rFonts w:hint="eastAsia" w:ascii="仿宋_GB2312" w:eastAsia="仿宋_GB2312" w:hAnsiTheme="minorEastAsia"/>
          <w:sz w:val="32"/>
          <w:szCs w:val="32"/>
        </w:rPr>
        <w:t>指导工作、工作交流等发生的接待支出。</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hAnsiTheme="minorEastAsia"/>
          <w:sz w:val="32"/>
          <w:szCs w:val="32"/>
        </w:rPr>
        <w:t>3、公务用车购置费及运行维护费支出决算为0万元，其中：公务用车购置费0万元，</w:t>
      </w:r>
      <w:r>
        <w:rPr>
          <w:rFonts w:hint="eastAsia" w:ascii="仿宋_GB2312" w:eastAsia="仿宋_GB2312" w:hAnsiTheme="minorEastAsia"/>
          <w:sz w:val="32"/>
          <w:szCs w:val="32"/>
          <w:lang w:val="en-US" w:eastAsia="zh-CN"/>
        </w:rPr>
        <w:t>更新公务用车0辆。</w:t>
      </w:r>
      <w:r>
        <w:rPr>
          <w:rFonts w:hint="eastAsia" w:ascii="仿宋_GB2312" w:eastAsia="仿宋_GB2312" w:hAnsiTheme="minorEastAsia"/>
          <w:sz w:val="32"/>
          <w:szCs w:val="32"/>
        </w:rPr>
        <w:t>公务用车运行维护费0万元，原因是</w:t>
      </w:r>
      <w:r>
        <w:rPr>
          <w:rFonts w:hint="eastAsia" w:ascii="仿宋_GB2312" w:hAnsi="仿宋_GB2312" w:eastAsia="仿宋_GB2312" w:cs="仿宋_GB2312"/>
          <w:bCs/>
          <w:sz w:val="32"/>
          <w:szCs w:val="32"/>
        </w:rPr>
        <w:t>本单位因公车改革而没有公车</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八、政府性基金预算收入支出决算情况说明</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hAnsiTheme="minorEastAsia"/>
          <w:iCs/>
          <w:color w:val="auto"/>
          <w:sz w:val="32"/>
          <w:szCs w:val="32"/>
        </w:rPr>
      </w:pP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年度政府性基金预算财政拨款收入0万元；年初结转和结余0万元；支出0万元，其中基本支出0万元，项目支出0万元；年末结转和结余0万元。原因是</w:t>
      </w:r>
      <w:r>
        <w:rPr>
          <w:rFonts w:hint="eastAsia" w:ascii="仿宋_GB2312" w:eastAsia="仿宋_GB2312" w:hAnsiTheme="minorEastAsia"/>
          <w:iCs/>
          <w:color w:val="auto"/>
          <w:sz w:val="32"/>
          <w:szCs w:val="32"/>
        </w:rPr>
        <w:t>本单位无政府性基金收支。</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lang w:val="en-US" w:eastAsia="zh-CN"/>
        </w:rPr>
        <w:t>九</w:t>
      </w:r>
      <w:r>
        <w:rPr>
          <w:rFonts w:hint="eastAsia" w:ascii="黑体" w:hAnsi="黑体" w:eastAsia="黑体" w:cs="仿宋_GB2312"/>
          <w:bCs/>
          <w:sz w:val="32"/>
          <w:szCs w:val="32"/>
          <w:shd w:val="clear" w:color="auto" w:fill="FFFFFF"/>
        </w:rPr>
        <w:t>、机关运行经费支出情况说明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color w:val="000000"/>
          <w:kern w:val="2"/>
          <w:sz w:val="32"/>
          <w:szCs w:val="32"/>
          <w:lang w:eastAsia="zh-CN"/>
        </w:rPr>
      </w:pPr>
      <w:r>
        <w:rPr>
          <w:rFonts w:hint="eastAsia" w:ascii="仿宋_GB2312" w:eastAsia="仿宋_GB2312" w:hAnsiTheme="minorEastAsia"/>
          <w:sz w:val="32"/>
          <w:szCs w:val="32"/>
        </w:rPr>
        <w:t>本部门</w:t>
      </w:r>
      <w:r>
        <w:rPr>
          <w:rFonts w:hint="eastAsia" w:ascii="仿宋_GB2312" w:eastAsia="仿宋_GB2312" w:hAnsiTheme="minorEastAsia"/>
          <w:sz w:val="32"/>
          <w:szCs w:val="32"/>
          <w:lang w:eastAsia="zh-CN"/>
        </w:rPr>
        <w:t>2021</w:t>
      </w:r>
      <w:r>
        <w:rPr>
          <w:rFonts w:hint="eastAsia" w:ascii="仿宋_GB2312" w:eastAsia="仿宋_GB2312" w:hAnsiTheme="minorEastAsia"/>
          <w:sz w:val="32"/>
          <w:szCs w:val="32"/>
        </w:rPr>
        <w:t>年度机关运行经费支出</w:t>
      </w:r>
      <w:r>
        <w:rPr>
          <w:rFonts w:hint="eastAsia" w:ascii="仿宋_GB2312" w:eastAsia="仿宋_GB2312" w:hAnsiTheme="minorEastAsia"/>
          <w:sz w:val="32"/>
          <w:szCs w:val="32"/>
          <w:lang w:val="en-US" w:eastAsia="zh-CN"/>
        </w:rPr>
        <w:t>31.5</w:t>
      </w:r>
      <w:r>
        <w:rPr>
          <w:rFonts w:hint="eastAsia" w:ascii="仿宋_GB2312" w:eastAsia="仿宋_GB2312" w:hAnsiTheme="minorEastAsia"/>
          <w:sz w:val="32"/>
          <w:szCs w:val="32"/>
        </w:rPr>
        <w:t>万元，比年初预算数减少</w:t>
      </w:r>
      <w:r>
        <w:rPr>
          <w:rFonts w:hint="eastAsia" w:ascii="仿宋_GB2312" w:eastAsia="仿宋_GB2312" w:hAnsiTheme="minorEastAsia"/>
          <w:sz w:val="32"/>
          <w:szCs w:val="32"/>
          <w:lang w:val="en-US" w:eastAsia="zh-CN"/>
        </w:rPr>
        <w:t>13.7</w:t>
      </w:r>
      <w:r>
        <w:rPr>
          <w:rFonts w:hint="eastAsia" w:ascii="仿宋_GB2312" w:eastAsia="仿宋_GB2312" w:hAnsiTheme="minorEastAsia"/>
          <w:sz w:val="32"/>
          <w:szCs w:val="32"/>
        </w:rPr>
        <w:t>万元，降低</w:t>
      </w:r>
      <w:r>
        <w:rPr>
          <w:rFonts w:hint="eastAsia" w:ascii="仿宋_GB2312" w:eastAsia="仿宋_GB2312" w:hAnsiTheme="minorEastAsia"/>
          <w:sz w:val="32"/>
          <w:szCs w:val="32"/>
          <w:lang w:val="en-US" w:eastAsia="zh-CN"/>
        </w:rPr>
        <w:t>43.49</w:t>
      </w:r>
      <w:r>
        <w:rPr>
          <w:rFonts w:hint="eastAsia" w:ascii="仿宋_GB2312" w:eastAsia="仿宋_GB2312" w:hAnsiTheme="minorEastAsia"/>
          <w:sz w:val="32"/>
          <w:szCs w:val="32"/>
        </w:rPr>
        <w:t>%。主要原因是</w:t>
      </w:r>
      <w:r>
        <w:rPr>
          <w:rFonts w:hint="eastAsia" w:ascii="仿宋" w:hAnsi="仿宋" w:eastAsia="仿宋" w:cs="仿宋"/>
          <w:color w:val="000000"/>
          <w:kern w:val="2"/>
          <w:sz w:val="32"/>
          <w:szCs w:val="32"/>
          <w:lang w:val="en-US" w:eastAsia="zh-CN"/>
        </w:rPr>
        <w:t>人员退休所致</w:t>
      </w:r>
      <w:r>
        <w:rPr>
          <w:rFonts w:hint="eastAsia" w:ascii="仿宋" w:hAnsi="仿宋" w:eastAsia="仿宋" w:cs="仿宋"/>
          <w:color w:val="000000"/>
          <w:kern w:val="2"/>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仿宋_GB2312"/>
          <w:bCs/>
          <w:sz w:val="32"/>
          <w:szCs w:val="32"/>
          <w:shd w:val="clear" w:color="auto" w:fill="FFFFFF"/>
          <w:lang w:val="en-US" w:eastAsia="zh-CN"/>
        </w:rPr>
      </w:pPr>
      <w:r>
        <w:rPr>
          <w:rFonts w:hint="eastAsia" w:ascii="黑体" w:hAnsi="黑体" w:eastAsia="黑体" w:cs="仿宋_GB2312"/>
          <w:bCs/>
          <w:sz w:val="32"/>
          <w:szCs w:val="32"/>
          <w:shd w:val="clear" w:color="auto" w:fill="FFFFFF"/>
          <w:lang w:val="en-US" w:eastAsia="zh-CN"/>
        </w:rPr>
        <w:t>十、一般性支出情况说明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hAnsiTheme="minorEastAsia"/>
          <w:b/>
          <w:color w:val="000000"/>
          <w:kern w:val="0"/>
          <w:sz w:val="32"/>
          <w:szCs w:val="32"/>
          <w:lang w:val="en-US" w:eastAsia="zh-CN"/>
        </w:rPr>
      </w:pPr>
      <w:r>
        <w:rPr>
          <w:rFonts w:hint="eastAsia" w:eastAsia="仿宋_GB2312"/>
          <w:kern w:val="0"/>
          <w:sz w:val="32"/>
          <w:szCs w:val="32"/>
          <w:lang w:val="en-US" w:eastAsia="zh-CN"/>
        </w:rPr>
        <w:t>2021</w:t>
      </w:r>
      <w:r>
        <w:rPr>
          <w:rFonts w:eastAsia="仿宋_GB2312"/>
          <w:kern w:val="0"/>
          <w:sz w:val="32"/>
          <w:szCs w:val="32"/>
        </w:rPr>
        <w:t>年本部门开支会议费</w:t>
      </w:r>
      <w:r>
        <w:rPr>
          <w:rFonts w:hint="eastAsia" w:eastAsia="仿宋_GB2312"/>
          <w:sz w:val="32"/>
          <w:szCs w:val="32"/>
          <w:u w:val="none"/>
          <w:lang w:val="en-US" w:eastAsia="zh-CN"/>
        </w:rPr>
        <w:t>0</w:t>
      </w:r>
      <w:r>
        <w:rPr>
          <w:rFonts w:eastAsia="仿宋_GB2312"/>
          <w:kern w:val="0"/>
          <w:sz w:val="32"/>
          <w:szCs w:val="32"/>
          <w:u w:val="none"/>
        </w:rPr>
        <w:t>万元，</w:t>
      </w:r>
      <w:r>
        <w:rPr>
          <w:rFonts w:hint="eastAsia" w:eastAsia="仿宋_GB2312"/>
          <w:kern w:val="0"/>
          <w:sz w:val="32"/>
          <w:szCs w:val="32"/>
          <w:u w:val="none"/>
          <w:lang w:val="en-US" w:eastAsia="zh-CN"/>
        </w:rPr>
        <w:t>未</w:t>
      </w:r>
      <w:r>
        <w:rPr>
          <w:rFonts w:eastAsia="仿宋_GB2312"/>
          <w:kern w:val="0"/>
          <w:sz w:val="32"/>
          <w:szCs w:val="32"/>
          <w:u w:val="none"/>
        </w:rPr>
        <w:t>召开会议，人数</w:t>
      </w:r>
      <w:r>
        <w:rPr>
          <w:rFonts w:hint="eastAsia" w:eastAsia="仿宋_GB2312"/>
          <w:sz w:val="32"/>
          <w:szCs w:val="32"/>
          <w:u w:val="none"/>
          <w:lang w:val="en-US" w:eastAsia="zh-CN"/>
        </w:rPr>
        <w:t>0</w:t>
      </w:r>
      <w:r>
        <w:rPr>
          <w:rFonts w:eastAsia="仿宋_GB2312"/>
          <w:kern w:val="0"/>
          <w:sz w:val="32"/>
          <w:szCs w:val="32"/>
          <w:u w:val="none"/>
        </w:rPr>
        <w:t>人；开支培训费</w:t>
      </w:r>
      <w:r>
        <w:rPr>
          <w:rFonts w:hint="eastAsia" w:eastAsia="仿宋_GB2312"/>
          <w:sz w:val="32"/>
          <w:szCs w:val="32"/>
          <w:u w:val="none"/>
          <w:lang w:val="en-US" w:eastAsia="zh-CN"/>
        </w:rPr>
        <w:t>0</w:t>
      </w:r>
      <w:r>
        <w:rPr>
          <w:rFonts w:eastAsia="仿宋_GB2312"/>
          <w:kern w:val="0"/>
          <w:sz w:val="32"/>
          <w:szCs w:val="32"/>
          <w:u w:val="none"/>
        </w:rPr>
        <w:t>万元，</w:t>
      </w:r>
      <w:r>
        <w:rPr>
          <w:rFonts w:hint="eastAsia" w:eastAsia="仿宋_GB2312"/>
          <w:kern w:val="0"/>
          <w:sz w:val="32"/>
          <w:szCs w:val="32"/>
          <w:u w:val="none"/>
          <w:lang w:val="en-US" w:eastAsia="zh-CN"/>
        </w:rPr>
        <w:t>未</w:t>
      </w:r>
      <w:r>
        <w:rPr>
          <w:rFonts w:eastAsia="仿宋_GB2312"/>
          <w:kern w:val="0"/>
          <w:sz w:val="32"/>
          <w:szCs w:val="32"/>
          <w:u w:val="none"/>
        </w:rPr>
        <w:t>开展培训，人数</w:t>
      </w:r>
      <w:r>
        <w:rPr>
          <w:rFonts w:hint="eastAsia" w:eastAsia="仿宋_GB2312"/>
          <w:kern w:val="0"/>
          <w:sz w:val="32"/>
          <w:szCs w:val="32"/>
          <w:u w:val="none"/>
          <w:lang w:val="en-US" w:eastAsia="zh-CN"/>
        </w:rPr>
        <w:t>0</w:t>
      </w:r>
      <w:r>
        <w:rPr>
          <w:rFonts w:eastAsia="仿宋_GB2312"/>
          <w:kern w:val="0"/>
          <w:sz w:val="32"/>
          <w:szCs w:val="32"/>
          <w:u w:val="none"/>
        </w:rPr>
        <w:t>人；</w:t>
      </w:r>
      <w:r>
        <w:rPr>
          <w:rFonts w:hint="eastAsia" w:eastAsia="仿宋_GB2312"/>
          <w:kern w:val="0"/>
          <w:sz w:val="32"/>
          <w:szCs w:val="32"/>
          <w:u w:val="none"/>
          <w:lang w:val="en-US" w:eastAsia="zh-CN"/>
        </w:rPr>
        <w:t>未</w:t>
      </w:r>
      <w:r>
        <w:rPr>
          <w:rFonts w:eastAsia="仿宋_GB2312"/>
          <w:kern w:val="0"/>
          <w:sz w:val="32"/>
          <w:szCs w:val="32"/>
          <w:u w:val="none"/>
        </w:rPr>
        <w:t>举办节庆、晚会、论坛、赛事活动，开支</w:t>
      </w:r>
      <w:r>
        <w:rPr>
          <w:rFonts w:hint="eastAsia" w:eastAsia="仿宋_GB2312"/>
          <w:sz w:val="32"/>
          <w:szCs w:val="32"/>
          <w:u w:val="none"/>
          <w:lang w:val="en-US" w:eastAsia="zh-CN"/>
        </w:rPr>
        <w:t>0</w:t>
      </w:r>
      <w:r>
        <w:rPr>
          <w:rFonts w:eastAsia="仿宋_GB2312"/>
          <w:kern w:val="0"/>
          <w:sz w:val="32"/>
          <w:szCs w:val="32"/>
          <w:u w:val="none"/>
        </w:rPr>
        <w:t>万元</w:t>
      </w:r>
      <w:r>
        <w:rPr>
          <w:rFonts w:hint="eastAsia" w:eastAsia="仿宋_GB2312"/>
          <w:kern w:val="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十一、</w:t>
      </w:r>
      <w:r>
        <w:rPr>
          <w:rFonts w:hint="eastAsia" w:ascii="黑体" w:hAnsi="黑体" w:eastAsia="黑体" w:cs="黑体"/>
          <w:b w:val="0"/>
          <w:bCs/>
          <w:color w:val="000000"/>
          <w:kern w:val="0"/>
          <w:sz w:val="32"/>
          <w:szCs w:val="32"/>
        </w:rPr>
        <w:t>政府采购支出情况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黑体" w:hAnsiTheme="minorEastAsia"/>
          <w:i/>
          <w:color w:val="000000" w:themeColor="text1"/>
          <w:kern w:val="0"/>
          <w:sz w:val="32"/>
          <w:szCs w:val="32"/>
          <w14:textFill>
            <w14:solidFill>
              <w14:schemeClr w14:val="tx1"/>
            </w14:solidFill>
          </w14:textFill>
        </w:rPr>
      </w:pPr>
      <w:r>
        <w:rPr>
          <w:rFonts w:hint="eastAsia" w:ascii="仿宋_GB2312" w:eastAsia="仿宋_GB2312" w:cs="黑体" w:hAnsiTheme="minorEastAsia"/>
          <w:color w:val="000000"/>
          <w:kern w:val="0"/>
          <w:sz w:val="32"/>
          <w:szCs w:val="32"/>
        </w:rPr>
        <w:t>本部门2021年度政府采购支出总额0万元，其中：政府采购货物支出0万元、政府采购工程支出0万元、政府采购服务支出0万元。授予中小企业合同金额0万元，由于政府采购支出为0，无法计算百分比，其中：授予小微企业合同金额0万元，由于授予中小企业合同金额为0，无法计算百分比；货物采购授予中小企业合同金额0万元，工程采购授予中小企业合同金额0万元，服务采购授予中小企业合同金额0万元，由于货物支出、工程支出、服务支出为0，无法计算百分比</w:t>
      </w:r>
      <w:bookmarkStart w:id="0" w:name="_GoBack"/>
      <w:bookmarkEnd w:id="0"/>
      <w:r>
        <w:rPr>
          <w:rFonts w:hint="eastAsia" w:ascii="仿宋_GB2312" w:eastAsia="仿宋_GB2312" w:cs="黑体" w:hAnsiTheme="minorEastAsia"/>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黑体" w:hAnsi="黑体" w:eastAsia="黑体" w:cs="仿宋_GB2312"/>
          <w:bCs/>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仿宋_GB2312"/>
          <w:bCs/>
          <w:color w:val="000000" w:themeColor="text1"/>
          <w:sz w:val="32"/>
          <w:szCs w:val="32"/>
          <w:shd w:val="clear" w:color="auto" w:fill="FFFFFF"/>
          <w:lang w:val="en-US" w:eastAsia="zh-CN"/>
          <w14:textFill>
            <w14:solidFill>
              <w14:schemeClr w14:val="tx1"/>
            </w14:solidFill>
          </w14:textFill>
        </w:rPr>
        <w:t>十二、国有资产占用情况说明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s="黑体" w:hAnsiTheme="minorEastAsia"/>
          <w:color w:val="000000" w:themeColor="text1"/>
          <w:kern w:val="0"/>
          <w:sz w:val="32"/>
          <w:szCs w:val="32"/>
          <w14:textFill>
            <w14:solidFill>
              <w14:schemeClr w14:val="tx1"/>
            </w14:solidFill>
          </w14:textFill>
        </w:rPr>
      </w:pPr>
      <w:r>
        <w:rPr>
          <w:rFonts w:hint="eastAsia" w:ascii="仿宋_GB2312" w:eastAsia="仿宋_GB2312" w:cs="黑体" w:hAnsiTheme="minorEastAsia"/>
          <w:color w:val="000000" w:themeColor="text1"/>
          <w:kern w:val="0"/>
          <w:sz w:val="32"/>
          <w:szCs w:val="32"/>
          <w14:textFill>
            <w14:solidFill>
              <w14:schemeClr w14:val="tx1"/>
            </w14:solidFill>
          </w14:textFill>
        </w:rPr>
        <w:t>截至</w:t>
      </w:r>
      <w:r>
        <w:rPr>
          <w:rFonts w:hint="eastAsia" w:ascii="仿宋_GB2312" w:eastAsia="仿宋_GB2312" w:cs="黑体" w:hAnsiTheme="minorEastAsia"/>
          <w:color w:val="000000" w:themeColor="text1"/>
          <w:kern w:val="0"/>
          <w:sz w:val="32"/>
          <w:szCs w:val="32"/>
          <w:lang w:eastAsia="zh-CN"/>
          <w14:textFill>
            <w14:solidFill>
              <w14:schemeClr w14:val="tx1"/>
            </w14:solidFill>
          </w14:textFill>
        </w:rPr>
        <w:t>2021</w:t>
      </w:r>
      <w:r>
        <w:rPr>
          <w:rFonts w:hint="eastAsia" w:ascii="仿宋_GB2312" w:eastAsia="仿宋_GB2312" w:cs="黑体" w:hAnsiTheme="minorEastAsia"/>
          <w:color w:val="000000" w:themeColor="text1"/>
          <w:kern w:val="0"/>
          <w:sz w:val="32"/>
          <w:szCs w:val="32"/>
          <w14:textFill>
            <w14:solidFill>
              <w14:schemeClr w14:val="tx1"/>
            </w14:solidFill>
          </w14:textFill>
        </w:rPr>
        <w:t>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、关于</w:t>
      </w:r>
      <w:r>
        <w:rPr>
          <w:rFonts w:hint="eastAsia" w:ascii="黑体" w:hAnsi="黑体" w:eastAsia="黑体"/>
          <w:color w:val="000000" w:themeColor="text1"/>
          <w:sz w:val="32"/>
          <w:szCs w:val="32"/>
          <w:lang w:eastAsia="zh-CN"/>
          <w14:textFill>
            <w14:solidFill>
              <w14:schemeClr w14:val="tx1"/>
            </w14:solidFill>
          </w14:textFill>
        </w:rPr>
        <w:t>2021</w:t>
      </w:r>
      <w:r>
        <w:rPr>
          <w:rFonts w:hint="eastAsia" w:ascii="黑体" w:hAnsi="黑体" w:eastAsia="黑体"/>
          <w:color w:val="000000" w:themeColor="text1"/>
          <w:sz w:val="32"/>
          <w:szCs w:val="32"/>
          <w14:textFill>
            <w14:solidFill>
              <w14:schemeClr w14:val="tx1"/>
            </w14:solidFill>
          </w14:textFill>
        </w:rPr>
        <w:t>年度预算绩效情况说明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highlight w:val="none"/>
          <w14:textFill>
            <w14:solidFill>
              <w14:schemeClr w14:val="tx1"/>
            </w14:solidFill>
          </w14:textFill>
        </w:rPr>
        <w:t>本部门</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2021年整体支出1054.47万元，其中项目支出850.25万元，本年度无重点项目支出。</w:t>
      </w:r>
      <w:r>
        <w:rPr>
          <w:rFonts w:hint="eastAsia" w:ascii="仿宋_GB2312" w:hAnsi="宋体" w:eastAsia="仿宋_GB2312" w:cs="宋体"/>
          <w:color w:val="000000" w:themeColor="text1"/>
          <w:sz w:val="32"/>
          <w:szCs w:val="32"/>
          <w:highlight w:val="none"/>
          <w14:textFill>
            <w14:solidFill>
              <w14:schemeClr w14:val="tx1"/>
            </w14:solidFill>
          </w14:textFill>
        </w:rPr>
        <w:t>为落实《预算法》有关财政支出进行绩效评价规定</w:t>
      </w:r>
      <w:r>
        <w:rPr>
          <w:rFonts w:hint="eastAsia" w:ascii="仿宋_GB2312" w:hAnsi="宋体" w:eastAsia="仿宋_GB2312" w:cs="宋体"/>
          <w:color w:val="000000" w:themeColor="text1"/>
          <w:sz w:val="32"/>
          <w:szCs w:val="32"/>
          <w14:textFill>
            <w14:solidFill>
              <w14:schemeClr w14:val="tx1"/>
            </w14:solidFill>
          </w14:textFill>
        </w:rPr>
        <w:t>，加强预算绩效工作管理，根据相关文件精神，</w:t>
      </w:r>
      <w:r>
        <w:rPr>
          <w:rFonts w:hint="eastAsia" w:ascii="仿宋_GB2312" w:hAnsi="宋体" w:eastAsia="仿宋_GB2312" w:cs="宋体"/>
          <w:color w:val="000000" w:themeColor="text1"/>
          <w:sz w:val="32"/>
          <w:szCs w:val="32"/>
          <w:lang w:eastAsia="zh-CN"/>
          <w14:textFill>
            <w14:solidFill>
              <w14:schemeClr w14:val="tx1"/>
            </w14:solidFill>
          </w14:textFill>
        </w:rPr>
        <w:t>2021</w:t>
      </w:r>
      <w:r>
        <w:rPr>
          <w:rFonts w:hint="eastAsia" w:ascii="仿宋_GB2312" w:hAnsi="宋体" w:eastAsia="仿宋_GB2312" w:cs="宋体"/>
          <w:color w:val="000000" w:themeColor="text1"/>
          <w:sz w:val="32"/>
          <w:szCs w:val="32"/>
          <w14:textFill>
            <w14:solidFill>
              <w14:schemeClr w14:val="tx1"/>
            </w14:solidFill>
          </w14:textFill>
        </w:rPr>
        <w:t>年我单位对预算绩效工作已作自我评价，预算绩效评价工作顺利推进，预算资金的使用效益有了较大提升。（具体详见附件：</w:t>
      </w:r>
      <w:r>
        <w:rPr>
          <w:rFonts w:hint="eastAsia" w:ascii="仿宋_GB2312" w:hAnsi="宋体" w:eastAsia="仿宋_GB2312" w:cs="宋体"/>
          <w:color w:val="000000" w:themeColor="text1"/>
          <w:sz w:val="32"/>
          <w:szCs w:val="32"/>
          <w:lang w:eastAsia="zh-CN"/>
          <w14:textFill>
            <w14:solidFill>
              <w14:schemeClr w14:val="tx1"/>
            </w14:solidFill>
          </w14:textFill>
        </w:rPr>
        <w:t>2021</w:t>
      </w:r>
      <w:r>
        <w:rPr>
          <w:rFonts w:hint="eastAsia" w:ascii="仿宋_GB2312" w:hAnsi="宋体" w:eastAsia="仿宋_GB2312" w:cs="宋体"/>
          <w:color w:val="000000" w:themeColor="text1"/>
          <w:sz w:val="32"/>
          <w:szCs w:val="32"/>
          <w14:textFill>
            <w14:solidFill>
              <w14:schemeClr w14:val="tx1"/>
            </w14:solidFill>
          </w14:textFill>
        </w:rPr>
        <w:t>年度财政整体支出绩效评价报告）</w:t>
      </w:r>
    </w:p>
    <w:p>
      <w:pPr>
        <w:keepNext w:val="0"/>
        <w:keepLines w:val="0"/>
        <w:pageBreakBefore w:val="0"/>
        <w:widowControl w:val="0"/>
        <w:kinsoku/>
        <w:wordWrap/>
        <w:overflowPunct/>
        <w:topLinePunct w:val="0"/>
        <w:bidi w:val="0"/>
        <w:snapToGrid/>
        <w:ind w:firstLine="643" w:firstLineChars="200"/>
        <w:textAlignment w:val="auto"/>
        <w:rPr>
          <w:rFonts w:hint="eastAsia" w:ascii="仿宋_GB2312" w:eastAsia="仿宋_GB2312" w:cs="黑体" w:hAnsiTheme="minorEastAsia"/>
          <w:b/>
          <w:bCs/>
          <w:color w:val="000000"/>
          <w:kern w:val="0"/>
          <w:sz w:val="32"/>
          <w:szCs w:val="32"/>
        </w:rPr>
      </w:pPr>
      <w:r>
        <w:rPr>
          <w:rFonts w:hint="eastAsia" w:ascii="仿宋_GB2312" w:eastAsia="仿宋_GB2312" w:cs="黑体" w:hAnsiTheme="minorEastAsia"/>
          <w:b/>
          <w:bCs/>
          <w:color w:val="000000"/>
          <w:kern w:val="0"/>
          <w:sz w:val="32"/>
          <w:szCs w:val="32"/>
          <w:lang w:val="en-US" w:eastAsia="zh-CN"/>
        </w:rPr>
        <w:t>十四</w:t>
      </w:r>
      <w:r>
        <w:rPr>
          <w:rFonts w:hint="eastAsia" w:ascii="仿宋_GB2312" w:eastAsia="仿宋_GB2312" w:cs="黑体" w:hAnsiTheme="minorEastAsia"/>
          <w:b/>
          <w:bCs/>
          <w:color w:val="000000"/>
          <w:kern w:val="0"/>
          <w:sz w:val="32"/>
          <w:szCs w:val="32"/>
        </w:rPr>
        <w:t>、国有资本经营预算财政拨款支出决算情况</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eastAsia="仿宋_GB2312" w:cs="黑体" w:hAnsiTheme="minorEastAsia"/>
          <w:color w:val="000000"/>
          <w:kern w:val="0"/>
          <w:sz w:val="32"/>
          <w:szCs w:val="32"/>
          <w:highlight w:val="yellow"/>
        </w:rPr>
      </w:pPr>
      <w:r>
        <w:rPr>
          <w:rFonts w:hint="eastAsia" w:ascii="仿宋_GB2312" w:eastAsia="仿宋_GB2312" w:cs="黑体" w:hAnsiTheme="minorEastAsia"/>
          <w:color w:val="000000"/>
          <w:kern w:val="0"/>
          <w:sz w:val="32"/>
          <w:szCs w:val="32"/>
          <w:highlight w:val="none"/>
        </w:rPr>
        <w:t>2021年度国有资本经营预算财政拨款支出</w:t>
      </w:r>
      <w:r>
        <w:rPr>
          <w:rFonts w:hint="eastAsia" w:ascii="仿宋_GB2312" w:eastAsia="仿宋_GB2312" w:cs="黑体" w:hAnsiTheme="minorEastAsia"/>
          <w:color w:val="000000"/>
          <w:kern w:val="0"/>
          <w:sz w:val="32"/>
          <w:szCs w:val="32"/>
          <w:highlight w:val="none"/>
          <w:lang w:val="en-US" w:eastAsia="zh-CN"/>
        </w:rPr>
        <w:t>0</w:t>
      </w:r>
      <w:r>
        <w:rPr>
          <w:rFonts w:hint="eastAsia" w:ascii="仿宋_GB2312" w:eastAsia="仿宋_GB2312" w:cs="黑体" w:hAnsiTheme="minorEastAsia"/>
          <w:color w:val="000000"/>
          <w:kern w:val="0"/>
          <w:sz w:val="32"/>
          <w:szCs w:val="32"/>
          <w:highlight w:val="none"/>
        </w:rPr>
        <w:t>万元，其中基本支出</w:t>
      </w:r>
      <w:r>
        <w:rPr>
          <w:rFonts w:hint="eastAsia" w:ascii="仿宋_GB2312" w:eastAsia="仿宋_GB2312" w:cs="黑体" w:hAnsiTheme="minorEastAsia"/>
          <w:color w:val="000000"/>
          <w:kern w:val="0"/>
          <w:sz w:val="32"/>
          <w:szCs w:val="32"/>
          <w:highlight w:val="none"/>
          <w:lang w:val="en-US" w:eastAsia="zh-CN"/>
        </w:rPr>
        <w:t>0</w:t>
      </w:r>
      <w:r>
        <w:rPr>
          <w:rFonts w:hint="eastAsia" w:ascii="仿宋_GB2312" w:eastAsia="仿宋_GB2312" w:cs="黑体" w:hAnsiTheme="minorEastAsia"/>
          <w:color w:val="000000"/>
          <w:kern w:val="0"/>
          <w:sz w:val="32"/>
          <w:szCs w:val="32"/>
          <w:highlight w:val="none"/>
        </w:rPr>
        <w:t>万元，项目支出</w:t>
      </w:r>
      <w:r>
        <w:rPr>
          <w:rFonts w:hint="eastAsia" w:ascii="仿宋_GB2312" w:eastAsia="仿宋_GB2312" w:cs="黑体" w:hAnsiTheme="minorEastAsia"/>
          <w:color w:val="000000"/>
          <w:kern w:val="0"/>
          <w:sz w:val="32"/>
          <w:szCs w:val="32"/>
          <w:highlight w:val="none"/>
          <w:lang w:val="en-US" w:eastAsia="zh-CN"/>
        </w:rPr>
        <w:t>0</w:t>
      </w:r>
      <w:r>
        <w:rPr>
          <w:rFonts w:hint="eastAsia" w:ascii="仿宋_GB2312" w:eastAsia="仿宋_GB2312" w:cs="黑体" w:hAnsiTheme="minorEastAsia"/>
          <w:color w:val="000000"/>
          <w:kern w:val="0"/>
          <w:sz w:val="32"/>
          <w:szCs w:val="32"/>
          <w:highlight w:val="none"/>
        </w:rPr>
        <w:t>万元。本单位无国有资本经营预算支出</w:t>
      </w:r>
      <w:r>
        <w:rPr>
          <w:rFonts w:hint="eastAsia" w:ascii="仿宋_GB2312" w:eastAsia="仿宋_GB2312" w:cs="黑体" w:hAnsiTheme="minorEastAsia"/>
          <w:color w:val="000000"/>
          <w:kern w:val="0"/>
          <w:sz w:val="32"/>
          <w:szCs w:val="32"/>
          <w:highlight w:val="none"/>
          <w:lang w:eastAsia="zh-CN"/>
        </w:rPr>
        <w:t>。</w:t>
      </w:r>
    </w:p>
    <w:p>
      <w:pPr>
        <w:widowControl/>
        <w:ind w:firstLine="640" w:firstLineChars="200"/>
        <w:jc w:val="left"/>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br w:type="page"/>
      </w:r>
    </w:p>
    <w:p>
      <w:pPr>
        <w:pStyle w:val="13"/>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第四部分名词解释</w:t>
      </w:r>
    </w:p>
    <w:p>
      <w:pPr>
        <w:pStyle w:val="13"/>
        <w:jc w:val="center"/>
        <w:rPr>
          <w:rFonts w:ascii="仿宋_GB2312" w:eastAsia="仿宋_GB2312"/>
          <w:b/>
          <w:bCs/>
          <w:sz w:val="28"/>
          <w:szCs w:val="28"/>
        </w:rPr>
      </w:pP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一、收入科目</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1、财政拨款收入：指财政当年拨付的资金。</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2、事业收入：指事业单位开展专业业务活动及辅助活动取得的收入。</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3、经营收入：指事业单位在专业业务活动及其辅助活动之外开展非独立核算经营活动取得的收入。</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4、其他收入：指除上述“财政拨款收入”、“事业收入”、“经营收入”等以外的收入。</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6、上年结转：指以前年尚未完成、结转到本年按有关规定继续使用的资金。</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二、支出科目</w:t>
      </w:r>
    </w:p>
    <w:p>
      <w:pPr>
        <w:spacing w:line="540" w:lineRule="exact"/>
        <w:ind w:firstLine="600"/>
        <w:rPr>
          <w:rFonts w:ascii="仿宋_GB2312" w:eastAsia="仿宋_GB2312"/>
          <w:sz w:val="32"/>
          <w:szCs w:val="32"/>
        </w:rPr>
      </w:pPr>
      <w:r>
        <w:rPr>
          <w:rFonts w:hint="eastAsia" w:ascii="仿宋_GB2312" w:eastAsia="仿宋_GB2312"/>
          <w:sz w:val="32"/>
          <w:szCs w:val="32"/>
        </w:rPr>
        <w:t>1、基本支出：是为保障其机构正常运转、完成日常工作任务而发生人员支出和公用支出。</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2、项目支出：是指在基本支出之外完成特定行政任务和事业发展目标所发生的支出。</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3、工资福利支出：反映单位开支的在职职工和编制外长期聘用人员的各类劳动报酬，以及为上述人员缴纳的各项社会保险费等。</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4、商品和服务支出：反映单位购买商品和服务的支出。</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5、对个人和家庭的补助：反映单位用于对个人和家庭的补助支出。</w:t>
      </w:r>
    </w:p>
    <w:p>
      <w:pPr>
        <w:widowControl/>
        <w:spacing w:line="600" w:lineRule="exact"/>
        <w:ind w:firstLine="660"/>
        <w:jc w:val="left"/>
        <w:rPr>
          <w:rFonts w:ascii="仿宋_GB2312" w:hAnsi="仿宋_GB2312" w:eastAsia="仿宋_GB2312" w:cs="仿宋_GB2312"/>
          <w:sz w:val="32"/>
          <w:szCs w:val="32"/>
          <w:shd w:val="clear" w:color="auto" w:fill="FFFFFF"/>
        </w:rPr>
      </w:pPr>
      <w:r>
        <w:rPr>
          <w:rFonts w:hint="eastAsia" w:ascii="仿宋_GB2312" w:eastAsia="仿宋_GB2312"/>
          <w:sz w:val="32"/>
          <w:szCs w:val="32"/>
        </w:rPr>
        <w:t>6、机关运行经费：</w:t>
      </w:r>
      <w:r>
        <w:rPr>
          <w:rFonts w:hint="eastAsia" w:ascii="仿宋_GB2312" w:hAnsi="仿宋_GB2312" w:eastAsia="仿宋_GB2312" w:cs="仿宋_GB2312"/>
          <w:sz w:val="32"/>
          <w:szCs w:val="32"/>
          <w:shd w:val="clear" w:color="auto" w:fill="FFFFFF"/>
        </w:rPr>
        <w:t>反映单位财政拨款基本支出中用于购买商品和服务的支出。</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三、“三公”经费科目</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1、因公出国（境）费用：反映单位公务出国（境）的国际旅费、国内城市间交通费、住宿费、伙食费、培训费、公杂费等支出。</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2、公务接待费：反映单位按规定开支的各类公务接待（含外宾接待）费用。</w:t>
      </w:r>
    </w:p>
    <w:p>
      <w:pPr>
        <w:pStyle w:val="8"/>
        <w:spacing w:before="0" w:beforeAutospacing="0" w:after="0" w:afterAutospacing="0" w:line="600" w:lineRule="exact"/>
        <w:ind w:firstLine="640" w:firstLineChars="200"/>
        <w:rPr>
          <w:rFonts w:ascii="仿宋_GB2312" w:eastAsia="仿宋_GB2312"/>
          <w:kern w:val="2"/>
          <w:sz w:val="32"/>
          <w:szCs w:val="32"/>
        </w:rPr>
      </w:pPr>
      <w:r>
        <w:rPr>
          <w:rFonts w:hint="eastAsia" w:ascii="仿宋_GB2312" w:eastAsia="仿宋_GB2312"/>
          <w:kern w:val="2"/>
          <w:sz w:val="32"/>
          <w:szCs w:val="32"/>
        </w:rPr>
        <w:t>3、公务用车运行维护费：反映单位公务用车租用费、燃料费、维修费、过路过桥费、保险费、安全奖励费用等支出。</w:t>
      </w:r>
    </w:p>
    <w:p>
      <w:pPr>
        <w:ind w:firstLine="640" w:firstLineChars="200"/>
        <w:jc w:val="left"/>
        <w:rPr>
          <w:rFonts w:ascii="仿宋_GB2312" w:eastAsia="仿宋_GB2312" w:cs="黑体" w:hAnsiTheme="minorEastAsia"/>
          <w:color w:val="000000"/>
          <w:kern w:val="0"/>
          <w:sz w:val="32"/>
          <w:szCs w:val="32"/>
        </w:rPr>
      </w:pPr>
    </w:p>
    <w:p>
      <w:pPr>
        <w:widowControl/>
        <w:jc w:val="left"/>
        <w:rPr>
          <w:rFonts w:ascii="仿宋_GB2312" w:eastAsia="仿宋_GB2312" w:hAnsiTheme="minorEastAsia"/>
          <w:color w:val="FF0000"/>
          <w:sz w:val="32"/>
          <w:szCs w:val="32"/>
        </w:rPr>
      </w:pPr>
      <w:r>
        <w:rPr>
          <w:rFonts w:hint="eastAsia" w:ascii="仿宋_GB2312" w:eastAsia="仿宋_GB2312" w:hAnsiTheme="minorEastAsia"/>
          <w:i/>
          <w:color w:val="FF0000"/>
          <w:sz w:val="32"/>
          <w:szCs w:val="32"/>
        </w:rPr>
        <w:br w:type="page"/>
      </w:r>
    </w:p>
    <w:p>
      <w:pPr>
        <w:pStyle w:val="1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第五部分附件</w:t>
      </w:r>
    </w:p>
    <w:p>
      <w:pPr>
        <w:widowControl/>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2021</w:t>
      </w:r>
      <w:r>
        <w:rPr>
          <w:rFonts w:hint="eastAsia" w:ascii="方正小标宋简体" w:hAnsi="方正小标宋简体" w:eastAsia="方正小标宋简体" w:cs="方正小标宋简体"/>
          <w:b w:val="0"/>
          <w:bCs w:val="0"/>
          <w:color w:val="000000"/>
          <w:kern w:val="0"/>
          <w:sz w:val="44"/>
          <w:szCs w:val="44"/>
        </w:rPr>
        <w:t>年度部门整体支出绩效自评报告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color w:val="000000"/>
          <w:kern w:val="0"/>
          <w:sz w:val="36"/>
          <w:szCs w:val="36"/>
        </w:rPr>
      </w:pP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一、单位基本情况</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县工业企业改制服务办公室为正科级全额拨款的事业单位，主要工作职责是：为原经信委系统有关工业、煤炭企业改制做好服务工作；维护改制工业企业及其职工的合法权利，积极提供有关法律、政策等咨询服务，认真做好信访及稳定工作；并做好改制企业离退休人员管理服务工作。</w:t>
      </w:r>
      <w:r>
        <w:rPr>
          <w:rFonts w:hint="eastAsia" w:ascii="仿宋_GB2312" w:hAnsi="仿宋_GB2312" w:eastAsia="仿宋_GB2312" w:cs="仿宋_GB2312"/>
          <w:sz w:val="32"/>
          <w:szCs w:val="32"/>
          <w:shd w:val="clear" w:color="auto" w:fill="FFFFFF"/>
        </w:rPr>
        <w:t>县工改办内设股室4个，分别是</w:t>
      </w:r>
      <w:r>
        <w:rPr>
          <w:rFonts w:hint="eastAsia" w:ascii="仿宋_GB2312" w:hAnsi="仿宋_GB2312" w:eastAsia="仿宋_GB2312" w:cs="仿宋_GB2312"/>
          <w:sz w:val="32"/>
          <w:szCs w:val="32"/>
        </w:rPr>
        <w:t>办公室、政工股、资产财务股、服务管理股，</w:t>
      </w:r>
      <w:r>
        <w:rPr>
          <w:rFonts w:hint="eastAsia" w:ascii="仿宋_GB2312" w:hAnsi="仿宋_GB2312" w:eastAsia="仿宋_GB2312" w:cs="仿宋_GB2312"/>
          <w:sz w:val="32"/>
          <w:szCs w:val="32"/>
          <w:shd w:val="clear" w:color="auto" w:fill="FFFFFF"/>
        </w:rPr>
        <w:t>无下属事业单位或二级单位。编制人员18人，现有人员14人，退休53人。</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二、财政资金预决算编制及资金到位情况</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（一）预决算编制。本单位按照县财政的安排初，认真编制年预算和年终决算，正确反映本单位预决算情况。</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预算执行情况。本单位每月向县财政报送用款计划，包括人员工资津贴和公用经费，县财政审核后，单位再通过直接支付或授权支付方式使用资金。全年的预算资金按月度分解，单位按月支付，确保单位资金平衡使用、合理使用。</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（三）资金到位情况。本单位经过年终决算，到位资金</w:t>
      </w:r>
      <w:r>
        <w:rPr>
          <w:rFonts w:hint="eastAsia" w:ascii="仿宋_GB2312" w:hAnsi="仿宋_GB2312" w:eastAsia="仿宋_GB2312" w:cs="仿宋_GB2312"/>
          <w:sz w:val="32"/>
          <w:szCs w:val="32"/>
          <w:shd w:val="clear" w:color="auto" w:fill="FFFFFF"/>
          <w:lang w:eastAsia="zh-CN"/>
        </w:rPr>
        <w:t>1054.47</w:t>
      </w:r>
      <w:r>
        <w:rPr>
          <w:rFonts w:hint="eastAsia" w:ascii="仿宋_GB2312" w:hAnsi="仿宋_GB2312" w:eastAsia="仿宋_GB2312" w:cs="仿宋_GB2312"/>
          <w:sz w:val="32"/>
          <w:szCs w:val="32"/>
          <w:shd w:val="clear" w:color="auto" w:fill="FFFFFF"/>
        </w:rPr>
        <w:t>万元，其中基本支出</w:t>
      </w:r>
      <w:r>
        <w:rPr>
          <w:rFonts w:hint="eastAsia" w:ascii="仿宋_GB2312" w:hAnsi="仿宋_GB2312" w:eastAsia="仿宋_GB2312" w:cs="仿宋_GB2312"/>
          <w:sz w:val="32"/>
          <w:szCs w:val="32"/>
          <w:shd w:val="clear" w:color="auto" w:fill="FFFFFF"/>
          <w:lang w:eastAsia="zh-CN"/>
        </w:rPr>
        <w:t>204.22</w:t>
      </w:r>
      <w:r>
        <w:rPr>
          <w:rFonts w:hint="eastAsia" w:ascii="仿宋_GB2312" w:hAnsi="仿宋_GB2312" w:eastAsia="仿宋_GB2312" w:cs="仿宋_GB2312"/>
          <w:sz w:val="32"/>
          <w:szCs w:val="32"/>
          <w:shd w:val="clear" w:color="auto" w:fill="FFFFFF"/>
        </w:rPr>
        <w:t>万元、项目支出</w:t>
      </w:r>
      <w:r>
        <w:rPr>
          <w:rFonts w:hint="eastAsia" w:ascii="仿宋_GB2312" w:hAnsi="仿宋_GB2312" w:eastAsia="仿宋_GB2312" w:cs="仿宋_GB2312"/>
          <w:sz w:val="32"/>
          <w:szCs w:val="32"/>
          <w:shd w:val="clear" w:color="auto" w:fill="FFFFFF"/>
          <w:lang w:eastAsia="zh-CN"/>
        </w:rPr>
        <w:t>850.25</w:t>
      </w:r>
      <w:r>
        <w:rPr>
          <w:rFonts w:hint="eastAsia" w:ascii="仿宋_GB2312" w:hAnsi="仿宋_GB2312" w:eastAsia="仿宋_GB2312" w:cs="仿宋_GB2312"/>
          <w:sz w:val="32"/>
          <w:szCs w:val="32"/>
          <w:shd w:val="clear" w:color="auto" w:fill="FFFFFF"/>
        </w:rPr>
        <w:t>万元；人员经费17</w:t>
      </w:r>
      <w:r>
        <w:rPr>
          <w:rFonts w:hint="eastAsia" w:ascii="仿宋_GB2312" w:hAnsi="仿宋_GB2312" w:eastAsia="仿宋_GB2312" w:cs="仿宋_GB2312"/>
          <w:sz w:val="32"/>
          <w:szCs w:val="32"/>
          <w:shd w:val="clear" w:color="auto" w:fill="FFFFFF"/>
          <w:lang w:val="en-US" w:eastAsia="zh-CN"/>
        </w:rPr>
        <w:t>2.72</w:t>
      </w:r>
      <w:r>
        <w:rPr>
          <w:rFonts w:hint="eastAsia" w:ascii="仿宋_GB2312" w:hAnsi="仿宋_GB2312" w:eastAsia="仿宋_GB2312" w:cs="仿宋_GB2312"/>
          <w:sz w:val="32"/>
          <w:szCs w:val="32"/>
          <w:shd w:val="clear" w:color="auto" w:fill="FFFFFF"/>
        </w:rPr>
        <w:t>万元、公用经费</w:t>
      </w:r>
      <w:r>
        <w:rPr>
          <w:rFonts w:hint="eastAsia" w:ascii="仿宋_GB2312" w:hAnsi="仿宋_GB2312" w:eastAsia="仿宋_GB2312" w:cs="仿宋_GB2312"/>
          <w:sz w:val="32"/>
          <w:szCs w:val="32"/>
          <w:shd w:val="clear" w:color="auto" w:fill="FFFFFF"/>
          <w:lang w:val="en-US" w:eastAsia="zh-CN"/>
        </w:rPr>
        <w:t>31.5</w:t>
      </w:r>
      <w:r>
        <w:rPr>
          <w:rFonts w:hint="eastAsia" w:ascii="仿宋_GB2312" w:hAnsi="仿宋_GB2312" w:eastAsia="仿宋_GB2312" w:cs="仿宋_GB2312"/>
          <w:sz w:val="32"/>
          <w:szCs w:val="32"/>
          <w:shd w:val="clear" w:color="auto" w:fill="FFFFFF"/>
        </w:rPr>
        <w:t>万元。</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三、财政支出绩效评价工作开展情况</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（一）绩效评价的目的</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运用有关方法和手段，对财政资金开展绩效评价，评价财政资金在机构运行、业务管理和工作任务等过程中是否达到预期的结果，评价财政资金在资金分配、运行、使用及支付等过程中是否合理合法合规，评价财政支出是否达到预期的社会效果和经济效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（二）绩效评价的机构和人员</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县财政布置绩效评价工作以来，本单位非常重视，成立了以财务室、办公室、政工股为主要部门，三个股室相关人员为成员的绩效评价工作组，分管财务领导为组长，负责落实绩效工作，协调相关事项。</w:t>
      </w:r>
    </w:p>
    <w:p>
      <w:pPr>
        <w:spacing w:line="540" w:lineRule="exact"/>
        <w:ind w:firstLine="6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（三）绩效评价的依据、方法和原则</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依据财政部《财政支出绩效评价管理暂行办法》（财预[2011]285号）文件进行财政资金绩效评价。在此基础上，对本单位</w:t>
      </w:r>
      <w:r>
        <w:rPr>
          <w:rFonts w:hint="eastAsia" w:ascii="仿宋_GB2312" w:hAnsi="仿宋_GB2312" w:eastAsia="仿宋_GB2312" w:cs="仿宋_GB2312"/>
          <w:sz w:val="32"/>
          <w:szCs w:val="32"/>
          <w:shd w:val="clear" w:color="auto" w:fill="FFFFFF"/>
          <w:lang w:eastAsia="zh-CN"/>
        </w:rPr>
        <w:t>2021</w:t>
      </w:r>
      <w:r>
        <w:rPr>
          <w:rFonts w:hint="eastAsia" w:ascii="仿宋_GB2312" w:hAnsi="仿宋_GB2312" w:eastAsia="仿宋_GB2312" w:cs="仿宋_GB2312"/>
          <w:sz w:val="32"/>
          <w:szCs w:val="32"/>
          <w:shd w:val="clear" w:color="auto" w:fill="FFFFFF"/>
        </w:rPr>
        <w:t>年度的整体支出情况进行内部自我评价，总结单位财政资金支出的经济效果和社会效果。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评价的原则：一是经济性、效率性、有效性原则；二是定量分析和定性分析相结合，以定量分析为主、定性分析为辅。三是真实性、科学性、规范性原则。</w:t>
      </w:r>
    </w:p>
    <w:p>
      <w:pPr>
        <w:spacing w:line="540" w:lineRule="exact"/>
        <w:ind w:firstLine="6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（四）绩效评价的结果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1、机构运转有保障。本年度本单位基本支出</w:t>
      </w:r>
      <w:r>
        <w:rPr>
          <w:rFonts w:hint="eastAsia" w:ascii="仿宋_GB2312" w:hAnsi="仿宋_GB2312" w:eastAsia="仿宋_GB2312" w:cs="仿宋_GB2312"/>
          <w:sz w:val="32"/>
          <w:szCs w:val="32"/>
          <w:shd w:val="clear" w:color="auto" w:fill="FFFFFF"/>
          <w:lang w:eastAsia="zh-CN"/>
        </w:rPr>
        <w:t>204.22</w:t>
      </w:r>
      <w:r>
        <w:rPr>
          <w:rFonts w:hint="eastAsia" w:ascii="仿宋_GB2312" w:hAnsi="仿宋_GB2312" w:eastAsia="仿宋_GB2312" w:cs="仿宋_GB2312"/>
          <w:sz w:val="32"/>
          <w:szCs w:val="32"/>
          <w:shd w:val="clear" w:color="auto" w:fill="FFFFFF"/>
        </w:rPr>
        <w:t>万元，包括工资津贴等人员经费及对家庭和个人方面的支出，为单位正常运转提供了强力保障。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2、事业发展有支撑。本年度单位项目支出</w:t>
      </w:r>
      <w:r>
        <w:rPr>
          <w:rFonts w:hint="eastAsia" w:ascii="仿宋_GB2312" w:hAnsi="仿宋_GB2312" w:eastAsia="仿宋_GB2312" w:cs="仿宋_GB2312"/>
          <w:sz w:val="32"/>
          <w:szCs w:val="32"/>
          <w:shd w:val="clear" w:color="auto" w:fill="FFFFFF"/>
          <w:lang w:eastAsia="zh-CN"/>
        </w:rPr>
        <w:t>850.25</w:t>
      </w:r>
      <w:r>
        <w:rPr>
          <w:rFonts w:hint="eastAsia" w:ascii="仿宋_GB2312" w:hAnsi="仿宋_GB2312" w:eastAsia="仿宋_GB2312" w:cs="仿宋_GB2312"/>
          <w:sz w:val="32"/>
          <w:szCs w:val="32"/>
          <w:shd w:val="clear" w:color="auto" w:fill="FFFFFF"/>
        </w:rPr>
        <w:t>万元，包括公用经费</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专项经费。这些资金为单位事业工作目标和发展目标的顺利开展和完成提供了物质支撑，有力地促进了各项事业的开展和实施，圆满地完成县委县政府交办的各项工作任务。</w:t>
      </w:r>
    </w:p>
    <w:p>
      <w:pPr>
        <w:spacing w:line="540" w:lineRule="exact"/>
        <w:ind w:firstLine="6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（五）绩效评价的结论</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本单位认为，通过单位开展的自我绩效评价，总的来说，财政整体支出绩效已经达到的预期的社会效益和经济，保障单位正常运转和事业发展，顺利完成了各项目标任务。评价等级：良好。</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四、主要经验及做法</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认真贯彻国家有关政策。财政财务工作政策性很强，必须在国家法律法规和政策的规定下进行具体业务操作。年初，本单位严格按照“预算法”和县财政具体操作意见，认真编制并通过了单位的部门预算；同样，年末编制了部门决算工作并达到各级财政部门的要求。在年中预算执行过程中，也是严格遵照国家预算法和县财政的相关规定，按月按进度使用财政资金，让资金均衡使用。</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制订财务制度等相关管理制度。要想让财政资金发挥最大的效益，保障资金用在刀刃上，单位制订了财务管理制度，通过该制度规范资金合规合法使用，每花的一分钱都能经得起检验。制订了预决算编制办法，从而规范预算、决算的操作程序和编制流程，使预决算编制工作更加规范合理。制订了资产管理制度，让单位房屋、办公设备等资产得到充分利用。制订了房屋出租管理制度，规范出租行为，让出租在阳光下操作、在监督下运行。</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五、存在的问题</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1、预算法约束力不太强。</w:t>
      </w:r>
      <w:r>
        <w:rPr>
          <w:rFonts w:hint="eastAsia" w:ascii="仿宋_GB2312" w:hAnsi="仿宋_GB2312" w:eastAsia="仿宋_GB2312" w:cs="仿宋_GB2312"/>
          <w:sz w:val="32"/>
          <w:szCs w:val="32"/>
          <w:shd w:val="clear" w:color="auto" w:fill="FFFFFF"/>
        </w:rPr>
        <w:t>年初预算编制工作结束后，就是如何执行的问题。但在实际过程中，一些客观问题左右领导思想，导致预算执行出现偏差，特别是一些捐助赞助等类的支出比较多，从而挤占正常支出，使正常支出得不到保障。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2、专项资金安排不够。</w:t>
      </w:r>
      <w:r>
        <w:rPr>
          <w:rFonts w:hint="eastAsia" w:ascii="仿宋_GB2312" w:hAnsi="仿宋_GB2312" w:eastAsia="仿宋_GB2312" w:cs="仿宋_GB2312"/>
          <w:sz w:val="32"/>
          <w:szCs w:val="32"/>
          <w:shd w:val="clear" w:color="auto" w:fill="FFFFFF"/>
        </w:rPr>
        <w:t>本单位涉及企业改革遗留问题较多，花钱的地方和项目相对较多。但由于县级财力薄弱的原因不能足额安排专项资金，导致某些工作不能顺利开展，即使开展了，也不能得到圆满的完成。</w:t>
      </w:r>
    </w:p>
    <w:p>
      <w:pPr>
        <w:spacing w:line="540" w:lineRule="exact"/>
        <w:ind w:firstLine="600"/>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六、意见建议</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1、严格按预算法和预算编制执行预算支出</w:t>
      </w:r>
      <w:r>
        <w:rPr>
          <w:rFonts w:hint="eastAsia" w:ascii="仿宋_GB2312" w:hAnsi="仿宋_GB2312" w:eastAsia="仿宋_GB2312" w:cs="仿宋_GB2312"/>
          <w:sz w:val="32"/>
          <w:szCs w:val="32"/>
          <w:shd w:val="clear" w:color="auto" w:fill="FFFFFF"/>
        </w:rPr>
        <w:t>。杜绝没有预算安排的支出行为，保障单位各项预算支出有资金保障。</w:t>
      </w:r>
    </w:p>
    <w:p>
      <w:pPr>
        <w:spacing w:line="540" w:lineRule="exact"/>
        <w:ind w:firstLine="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2、用好专项资金。</w:t>
      </w:r>
      <w:r>
        <w:rPr>
          <w:rFonts w:hint="eastAsia" w:ascii="仿宋_GB2312" w:hAnsi="仿宋_GB2312" w:eastAsia="仿宋_GB2312" w:cs="仿宋_GB2312"/>
          <w:sz w:val="32"/>
          <w:szCs w:val="32"/>
          <w:shd w:val="clear" w:color="auto" w:fill="FFFFFF"/>
        </w:rPr>
        <w:t>目前财政在专项资金预算安排上有一定缺口，且缺口无法解决，只有通过节支减支办法减少支出规模，控制不合理的支出，用好用活存量资金。</w:t>
      </w:r>
    </w:p>
    <w:p>
      <w:pPr>
        <w:spacing w:line="540" w:lineRule="exact"/>
        <w:rPr>
          <w:rFonts w:ascii="仿宋_GB2312" w:hAnsi="仿宋_GB2312" w:eastAsia="仿宋_GB2312" w:cs="仿宋_GB2312"/>
          <w:sz w:val="32"/>
          <w:szCs w:val="32"/>
        </w:rPr>
      </w:pPr>
    </w:p>
    <w:p>
      <w:pPr>
        <w:spacing w:line="540" w:lineRule="exact"/>
        <w:ind w:firstLine="640" w:firstLineChars="200"/>
        <w:jc w:val="left"/>
        <w:rPr>
          <w:rFonts w:ascii="仿宋_GB2312" w:hAnsi="仿宋_GB2312" w:eastAsia="仿宋_GB2312" w:cs="仿宋_GB2312"/>
          <w:color w:val="000000"/>
          <w:kern w:val="0"/>
          <w:sz w:val="32"/>
          <w:szCs w:val="32"/>
        </w:rPr>
      </w:pPr>
    </w:p>
    <w:sectPr>
      <w:pgSz w:w="11906" w:h="16838"/>
      <w:pgMar w:top="1440" w:right="1633" w:bottom="1440" w:left="163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WYxMGQwY2YyNDNhMTFmZWM0MjJlZWQxOTk1NGUifQ=="/>
  </w:docVars>
  <w:rsids>
    <w:rsidRoot w:val="004506F9"/>
    <w:rsid w:val="0002229B"/>
    <w:rsid w:val="000273BD"/>
    <w:rsid w:val="000415B7"/>
    <w:rsid w:val="000658A3"/>
    <w:rsid w:val="00072EEE"/>
    <w:rsid w:val="00074155"/>
    <w:rsid w:val="000A3F69"/>
    <w:rsid w:val="000E7D92"/>
    <w:rsid w:val="000F42DD"/>
    <w:rsid w:val="00116AB0"/>
    <w:rsid w:val="00134910"/>
    <w:rsid w:val="00135441"/>
    <w:rsid w:val="00152C6D"/>
    <w:rsid w:val="00162D39"/>
    <w:rsid w:val="00170992"/>
    <w:rsid w:val="00171961"/>
    <w:rsid w:val="00197B5B"/>
    <w:rsid w:val="001A67DB"/>
    <w:rsid w:val="001D51E5"/>
    <w:rsid w:val="001F0C3B"/>
    <w:rsid w:val="00214427"/>
    <w:rsid w:val="00265724"/>
    <w:rsid w:val="0027426B"/>
    <w:rsid w:val="002D2B5D"/>
    <w:rsid w:val="002D2DE9"/>
    <w:rsid w:val="002E13A0"/>
    <w:rsid w:val="00301B8A"/>
    <w:rsid w:val="0031475F"/>
    <w:rsid w:val="003407AF"/>
    <w:rsid w:val="003479BD"/>
    <w:rsid w:val="003768D5"/>
    <w:rsid w:val="003774AE"/>
    <w:rsid w:val="003A08E5"/>
    <w:rsid w:val="003B15DE"/>
    <w:rsid w:val="003E3061"/>
    <w:rsid w:val="004506F9"/>
    <w:rsid w:val="00460891"/>
    <w:rsid w:val="004717A2"/>
    <w:rsid w:val="00485A36"/>
    <w:rsid w:val="00491741"/>
    <w:rsid w:val="00500E5F"/>
    <w:rsid w:val="005122EF"/>
    <w:rsid w:val="00517C33"/>
    <w:rsid w:val="00523644"/>
    <w:rsid w:val="0054069E"/>
    <w:rsid w:val="0055546B"/>
    <w:rsid w:val="005767CC"/>
    <w:rsid w:val="00590D9F"/>
    <w:rsid w:val="00595D26"/>
    <w:rsid w:val="00596F26"/>
    <w:rsid w:val="005A74E6"/>
    <w:rsid w:val="005B2A97"/>
    <w:rsid w:val="005D4D55"/>
    <w:rsid w:val="005E2CFB"/>
    <w:rsid w:val="00605E11"/>
    <w:rsid w:val="00615DDE"/>
    <w:rsid w:val="0062378F"/>
    <w:rsid w:val="00646846"/>
    <w:rsid w:val="00651EEC"/>
    <w:rsid w:val="00651F83"/>
    <w:rsid w:val="00684AFB"/>
    <w:rsid w:val="006A351B"/>
    <w:rsid w:val="006B0422"/>
    <w:rsid w:val="006C1B53"/>
    <w:rsid w:val="006D7730"/>
    <w:rsid w:val="006E5284"/>
    <w:rsid w:val="006F3EB5"/>
    <w:rsid w:val="00702E34"/>
    <w:rsid w:val="00704395"/>
    <w:rsid w:val="00720FF1"/>
    <w:rsid w:val="007367AA"/>
    <w:rsid w:val="00743E3B"/>
    <w:rsid w:val="007B5635"/>
    <w:rsid w:val="007E7256"/>
    <w:rsid w:val="00812ED5"/>
    <w:rsid w:val="008277D9"/>
    <w:rsid w:val="00860C1F"/>
    <w:rsid w:val="008A3E8D"/>
    <w:rsid w:val="0090369F"/>
    <w:rsid w:val="00903EA9"/>
    <w:rsid w:val="009237C4"/>
    <w:rsid w:val="00930098"/>
    <w:rsid w:val="00950252"/>
    <w:rsid w:val="00967F5D"/>
    <w:rsid w:val="00971DD2"/>
    <w:rsid w:val="009A0F95"/>
    <w:rsid w:val="009B3ADF"/>
    <w:rsid w:val="009C3B52"/>
    <w:rsid w:val="009D5F45"/>
    <w:rsid w:val="00A3308D"/>
    <w:rsid w:val="00A42218"/>
    <w:rsid w:val="00A70249"/>
    <w:rsid w:val="00AD25D1"/>
    <w:rsid w:val="00B33BEA"/>
    <w:rsid w:val="00B4600B"/>
    <w:rsid w:val="00B55033"/>
    <w:rsid w:val="00B57C9F"/>
    <w:rsid w:val="00B817F6"/>
    <w:rsid w:val="00B845B3"/>
    <w:rsid w:val="00B85D8B"/>
    <w:rsid w:val="00BB3486"/>
    <w:rsid w:val="00BE3674"/>
    <w:rsid w:val="00BF2341"/>
    <w:rsid w:val="00C06367"/>
    <w:rsid w:val="00C17F70"/>
    <w:rsid w:val="00C3049A"/>
    <w:rsid w:val="00C31B1E"/>
    <w:rsid w:val="00C566C8"/>
    <w:rsid w:val="00C77645"/>
    <w:rsid w:val="00C943A4"/>
    <w:rsid w:val="00CE04C3"/>
    <w:rsid w:val="00CE76A0"/>
    <w:rsid w:val="00D148C6"/>
    <w:rsid w:val="00D237F9"/>
    <w:rsid w:val="00D33277"/>
    <w:rsid w:val="00D52B43"/>
    <w:rsid w:val="00D96147"/>
    <w:rsid w:val="00DD06FF"/>
    <w:rsid w:val="00DD5FE9"/>
    <w:rsid w:val="00DE0D75"/>
    <w:rsid w:val="00E00C7A"/>
    <w:rsid w:val="00E55B68"/>
    <w:rsid w:val="00EE6E64"/>
    <w:rsid w:val="00F74360"/>
    <w:rsid w:val="00F84DAF"/>
    <w:rsid w:val="00F96793"/>
    <w:rsid w:val="00FB462F"/>
    <w:rsid w:val="00FD5AC8"/>
    <w:rsid w:val="00FE16FA"/>
    <w:rsid w:val="00FE328A"/>
    <w:rsid w:val="01A07102"/>
    <w:rsid w:val="023E571B"/>
    <w:rsid w:val="029B6B75"/>
    <w:rsid w:val="060C5FD7"/>
    <w:rsid w:val="073342A5"/>
    <w:rsid w:val="09B20412"/>
    <w:rsid w:val="09D46A1A"/>
    <w:rsid w:val="09D57075"/>
    <w:rsid w:val="0D0D02F4"/>
    <w:rsid w:val="0D1F460E"/>
    <w:rsid w:val="0DAE107D"/>
    <w:rsid w:val="0E15483F"/>
    <w:rsid w:val="0E4D54ED"/>
    <w:rsid w:val="0F6C03BE"/>
    <w:rsid w:val="10842892"/>
    <w:rsid w:val="10F74C63"/>
    <w:rsid w:val="11331054"/>
    <w:rsid w:val="13163791"/>
    <w:rsid w:val="15BD1400"/>
    <w:rsid w:val="19A63F5F"/>
    <w:rsid w:val="1BC826E4"/>
    <w:rsid w:val="1CC2724B"/>
    <w:rsid w:val="1E82338A"/>
    <w:rsid w:val="1EC64AE5"/>
    <w:rsid w:val="1F230956"/>
    <w:rsid w:val="1FE9331A"/>
    <w:rsid w:val="21A362EC"/>
    <w:rsid w:val="23EE1117"/>
    <w:rsid w:val="246D55DD"/>
    <w:rsid w:val="26C13FF1"/>
    <w:rsid w:val="2742398D"/>
    <w:rsid w:val="275317FF"/>
    <w:rsid w:val="2AE52F79"/>
    <w:rsid w:val="2B12230A"/>
    <w:rsid w:val="2CD465E1"/>
    <w:rsid w:val="2F4740A8"/>
    <w:rsid w:val="2F5D083F"/>
    <w:rsid w:val="31605EAB"/>
    <w:rsid w:val="3191354E"/>
    <w:rsid w:val="33197761"/>
    <w:rsid w:val="34032E11"/>
    <w:rsid w:val="349871BF"/>
    <w:rsid w:val="355E7126"/>
    <w:rsid w:val="36BB71C2"/>
    <w:rsid w:val="3814118A"/>
    <w:rsid w:val="38AC3BE1"/>
    <w:rsid w:val="38F60B75"/>
    <w:rsid w:val="3ACF7D6B"/>
    <w:rsid w:val="3BCE3D11"/>
    <w:rsid w:val="3BFD76D6"/>
    <w:rsid w:val="3D390750"/>
    <w:rsid w:val="3D572E8A"/>
    <w:rsid w:val="4515224D"/>
    <w:rsid w:val="45265F76"/>
    <w:rsid w:val="4580503D"/>
    <w:rsid w:val="4606321B"/>
    <w:rsid w:val="46684FB4"/>
    <w:rsid w:val="46A6213C"/>
    <w:rsid w:val="47106929"/>
    <w:rsid w:val="471867B4"/>
    <w:rsid w:val="476847C3"/>
    <w:rsid w:val="4A417B9F"/>
    <w:rsid w:val="4ACB6E32"/>
    <w:rsid w:val="4CE47085"/>
    <w:rsid w:val="4D245E98"/>
    <w:rsid w:val="4DB64665"/>
    <w:rsid w:val="4FB412A2"/>
    <w:rsid w:val="50DE4355"/>
    <w:rsid w:val="51721993"/>
    <w:rsid w:val="52A033B5"/>
    <w:rsid w:val="54D2513C"/>
    <w:rsid w:val="561346BC"/>
    <w:rsid w:val="569771D4"/>
    <w:rsid w:val="58242BB1"/>
    <w:rsid w:val="59070FD6"/>
    <w:rsid w:val="598B6947"/>
    <w:rsid w:val="5A982FC7"/>
    <w:rsid w:val="5D3F4FE1"/>
    <w:rsid w:val="5E0B036F"/>
    <w:rsid w:val="5E584B12"/>
    <w:rsid w:val="5E781EA8"/>
    <w:rsid w:val="5FED79BF"/>
    <w:rsid w:val="60AE7228"/>
    <w:rsid w:val="60EF68AE"/>
    <w:rsid w:val="617532AE"/>
    <w:rsid w:val="62575FD2"/>
    <w:rsid w:val="64792334"/>
    <w:rsid w:val="64F71FCC"/>
    <w:rsid w:val="657B0F41"/>
    <w:rsid w:val="66A07F38"/>
    <w:rsid w:val="67A971F1"/>
    <w:rsid w:val="69274D0C"/>
    <w:rsid w:val="693963A4"/>
    <w:rsid w:val="696077FB"/>
    <w:rsid w:val="6B5F78F2"/>
    <w:rsid w:val="6EBA15F2"/>
    <w:rsid w:val="6FC10D75"/>
    <w:rsid w:val="70EB64C4"/>
    <w:rsid w:val="719D5621"/>
    <w:rsid w:val="71B03AEF"/>
    <w:rsid w:val="747E4540"/>
    <w:rsid w:val="75713E63"/>
    <w:rsid w:val="78762DF8"/>
    <w:rsid w:val="78D1463E"/>
    <w:rsid w:val="79032D75"/>
    <w:rsid w:val="7C2E47C4"/>
    <w:rsid w:val="7D7C591E"/>
    <w:rsid w:val="7DEA41FE"/>
    <w:rsid w:val="7DF54524"/>
    <w:rsid w:val="7F5B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445F-F68C-4C54-9533-7CE278A5E1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6450</Words>
  <Characters>6903</Characters>
  <Lines>100</Lines>
  <Paragraphs>28</Paragraphs>
  <TotalTime>29</TotalTime>
  <ScaleCrop>false</ScaleCrop>
  <LinksUpToDate>false</LinksUpToDate>
  <CharactersWithSpaces>6924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2021-08-12T08:02:00Z</dcterms:created>
  <dc:creator>李航 null</dc:creator>
  <cp:lastModifiedBy>YA</cp:lastModifiedBy>
  <cp:lastPrinted>2022-10-27T01:21:00Z</cp:lastPrinted>
  <dcterms:modified xsi:type="dcterms:W3CDTF">2023-09-25T14:01:35Z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1A23CCD030EE49699DEE1A1EE975150D</vt:lpwstr>
  </property>
</Properties>
</file>